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AF" w:rsidRDefault="00041248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Биография и творческий путь </w:t>
      </w:r>
      <w:r>
        <w:rPr>
          <w:b/>
          <w:bCs/>
        </w:rPr>
        <w:br/>
        <w:t>1.1 Молодые годы</w:t>
      </w:r>
      <w:r>
        <w:rPr>
          <w:b/>
          <w:bCs/>
        </w:rPr>
        <w:br/>
        <w:t>1.2 Веймар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Литературная деятельность </w:t>
      </w:r>
      <w:r>
        <w:rPr>
          <w:b/>
          <w:bCs/>
        </w:rPr>
        <w:br/>
        <w:t>2.1 Грандисон второй</w:t>
      </w:r>
      <w:r>
        <w:rPr>
          <w:b/>
          <w:bCs/>
        </w:rPr>
        <w:br/>
        <w:t>2.2 Физиогномические странствия</w:t>
      </w:r>
      <w:r>
        <w:rPr>
          <w:b/>
          <w:bCs/>
        </w:rPr>
        <w:br/>
        <w:t>2.3 Народные сказки немцев</w:t>
      </w:r>
      <w:r>
        <w:rPr>
          <w:b/>
          <w:bCs/>
        </w:rPr>
        <w:br/>
      </w:r>
      <w:r>
        <w:br/>
      </w:r>
      <w:r>
        <w:rPr>
          <w:b/>
          <w:bCs/>
        </w:rPr>
        <w:t>3 Библиография</w:t>
      </w:r>
      <w:r>
        <w:br/>
      </w:r>
      <w:r>
        <w:rPr>
          <w:b/>
          <w:bCs/>
        </w:rPr>
        <w:t>Список литературы</w:t>
      </w:r>
    </w:p>
    <w:p w:rsidR="009405AF" w:rsidRDefault="00041248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405AF" w:rsidRDefault="00041248">
      <w:pPr>
        <w:pStyle w:val="a3"/>
      </w:pPr>
      <w:r>
        <w:t>Иоганн Карл Август Музеус (нем. </w:t>
      </w:r>
      <w:r>
        <w:rPr>
          <w:i/>
          <w:iCs/>
        </w:rPr>
        <w:t>Johann Karl August Musäus</w:t>
      </w:r>
      <w:r>
        <w:t>) (29 марта 1735 Йена — 28 октября 1787 Веймар) — немецкий писатель, литературный критик, филолог и педагог. Автор сборника литературных сказок «Народные сказки немцев».</w:t>
      </w:r>
    </w:p>
    <w:p w:rsidR="009405AF" w:rsidRDefault="00041248">
      <w:pPr>
        <w:pStyle w:val="21"/>
        <w:pageBreakBefore/>
        <w:numPr>
          <w:ilvl w:val="0"/>
          <w:numId w:val="0"/>
        </w:numPr>
      </w:pPr>
      <w:r>
        <w:t xml:space="preserve">1. Биография и творческий путь </w:t>
      </w:r>
    </w:p>
    <w:p w:rsidR="009405AF" w:rsidRDefault="00041248">
      <w:pPr>
        <w:pStyle w:val="31"/>
        <w:numPr>
          <w:ilvl w:val="0"/>
          <w:numId w:val="0"/>
        </w:numPr>
      </w:pPr>
      <w:r>
        <w:t>1.1. Молодые годы</w:t>
      </w:r>
    </w:p>
    <w:p w:rsidR="009405AF" w:rsidRDefault="00041248">
      <w:pPr>
        <w:pStyle w:val="a3"/>
      </w:pPr>
      <w:r>
        <w:t>Родился 29 марта 1735 года в Йене, в семье скромного чиновника Иоганна Христофа Музеуса. Родители, решили дать Иоганну духовное образование. До 9 лет мальчик жил в Альштедте у своего дяди, который воспитывал его на христианских ценностях. Вскоре отец Иоганна был переведен в Эйзенах, на должность земельного судьи, куда последовали и дядя с племянником. Окончив гимназию, 19-летний юноша поступает в Йенский университет, где изучает теологию. Завершив курс, с дипломом магистра свободной профессии Музеус возвращается в родительский дом, чтобы посвятить себя практическому богословию.</w:t>
      </w:r>
    </w:p>
    <w:p w:rsidR="009405AF" w:rsidRDefault="00041248">
      <w:pPr>
        <w:pStyle w:val="a3"/>
      </w:pPr>
      <w:r>
        <w:t>Его проповеди находят живой отклик у слушателей, однако начинающий пастор не был строгим ревнителем духовных ценностей. Он с удовольствием участвует в легкомысленных молодёжных забавах, любит танцевать, не прочь поухаживать за хорошенькими девушками, а это, по тем временам, никак не вязалось с ролью благообразного наставника заблудших человеческих душ. Крестьяне тюрингской деревни Вута-Фарнрода, где ему предстояло стать духовным пастырем, отказались принять его. Не желая играть роль комедианта на церковной кафедре и, к тому же, не отличаясь особой набожностью, Музеус отказывается от карьеры священника и перебирается в Веймар.</w:t>
      </w:r>
    </w:p>
    <w:p w:rsidR="009405AF" w:rsidRDefault="00041248">
      <w:pPr>
        <w:pStyle w:val="31"/>
        <w:numPr>
          <w:ilvl w:val="0"/>
          <w:numId w:val="0"/>
        </w:numPr>
      </w:pPr>
      <w:r>
        <w:t>1.2. Веймар</w:t>
      </w:r>
    </w:p>
    <w:p w:rsidR="009405AF" w:rsidRDefault="00041248">
      <w:pPr>
        <w:pStyle w:val="a3"/>
        <w:spacing w:after="0"/>
      </w:pPr>
      <w:r>
        <w:t>«В церковь св. Якова надобно было зайти для того, чтобы видеть там на стене барельеф покойного профессора Музеуса, сочинителя „Физиогномического путешествия“ и „Немецких народных сказок“. Под барельефом стоит на книге урна с надписью: „Незабвенному Музеусу“. — Чувствительная Амалия! Потомство будет благодарить тебя за то, что ты умела чтить дарования.»</w:t>
      </w:r>
    </w:p>
    <w:p w:rsidR="009405AF" w:rsidRDefault="00041248">
      <w:pPr>
        <w:pStyle w:val="a3"/>
        <w:rPr>
          <w:position w:val="10"/>
        </w:rPr>
      </w:pPr>
      <w:r>
        <w:t xml:space="preserve">— </w:t>
      </w:r>
      <w:r>
        <w:rPr>
          <w:i/>
          <w:iCs/>
        </w:rPr>
        <w:t>Николай Карамзин «Письма русского путешественника»</w:t>
      </w:r>
      <w:r>
        <w:t xml:space="preserve"> </w:t>
      </w:r>
      <w:r>
        <w:rPr>
          <w:position w:val="10"/>
        </w:rPr>
        <w:t>[1]</w:t>
      </w:r>
    </w:p>
    <w:p w:rsidR="009405AF" w:rsidRDefault="00041248">
      <w:pPr>
        <w:pStyle w:val="a3"/>
      </w:pPr>
      <w:r>
        <w:t>В Веймаре Музеус становится преподавателем местной гимназии, одновременно занимаясь филологией и писательской деятельностью.</w:t>
      </w:r>
    </w:p>
    <w:p w:rsidR="009405AF" w:rsidRDefault="00041248">
      <w:pPr>
        <w:pStyle w:val="a3"/>
      </w:pPr>
      <w:r>
        <w:t>В 1770 году он женился на Магдалене Юлиане Крюгер. Вскоре на свет один за другим появляются двое сыновей писателя. Скромной преподавательской зарплаты не хватает и Музеусу приходится подрабатывать частными уроками в богатых домах или по заказу писать стихи по случаю чьих-нибудь юбилеев и других торжественных дат.</w:t>
      </w:r>
    </w:p>
    <w:p w:rsidR="009405AF" w:rsidRDefault="00041248">
      <w:pPr>
        <w:pStyle w:val="a3"/>
      </w:pPr>
      <w:r>
        <w:t>Позднее когда писательский труд стал приносить более высокие доходы, Музеус смог наконец купить небольшой клочок земли и построить на нём маленький, как он его называл, «Замок фей», где он нашёл все о чём мог только мечтать. Уютный домик становится местом часто посещаемым друзьями писателя, среди которых были Гердер и Гете, Николаи, Корона Шрётер, Бюргер, Кнебель и Лафатер. Но наиболее желанным гостем с которым он любил коротать долгие вечера за дружеской беседой был поэт Виланд, — человек близкий ему по духу, высокообразованный, остроумный и чрезвычайно интересный собеседник.</w:t>
      </w:r>
    </w:p>
    <w:p w:rsidR="009405AF" w:rsidRDefault="00041248">
      <w:pPr>
        <w:pStyle w:val="a3"/>
      </w:pPr>
      <w:r>
        <w:t>Создав ряд сатирических произведений, Музеус не ограничивается ролью литературного критика и обличителя пороков современного общества и последние годы своей жизни целиком посвящает изучению и литературной обработке собранных им в различных уголках Германии сказок, преданий и легенд. Музеус собирал свои сказки в домах ремесленников или в убогих крестьянских лачугах, и в его руках они вскоре превращались в удивительные сказки-новеллы.</w:t>
      </w:r>
    </w:p>
    <w:p w:rsidR="009405AF" w:rsidRDefault="00041248">
      <w:pPr>
        <w:pStyle w:val="a3"/>
      </w:pPr>
      <w:r>
        <w:t>«Ни одна из этих сказок не является моим собственным сочинением или произведением иностранного автора, — писал Музеус. — На протяжении многих поколений, из уст в уста, передавались они от прадедов к внукам и их потомкам. Суть сказок не изменилась. Автор лишь позволил себе действие этих рассказов, относящихся к неопределённому моменту времени, перенести во времена и места, подходящие к их содержанию. В совершенно неизменённом виде они выглядели бы хуже»</w:t>
      </w:r>
      <w:r>
        <w:rPr>
          <w:position w:val="10"/>
        </w:rPr>
        <w:t>[2]</w:t>
      </w:r>
      <w:r>
        <w:t>.</w:t>
      </w:r>
    </w:p>
    <w:p w:rsidR="009405AF" w:rsidRDefault="00041248">
      <w:pPr>
        <w:pStyle w:val="a3"/>
      </w:pPr>
      <w:r>
        <w:t>«Народные сказки немцев» (1782—1786) представляют собой литературную ценность, не потерявшую своего значения до сегодняшних дней. В Германии «Сказки» Музеуса пользуются неизменным успехом, о чём свидетельствует множество выдержанных ими изданий. Популярности сказок способствовали и гравюры знаменитого народного художника XIX столетия — гравера и резчика по дереву Людвига Рихтера.</w:t>
      </w:r>
    </w:p>
    <w:p w:rsidR="009405AF" w:rsidRDefault="00041248">
      <w:pPr>
        <w:pStyle w:val="a3"/>
      </w:pPr>
      <w:r>
        <w:t>Умер Музеус осенью 1787 года, вскоре после завершения работы над сказками. Похоронили его на Веймарском кладбище.</w:t>
      </w:r>
    </w:p>
    <w:p w:rsidR="009405AF" w:rsidRDefault="00041248">
      <w:pPr>
        <w:pStyle w:val="21"/>
        <w:pageBreakBefore/>
        <w:numPr>
          <w:ilvl w:val="0"/>
          <w:numId w:val="0"/>
        </w:numPr>
      </w:pPr>
      <w:r>
        <w:t xml:space="preserve">2. Литературная деятельность </w:t>
      </w:r>
    </w:p>
    <w:p w:rsidR="009405AF" w:rsidRDefault="00041248">
      <w:pPr>
        <w:pStyle w:val="a3"/>
      </w:pPr>
      <w:r>
        <w:t>Бывший дом Иоганна Карла Августа Музеуса в Веймаре</w:t>
      </w:r>
    </w:p>
    <w:p w:rsidR="009405AF" w:rsidRDefault="00041248">
      <w:pPr>
        <w:pStyle w:val="31"/>
        <w:numPr>
          <w:ilvl w:val="0"/>
          <w:numId w:val="0"/>
        </w:numPr>
      </w:pPr>
      <w:r>
        <w:t>2.1. Грандисон второй</w:t>
      </w:r>
    </w:p>
    <w:p w:rsidR="009405AF" w:rsidRDefault="00041248">
      <w:pPr>
        <w:pStyle w:val="a3"/>
      </w:pPr>
      <w:r>
        <w:t>Уже в молодые годы Музеус в «Немецком обществе» основательно занимался современной литературой. Он близко познакомился с бесчисленными немецкими подражаниями английскому семейному роману Самюэля Ричардсона «История сэра Чарльза Грандисона» и решил выступить против характерной для них «жалкой сентиментальности». В 1760—1762 годах он публикует анонимный трёхтомный роман «Грандисон второй или история господина Н. в письмах» который представлял собой пародию как на эти подражания, так и на подобные им модные добродетельно-блаженные романы.</w:t>
      </w:r>
    </w:p>
    <w:p w:rsidR="009405AF" w:rsidRDefault="00041248">
      <w:pPr>
        <w:pStyle w:val="a3"/>
      </w:pPr>
      <w:r>
        <w:t>Роман молодого начинающего писателя имел успех как в Германии так и во всей Европе и привлёк внимание герцогини саксон-веймарской Анны Амалии. В 1763 году она пригласила Музеуса на должность пажеского гофмейстера с содержанием 300 талеров в год. Музеус вошёл в круг веймарских писателей, которые под покровительством Анны Амалии продвигали вперёд классическую литературу. Особенно он сблизился с Бертухом и Виландом, которого считал своим учителем.</w:t>
      </w:r>
    </w:p>
    <w:p w:rsidR="009405AF" w:rsidRDefault="00041248">
      <w:pPr>
        <w:pStyle w:val="a3"/>
      </w:pPr>
      <w:r>
        <w:t>С 1763 по 1766 годы Музеус — литературный критик в издаваемой Фридрихом Николаи «Всеобщей немецкой библиотеки» (нем. </w:t>
      </w:r>
      <w:r>
        <w:rPr>
          <w:i/>
          <w:iCs/>
        </w:rPr>
        <w:t>Allgemeine Deutsche Bibliothek</w:t>
      </w:r>
      <w:r>
        <w:t>). Это было время, когда возрождалась эпоха Просвещения, направление которой определялось берлинским издателем и писателем-просветителем Николаи, у которого работал большой круг рецензентов — в общей сложности за все время существования журнала — более 400 ученых и критиков. Музеус отрецензировал около 350 современных ему романов, беря за ориентир уровень художественной теории эпохи Просвещения, возрождавшей античное красноречие и риторику.</w:t>
      </w:r>
    </w:p>
    <w:p w:rsidR="009405AF" w:rsidRDefault="00041248">
      <w:pPr>
        <w:pStyle w:val="a3"/>
      </w:pPr>
      <w:r>
        <w:t>В 1770 году Музеус становится профессором классической филологии и истории в Веймарской гимназии. Среди учеников Музеуса был и его племянник Август Коцебу, ставший впоследствии известным писателем и драматургом.</w:t>
      </w:r>
    </w:p>
    <w:p w:rsidR="009405AF" w:rsidRDefault="00041248">
      <w:pPr>
        <w:pStyle w:val="31"/>
        <w:numPr>
          <w:ilvl w:val="0"/>
          <w:numId w:val="0"/>
        </w:numPr>
      </w:pPr>
      <w:r>
        <w:t>2.2. Физиогномические странствия</w:t>
      </w:r>
    </w:p>
    <w:p w:rsidR="009405AF" w:rsidRDefault="00041248">
      <w:pPr>
        <w:pStyle w:val="a3"/>
      </w:pPr>
      <w:r>
        <w:t>В 1778 году вышли в свет и завоевали огромную популярность «Физиогномические фрагменты» Лафатера. И тогда Музеус пишет свой второй юмористический роман «Физиогномические странствия» — насмешливую критику лафатеровской книги. В своём романе он описывает верующего последователя учения Лафатера, который дома и на чужбине терпит одно разочарование за другим. В этом произведении Музеус оспаривает возможность только по чертам лица, не зная ничего о человеке, открывать его нравственные и духовные качества. Роман быстро приобрёл популярность и выдержал за три года три издания.</w:t>
      </w:r>
    </w:p>
    <w:p w:rsidR="009405AF" w:rsidRDefault="00041248">
      <w:pPr>
        <w:pStyle w:val="31"/>
        <w:numPr>
          <w:ilvl w:val="0"/>
          <w:numId w:val="0"/>
        </w:numPr>
      </w:pPr>
      <w:r>
        <w:t>2.3. Народные сказки немцев</w:t>
      </w:r>
    </w:p>
    <w:p w:rsidR="009405AF" w:rsidRDefault="00041248">
      <w:pPr>
        <w:pStyle w:val="a3"/>
      </w:pPr>
      <w:r>
        <w:t>В последние годы Музеус целиком поглощён собиранием произведений народного творчества — сказок, преданий и легенд. Итогом этой работы явилось издание пятитомного сборника «Народные сказки немцев» (нем. </w:t>
      </w:r>
      <w:r>
        <w:rPr>
          <w:i/>
          <w:iCs/>
        </w:rPr>
        <w:t>Volksmahrchen der Deutschen</w:t>
      </w:r>
      <w:r>
        <w:t>). Музеус подверг собранные сказки литературной обработке, что даёт основание отнести их скорее к жанру литературной сказки.</w:t>
      </w:r>
    </w:p>
    <w:p w:rsidR="009405AF" w:rsidRDefault="00041248">
      <w:pPr>
        <w:pStyle w:val="a3"/>
      </w:pPr>
      <w:r>
        <w:t xml:space="preserve">Несмотря на иностранное происхождение некоторых сказок, таких как франкская — «Оруженосцы Роланда», богемские — «Либуша» и «Легенды о Рюбецале», они так широко распространились в Средней Германии, что Музеус счёл возможным включить их в свой сборник наравне с подлинно немецкими сказками. Он свободно обращается с материалом, придавая ему литературное звучание, особый колорит, выстраивает утончённую композицию и углубляет характеры героев. Хотя действие сказок происходит в средневековье, сказочные персонажи, будь то крестьяне или ремесленники, судьи или священнослужители, думают и поступают как современники автора. Великолепно удались Музеусу плебейские типы. Это дельные, работящие люди, прямые и честные, тонко отличающие справедливость от несправедливости, правду от лжи </w:t>
      </w:r>
      <w:r>
        <w:rPr>
          <w:position w:val="10"/>
        </w:rPr>
        <w:t>[4]</w:t>
      </w:r>
      <w:r>
        <w:t>.</w:t>
      </w:r>
    </w:p>
    <w:p w:rsidR="009405AF" w:rsidRDefault="00041248">
      <w:pPr>
        <w:pStyle w:val="a3"/>
      </w:pPr>
      <w:r>
        <w:t>Людвиг Рихтер. Иллюстрация к сказке И. К. А. Музеуса «Рихильда»</w:t>
      </w:r>
    </w:p>
    <w:p w:rsidR="009405AF" w:rsidRDefault="00041248">
      <w:pPr>
        <w:pStyle w:val="a3"/>
      </w:pPr>
      <w:r>
        <w:t>Музеус в своих сказках просветитель и воспитатель народа. Он избегает педантичных острот или унижающих человеческое достоинство колкостей. Для нашего времени сказки Музеуса представляют не только исторический интерес. Сочетание народной поэзии, народной мудрости и народного юмора с элементами просвещения обеспечивают этому собранию народных сказок прочное место в живом наследии немецкой поэзии.</w:t>
      </w:r>
    </w:p>
    <w:p w:rsidR="009405AF" w:rsidRDefault="00041248">
      <w:pPr>
        <w:pStyle w:val="a3"/>
      </w:pPr>
      <w:r>
        <w:t xml:space="preserve">Писатель-сказочник, И. К. А. Музеус, оставил глубокий след не только в немецкой литературе XVIII столетия. Всё более пристальное внимание к нему проявляют наши отечественные пушкинисты. В. С. Листов обратил внимание на некоторое сходство, которое обнаруживается при сопоставлении сказок (легенд) — «Легенды о Рубецале» (легенда первая), «Мелексала» и «Верная любовь» у Музеуса с поэмами «Руслан и Людмила», «Кавказский пленник», «Бахчисарайский фонтан» и «Каменный гость» у Пушкина </w:t>
      </w:r>
      <w:r>
        <w:rPr>
          <w:position w:val="10"/>
        </w:rPr>
        <w:t>[5]</w:t>
      </w:r>
      <w:r>
        <w:t>. Влияние немецкой литературы XVIII века на творчество Пушкина обычно ограничивается упоминанием более известных в России имён — Гёте, Шиллера, Лессинга, Гердера, Виланда, Клопштока. В отличие от названных писателей Музеус у Пушкина не упоминается. И всё же о немецком сказочнике Пушкин, по утверждению Листова, несомненно знал из «Писем русского путешественника» И. М. Карамзина, рассказавшего о своём посещении в 1789 году могилы писателя в Веймаре и эрфуртского монастыря бенедиктинцев, где был похоронен герой одной из легенд Музеуса — граф Эрнст фон Глейхен. Нельзя утверждать, что образы этого пленённого сарацинами крестоносца и его любовницы-мусульманки просто перекочевали из карамзинских писем в поэму Пушкина «Бахчисарайский фонтан», но есть основания полагать, что глейхенскую одиссею Пушкин знал не только из «Писем русского путешественника». Карамзин был знаком с сочинениями Музеуса, но в своих письмах история доблестного крестоносца по сравнению с немецким оригиналом сильно упрощена. По мнению Листова южные поэмы Пушкина ближе к Музеусу, чем к «Письмам русского путешественника».</w:t>
      </w:r>
    </w:p>
    <w:p w:rsidR="009405AF" w:rsidRDefault="00041248">
      <w:pPr>
        <w:pStyle w:val="a3"/>
      </w:pPr>
      <w:r>
        <w:t xml:space="preserve">Сборник «Народные сказки немцев» открывается предисловием автора написанным им в виде письма Давиду Рункелю, в котором Музеус говорит о значении для литературы народного творчества вообще и о своих сказках в частности </w:t>
      </w:r>
      <w:r>
        <w:rPr>
          <w:position w:val="10"/>
        </w:rPr>
        <w:t>[2]</w:t>
      </w:r>
      <w:r>
        <w:t>:</w:t>
      </w:r>
    </w:p>
    <w:p w:rsidR="009405AF" w:rsidRDefault="00041248">
      <w:pPr>
        <w:pStyle w:val="a3"/>
      </w:pPr>
      <w:r>
        <w:t>Далее следуют четырнадцать сказок и легенд: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23"/>
        <w:gridCol w:w="2645"/>
      </w:tblGrid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Heading"/>
            </w:pPr>
            <w:r>
              <w:t>Оглавление</w:t>
            </w:r>
            <w:r>
              <w:br/>
              <w:t>(оригинальное немецкое название)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Heading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Heading"/>
            </w:pPr>
            <w:r>
              <w:t>Оглавление</w:t>
            </w:r>
            <w:r>
              <w:br/>
              <w:t>(в скобках — варианты перевода заголовков в различных изданиях)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Die Bucher der Chronika der drei Schwestern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«Хроника трёх сестёр» («Лес», «Рейнальд Вундеркинд»)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Richilde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«Рихильда»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Rolands Knappen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«Оруженосцы Роланда»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Legenden vom Rubezahl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«Легенды о Рюбецале»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Libussa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«Либуша»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Liebestreue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«Верная любовь» («Верность любви»)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Damon Amor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«Демон Амур» («Перстень»)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Der geraubte Schleier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«Украденное покрывало» («Лебединый пруд», «Похищенная вуаль»)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Stumme Liebe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«Безмолвная любовь» («Немая любовь»)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Die Entfuhrung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«Похищение»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Ulrich mit dem Buhel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«Ульрих Кривой» («Соперники»)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Melechsala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«Мелексала» («Мелехсала»)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Die Nymphe des Brunnens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«Нимфа источника» («Нимфа колодца»)</w:t>
            </w:r>
          </w:p>
        </w:tc>
      </w:tr>
      <w:tr w:rsidR="009405AF">
        <w:trPr>
          <w:jc w:val="center"/>
        </w:trPr>
        <w:tc>
          <w:tcPr>
            <w:tcW w:w="1820" w:type="dxa"/>
            <w:vAlign w:val="center"/>
          </w:tcPr>
          <w:p w:rsidR="009405AF" w:rsidRDefault="00041248">
            <w:pPr>
              <w:pStyle w:val="TableContents"/>
            </w:pPr>
            <w:r>
              <w:t>Der Schatzgraber</w:t>
            </w:r>
          </w:p>
        </w:tc>
        <w:tc>
          <w:tcPr>
            <w:tcW w:w="23" w:type="dxa"/>
            <w:vAlign w:val="center"/>
          </w:tcPr>
          <w:p w:rsidR="009405AF" w:rsidRDefault="009405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45" w:type="dxa"/>
            <w:vAlign w:val="center"/>
          </w:tcPr>
          <w:p w:rsidR="009405AF" w:rsidRDefault="00041248">
            <w:pPr>
              <w:pStyle w:val="TableContents"/>
            </w:pPr>
            <w:r>
              <w:t>«Кладоискатель» («Искатель кладов»)</w:t>
            </w:r>
          </w:p>
        </w:tc>
      </w:tr>
    </w:tbl>
    <w:p w:rsidR="009405AF" w:rsidRDefault="00041248">
      <w:pPr>
        <w:pStyle w:val="a3"/>
        <w:rPr>
          <w:position w:val="10"/>
        </w:rPr>
      </w:pPr>
      <w:r>
        <w:t>По одной из версий источником либретто «Лебединого озера» П. И. Чайковского мог послужить романтический сюжет из сказки Музеуса «Лебединый пруд» («Украденное покрывало»).</w:t>
      </w:r>
      <w:r>
        <w:rPr>
          <w:position w:val="10"/>
        </w:rPr>
        <w:t>[6]</w:t>
      </w:r>
      <w:r>
        <w:t xml:space="preserve"> </w:t>
      </w:r>
      <w:r>
        <w:rPr>
          <w:position w:val="10"/>
        </w:rPr>
        <w:t>[7]</w:t>
      </w:r>
    </w:p>
    <w:p w:rsidR="009405AF" w:rsidRDefault="00041248">
      <w:pPr>
        <w:pStyle w:val="21"/>
        <w:pageBreakBefore/>
        <w:numPr>
          <w:ilvl w:val="0"/>
          <w:numId w:val="0"/>
        </w:numPr>
      </w:pPr>
      <w:r>
        <w:t>3. Библиография</w:t>
      </w:r>
    </w:p>
    <w:p w:rsidR="009405AF" w:rsidRDefault="00041248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i/>
          <w:iCs/>
        </w:rPr>
        <w:t>Grandison der Zweite, oder Geschichte des Herrn von N***</w:t>
      </w:r>
      <w:r>
        <w:t>. 1760—1762.</w:t>
      </w:r>
    </w:p>
    <w:p w:rsidR="009405AF" w:rsidRDefault="00041248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i/>
          <w:iCs/>
        </w:rPr>
        <w:t>Das Gärtnermädchen von Vincennes</w:t>
      </w:r>
      <w:r>
        <w:t>. 1771.</w:t>
      </w:r>
    </w:p>
    <w:p w:rsidR="009405AF" w:rsidRDefault="00041248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i/>
          <w:iCs/>
        </w:rPr>
        <w:t>Physiognomische Reisen</w:t>
      </w:r>
      <w:r>
        <w:t>. 1778/1779.</w:t>
      </w:r>
    </w:p>
    <w:p w:rsidR="009405AF" w:rsidRDefault="00041248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i/>
          <w:iCs/>
        </w:rPr>
        <w:t>Der deutsche Grandison, auch eine Familiengeschichte</w:t>
      </w:r>
      <w:r>
        <w:t>. 1781/1782.</w:t>
      </w:r>
    </w:p>
    <w:p w:rsidR="009405AF" w:rsidRDefault="00041248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i/>
          <w:iCs/>
        </w:rPr>
        <w:t>Volksmährchen der Deutschen</w:t>
      </w:r>
      <w:r>
        <w:t>. 1782—1786.</w:t>
      </w:r>
    </w:p>
    <w:p w:rsidR="009405AF" w:rsidRDefault="00041248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i/>
          <w:iCs/>
        </w:rPr>
        <w:t>Freund Hein’s Erzählungen in Holbein’s Manier</w:t>
      </w:r>
      <w:r>
        <w:t>. 1785.</w:t>
      </w:r>
    </w:p>
    <w:p w:rsidR="009405AF" w:rsidRDefault="00041248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i/>
          <w:iCs/>
        </w:rPr>
        <w:t>Straußfedern</w:t>
      </w:r>
      <w:r>
        <w:t>. 1787.</w:t>
      </w:r>
    </w:p>
    <w:p w:rsidR="009405AF" w:rsidRDefault="00041248">
      <w:pPr>
        <w:pStyle w:val="a3"/>
        <w:numPr>
          <w:ilvl w:val="0"/>
          <w:numId w:val="5"/>
        </w:numPr>
        <w:tabs>
          <w:tab w:val="left" w:pos="707"/>
        </w:tabs>
      </w:pPr>
      <w:r>
        <w:rPr>
          <w:i/>
          <w:iCs/>
        </w:rPr>
        <w:t>Moralische Kinderklapper für Kinder und Nichtkinder</w:t>
      </w:r>
      <w:r>
        <w:t>. 1794.</w:t>
      </w:r>
    </w:p>
    <w:p w:rsidR="009405AF" w:rsidRDefault="00041248">
      <w:pPr>
        <w:pStyle w:val="a3"/>
        <w:rPr>
          <w:b/>
          <w:bCs/>
        </w:rPr>
      </w:pPr>
      <w:r>
        <w:rPr>
          <w:b/>
          <w:bCs/>
        </w:rPr>
        <w:t>На русском языке:</w:t>
      </w:r>
    </w:p>
    <w:p w:rsidR="009405AF" w:rsidRDefault="00041248">
      <w:pPr>
        <w:pStyle w:val="a3"/>
        <w:numPr>
          <w:ilvl w:val="0"/>
          <w:numId w:val="4"/>
        </w:numPr>
        <w:tabs>
          <w:tab w:val="left" w:pos="707"/>
        </w:tabs>
      </w:pPr>
      <w:r>
        <w:t>Народные сказки Музеуса, изданные Виландом / Перевод с немецкого Вас. Полякова. М., 1811. Т 1-2.</w:t>
      </w:r>
    </w:p>
    <w:p w:rsidR="009405AF" w:rsidRDefault="00041248">
      <w:pPr>
        <w:pStyle w:val="a3"/>
        <w:numPr>
          <w:ilvl w:val="0"/>
          <w:numId w:val="3"/>
        </w:numPr>
        <w:tabs>
          <w:tab w:val="left" w:pos="707"/>
        </w:tabs>
      </w:pPr>
      <w:r>
        <w:rPr>
          <w:i/>
          <w:iCs/>
        </w:rPr>
        <w:t>И. К. А. Музеус</w:t>
      </w:r>
      <w:r>
        <w:t xml:space="preserve"> Сказки и легенды. — Москва: Государственное издательство художественной литературы, 1960. — 279 с.</w:t>
      </w:r>
    </w:p>
    <w:p w:rsidR="009405AF" w:rsidRDefault="00041248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i/>
          <w:iCs/>
        </w:rPr>
        <w:t>И. К. А. Музеус</w:t>
      </w:r>
      <w:r>
        <w:t xml:space="preserve"> Народные сказки и легенды. — Москва: Фирма ЭРА, 2005. — 600 с. — ISBN 5-86700-031-1</w:t>
      </w:r>
    </w:p>
    <w:p w:rsidR="009405AF" w:rsidRDefault="00041248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9405AF" w:rsidRDefault="0004124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Н. М. Карамзин «Письма русского путешественника» Воспроизводится по изданию: Карамзин Н. М. Избранные сочинения в двух томах, М.-Л., 1964.</w:t>
      </w:r>
    </w:p>
    <w:p w:rsidR="009405AF" w:rsidRDefault="0004124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И. К. А. Музеус. «Народные сказки и легенды»/Вместо предисловия</w:t>
      </w:r>
    </w:p>
    <w:p w:rsidR="009405AF" w:rsidRDefault="0004124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Предисловие Виланда ко второму изданию «Народных сказок» Музеуса</w:t>
      </w:r>
    </w:p>
    <w:p w:rsidR="009405AF" w:rsidRDefault="0004124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Предисловие коллектива авторов издательства «Aufbau-Verlag». Берлин, 1962 год. Marchen und Sagen / Johann Karl August Musaus/ Berlin : Aufbau-Verl. 1962</w:t>
      </w:r>
    </w:p>
    <w:p w:rsidR="009405AF" w:rsidRDefault="0004124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B.C. Листов. Немецкие сказки Музеуса и творчество А. С. Пушкина // Пушкин и другие: Сб. ст. Новгород, 1997. С. 67—72</w:t>
      </w:r>
    </w:p>
    <w:p w:rsidR="009405AF" w:rsidRDefault="0004124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П. Е. Вайдман Балет «Лебединое озеро»</w:t>
      </w:r>
    </w:p>
    <w:p w:rsidR="009405AF" w:rsidRDefault="00041248">
      <w:pPr>
        <w:pStyle w:val="a3"/>
        <w:numPr>
          <w:ilvl w:val="0"/>
          <w:numId w:val="1"/>
        </w:numPr>
        <w:tabs>
          <w:tab w:val="left" w:pos="707"/>
        </w:tabs>
      </w:pPr>
      <w:r>
        <w:t>Елизавета Суриц «Лебединое озеро» 1877 года. К 125-летию первой постановки балета</w:t>
      </w:r>
    </w:p>
    <w:p w:rsidR="009405AF" w:rsidRDefault="00041248">
      <w:pPr>
        <w:pStyle w:val="a3"/>
        <w:spacing w:after="0"/>
      </w:pPr>
      <w:r>
        <w:t>Источник: http://ru.wikipedia.org/wiki/Музеус,_Иоганн_Карл_Август</w:t>
      </w:r>
      <w:bookmarkStart w:id="0" w:name="_GoBack"/>
      <w:bookmarkEnd w:id="0"/>
    </w:p>
    <w:sectPr w:rsidR="009405A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248"/>
    <w:rsid w:val="00041248"/>
    <w:rsid w:val="00320C86"/>
    <w:rsid w:val="0094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B3255-A8E4-4AB6-993F-851E6EC5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1942</Words>
  <Characters>11070</Characters>
  <Application>Microsoft Office Word</Application>
  <DocSecurity>0</DocSecurity>
  <Lines>92</Lines>
  <Paragraphs>25</Paragraphs>
  <ScaleCrop>false</ScaleCrop>
  <Company/>
  <LinksUpToDate>false</LinksUpToDate>
  <CharactersWithSpaces>12987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2014-05-10T06:06:00Z</dcterms:created>
  <dcterms:modified xsi:type="dcterms:W3CDTF">2014-05-10T06:06:00Z</dcterms:modified>
</cp:coreProperties>
</file>