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79" w:rsidRDefault="004F0E79" w:rsidP="00DC0B50">
      <w:pPr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val="en-US"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>Европейский</w:t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 xml:space="preserve"> </w:t>
      </w:r>
      <w:r w:rsidRPr="00DC0B50">
        <w:rPr>
          <w:rFonts w:ascii="Times New Roman" w:hAnsi="Times New Roman"/>
          <w:b/>
          <w:bCs/>
          <w:color w:val="000000"/>
          <w:lang w:eastAsia="ru-RU"/>
        </w:rPr>
        <w:t>банк</w:t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 xml:space="preserve"> </w:t>
      </w:r>
      <w:r w:rsidRPr="00DC0B50">
        <w:rPr>
          <w:rFonts w:ascii="Times New Roman" w:hAnsi="Times New Roman"/>
          <w:b/>
          <w:bCs/>
          <w:color w:val="000000"/>
          <w:lang w:eastAsia="ru-RU"/>
        </w:rPr>
        <w:t>реконструкции</w:t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 xml:space="preserve"> </w:t>
      </w:r>
      <w:r w:rsidRPr="00DC0B50">
        <w:rPr>
          <w:rFonts w:ascii="Times New Roman" w:hAnsi="Times New Roman"/>
          <w:b/>
          <w:bCs/>
          <w:color w:val="000000"/>
          <w:lang w:eastAsia="ru-RU"/>
        </w:rPr>
        <w:t>и</w:t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 xml:space="preserve"> </w:t>
      </w:r>
      <w:r w:rsidRPr="00DC0B50">
        <w:rPr>
          <w:rFonts w:ascii="Times New Roman" w:hAnsi="Times New Roman"/>
          <w:b/>
          <w:bCs/>
          <w:color w:val="000000"/>
          <w:lang w:eastAsia="ru-RU"/>
        </w:rPr>
        <w:t>развития</w:t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 xml:space="preserve"> (</w:t>
      </w:r>
      <w:r w:rsidRPr="00DC0B50">
        <w:rPr>
          <w:rFonts w:ascii="Times New Roman" w:hAnsi="Times New Roman"/>
          <w:b/>
          <w:bCs/>
          <w:color w:val="000000"/>
          <w:lang w:eastAsia="ru-RU"/>
        </w:rPr>
        <w:t>ЕБРР</w:t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>)</w:t>
      </w:r>
      <w:r w:rsidRPr="00DC0B50">
        <w:rPr>
          <w:rFonts w:ascii="Times New Roman" w:hAnsi="Times New Roman"/>
          <w:color w:val="000000"/>
          <w:lang w:val="en-US" w:eastAsia="ru-RU"/>
        </w:rPr>
        <w:br/>
      </w:r>
      <w:r w:rsidRPr="00DC0B50">
        <w:rPr>
          <w:rFonts w:ascii="Times New Roman" w:hAnsi="Times New Roman"/>
          <w:b/>
          <w:bCs/>
          <w:color w:val="000000"/>
          <w:lang w:val="en-US" w:eastAsia="ru-RU"/>
        </w:rPr>
        <w:t>European Bank of Research and development (EBRD)</w:t>
      </w:r>
      <w:r w:rsidRPr="00DC0B50">
        <w:rPr>
          <w:rFonts w:ascii="Times New Roman" w:hAnsi="Times New Roman"/>
          <w:color w:val="000000"/>
          <w:lang w:val="en-US" w:eastAsia="ru-RU"/>
        </w:rPr>
        <w:t xml:space="preserve">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Европейский банк реконструкции и развития был создан в 1990 году, приступил к деятельности в апреле 1991 года, когда в Центральной и Восточной Европе происходил крах коммунистических режимов и бывшие страны советского блока нуждались в поддержке для создания нового частного сектора в условиях демократии. Участниками Банка являются 60 стран (включая все страны бывшего СССР). Членами ЕБРР также могут быть неЕвропейские страны, являющиеся членами МВФ. Его акционерами являются страны Соединенные Штаты, Европейское Сообщество и Европейский инвестиционный банк. Штаб-квартира Банка - Лондон.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Россия является одним из учредителей и самым крупным акционером Банка. 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Цель деятельности ЕБРР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Содействие переходу к рыночной экономике, развитию частной и предпринимательской инициативы в странах ЦВЕ и СНГ.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Уставный капитал Банка.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Разрешенный к выпуску акционерный капитал составляет 20 млрд. евро. Число голосов распределяется в соответствии с количеством акций. Квота России в капитале ЕБРР - 80 тыс. акций или 4 % (на долю бывшего СССР приходилось 6%).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Структура ЕБРР.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Высший орган ЕБРР - Совет управляющих, определяющий основные направления деятельности Банка. Каждая из стран-членов ЕБРР представлена одним членом в Совете управляющих (обычно на уровне министра финансов или председателя центрального банка) и назначает одного его заместителя. Исполнительный орган - Совет директоров - состоит из 23 членов, принимает решения о политике Банка, на основе которой строится его работа, утверждает предоставление всех кредитов. Президент руководит текущей деятельностью ЕБРР, председательствует на заседаниях Совета директоров и участвует в сессиях Совета управляющих. Президент избирается на 4 года и управляет персоналом ЕБРР (831 сотрудник в штаб-квартире и 241 - в представительствах). Вице-президенты назначаются по рекомендации Президента Советом директоров, который определяет их мандат и полномочия.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Банк открыл представительства в 25 странах, включая Россию (Москва и региональные представительства в Санкт-Петербурге, Владивостоке и Екатеринбурге).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Деятельность ЕБРР.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ЕБРР оказывает содействие развитию частного сектора, укреплению финансовых учреждений и правовых систем, а также развитию инфраструктуры, необходимой для поддержки частного сектора. В государственный сектор выделяется не более 40% от общей суммы предоставляемых Банком кредитов и гарантий и осуществляемых инвестиций, приоритетные области - приватизация и структурные реформы, финансовая система, энергетика, телекоммуникации, транспорт и экологическая инфрастуктура, сельское хозяйство, природные ресурсы и туризм.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Банк оказывает также техническое содействие, которое финансируется за счет обычных основных ресурсов ЕБРР, ресурсов специальных фондов или за счет фондов сотрудничества.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К числу наиболее важных структурных показателей деятельности ЕБРР относится портфельное соотношение - процентная доля средств, направленных в частный сектор экономики стран операций, в годовом объеме подписанных Банком соглашений по финансированию проектов. Этот показатель отражает степень выполнения Банком уставных задач, связанных прежде всего с поддержкой развития частных предприятий и предпринимательства в странах с переходной экономикой. По заключенным в 1998 г. Банком соглашениям величина портфельного соотношения составила 80%.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Утвержденной в октябре 1997 г. Советом директоров Среднесрочной стратегией предусматривается примерно следующее распределение годового объема принимаемых ЕБРР обязательств: 30% - для России, 30% - для стран, находящихся на завершающих этапах переходного процесса и 40% - для стран, находящихся на начальной и промежуточной стадии переходного процесса. Указанные пропорции сохранилась в бизнес-плане Банка на 1998 г.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Банк постоянно расширяет географию своей деятельности. Наиболее крупной страной операций Банка оставалась Россия, где проекты в 1998 году было решено выделить 3,4 млрд. евро или 23,7% от общего объема одобренных Советом директоров проектов.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осуществляет операции во всех странах Центральной и Восточной Европы и СНГ и вкладывает средства в различные отрасли. Банк является крупнейшим инвестором в регионе и активно работает во всех странах операций через сеть своих представительств на местах, число которых превышает 30. Помимо выделения своих средств Банк привлекает значительные объемы прямых иностранных инвестиций. Хотя его акционерами и являются представители госсектора, ЕБРР главным образом инвестирует частные предприятия, как правило, совместно со своими коммерческими партнерами.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Он осуществляет проектное финансирование банков, предприятий и компаний, вкладывая средства, как в новые производства, так и в действующие фирмы. Он также работает с государственными компаниями в целях поддержки приватизации, структурной перестройки государственных компаний и совершенствования коммунального хозяйства. ЕБРР использует свои тесные связи с правительствами региона для продвижения политики, направленной на развитие условий для предпринимательской деятельности.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Мандат ЕБРР предусматривает его деятельность только в тех странах, которые привержены демократическим принципам. Внимательное отношение к окружающей среде является частью принципов сильного корпоративного управления, предусмотренных во всех инвестиционных операциях ЕБРР.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Каждая инвестиционная операция ЕБРР должна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·         Способствовать продвижению страны к полноценной рыночной экономике, т.е. воздействовать на процесс перехода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·         Принимать риски, тем самым, содействуя частным инвесторам, и при этом не вытесняя их </w:t>
      </w:r>
      <w:r w:rsidRPr="00DC0B50">
        <w:rPr>
          <w:rFonts w:ascii="Times New Roman" w:hAnsi="Times New Roman"/>
          <w:color w:val="000000"/>
          <w:lang w:eastAsia="ru-RU"/>
        </w:rPr>
        <w:br/>
        <w:t>·         Обеспечивать применение здоровых банковских принципов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Посредством своих инвестиций ЕБРР содействует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·         Структурным и отраслевым реформам </w:t>
      </w:r>
      <w:r w:rsidRPr="00DC0B50">
        <w:rPr>
          <w:rFonts w:ascii="Times New Roman" w:hAnsi="Times New Roman"/>
          <w:color w:val="000000"/>
          <w:lang w:eastAsia="ru-RU"/>
        </w:rPr>
        <w:br/>
        <w:t>·         Развитию конкуренции, приватизации и предпринимательства, реструктуризации естественных монополий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·         Укреплению финансовых организаций и правовой системы </w:t>
      </w:r>
      <w:r w:rsidRPr="00DC0B50">
        <w:rPr>
          <w:rFonts w:ascii="Times New Roman" w:hAnsi="Times New Roman"/>
          <w:color w:val="000000"/>
          <w:lang w:eastAsia="ru-RU"/>
        </w:rPr>
        <w:br/>
        <w:t>·         Развитию инфраструктуры, необходимой для поддержки частного сектора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·         Применению принципов сильного корпоративного управления, включая внимание к природоохранным вопросам, в рамках практического применения Кодекса корпоративного управления.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предоставляет прямое финансирование конкретных проектов для частного сектора, включая реструктурирование и приватизацию, или финансирование инфраструктуры, которая способствует осуществлению этой деятельности. Совместные предприятия, и в частности предприятия с иностранными спонсорами, являются основными бенефициарами ссуд, предоставляемых банком.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Банк располагает большим набором финансовых инструментов и использует гибкий подход при структурировании своих финансовых пакетов. Общая установка состоит в том, что стандартное минимальное участие банка составляет 5,75 млн. долларов США, хотя эта цифра не является жесткой в том случае, если проект обеспечивает стране существенные материальные преимущества. На практике средняя сумма участия банка составляет около 20,7 млн. долларов США. Прямое финансирование малых и средних предприятий не является первоочередной задачей банка; однако, у банка имеется ряд инструментов для оказания помощи частным малым и средним предприятиям.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>Ссуды ЕБРР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предоставляет ссуды, предназначенные для удовлетворения конкретных требований данного проекта. Кредитный риск может быть взят на себя банком целиком или частично объединен в синдикат на рынке. Ссуда может быть обеспечена активами заемщика, конвертирована в акции, привязана к акционерному капиталу заемщика; может быть также использовано сочетание этих методов. Банк выдает ссуду (и, следовательно, требует уплаты) в любой твердой валюте, главным образом в долларах США, немецких марках и евро. Он также начал финансировать или облегчать ссуды в некоторых национальных валютах.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При выдаче ссуд частным коммерческим предприятиям банк обычно не требует гарантий правительства страны заемщика, и ссуды обычно не имеют регресса к иностранным спонсорам после того, как осуществление проекта началось Основой для предоставления ссуды является поток денежных средств проекта и способность проекта к возмещению этой ссуды в течение согласованного периода.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Традиционно ссуды, предоставляемые такими международными организациями как ЕБРР, исключаются из пересмотров графиков суверенной задолженности, и поэтому имеют предпочтительный статус кредитора. Банки, участвующие в ссудах, предоставляемых ЕБРР заемщикам в частном секторе, где ЕБРР остается зарегистрированным кредитором, могут также воспользоваться преимуществами такого предпочтительного статуса кредитора.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Инвестирование в акционерный капитал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использует различные формы инвестирования в акционерный капитал, включая подписку на обычные или привилегированные акции. Предлагаются также квази-инвестиции в акционерный капитал - от вспомогательных займов, облигаций и доходных векселей, и до привилегированных акций, которые могут быть предъявлены к погашению. Если ЕБРР имеет долю в акционерном капитале, то он ожидает получения соответствующей прибыли на свою инвестицию. ЕБРР имеет четкую стратегию выхода для каждой инвестиции в акционерный капитал и принимает на себя только меньшую часть собственности.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может также выступать андеррайтером выпуска акций государственного или частного предприятия.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Банк рассматривает финансирование передачи акций существующих предприятий только в случае приватизации, когда такая передача определенно улучшает эффективность (например, за счет лучшего управления, реконструкции или расширения при новом виде собственности, или слияния с операциями покупателя).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>Гарантии ЕБРР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может помочь заемщикам получить доступ к финансированию путем обеспечения гарантий. Имеются различные типы гарантий - от гарантий от всех рисков и до частичных гарантий, ограниченных конкретным риском. Во всех случаях максимальный риск должен быть известным и измеримым, а кредитный риск должен быть приемлемым.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Кредитные линии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предоставляет прямое среднесрочное и долгосрочное финансирование в форме кредитных линий для отдельных финансовых посредников. В некоторых случаях ЕБРР предоставляет подобное долгосрочное финансирование правительствам, которые затем направляют эти ссуды через коммерческие или инвестиционные банки для финансирования малых и средних частных предприятий.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Механизмы совместного финансирования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осуществляет совместное финансирование проектов с национальными и иностранными банками. В этих случаях подготовка и оценка проекта делегируются банку, участвующему в совместном финансировании, но политика финансирования ЕБРР принимается во внимание при принятии каждого решения о выдаче ссуды.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Участие в акционерном капитале инвестиционных фондов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участвует в инвестиционных фондах, которые в свою очередь осуществляют инвестирование в средние частные компании, нуждающиеся в расширении своего бизнеса. Эти фонды сосредоточены на конкретном регионе, стране или отрасли промышленности; они имеют национальные представительства и управляются специалистами в области венчурного капитала. Их основные инвестиционные критерии соответствуют общей инвестиционной политике ЕБРР.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Механизмы в торговле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ЕБРР включает национальные банки в свои различные программы содействия торговле с тем, чтобы помочь им завоевать репутацию надежных и повысить их участие в международном рынке финансирования торговли.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 xml:space="preserve">Участие в акционерном капитале банков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Поддержка и развитие сектора надежных и конкурентоспособных финансовых услуг является основной целью ЕБРР. В этой области ЕБРР осуществляет инвестиции в акционерный капитал в ходе приватизации, а также в частные банки. Его основные критерии включают в себя основной упор на частный сектор, корпоративное руководство и управление.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Хотя банк стремится к обеспечению такой формы финансирования, которая наилучшим образом подходит для конкретного проекта, при этом применяются определенные общие правила: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1. ЕБРР финансирует до 35 % от общей стоимости для совершенно нового проекта или 35 % долгосрочной капитализации существующей компании.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2. Требуются значительные вклады других инвесторов в акционерный капитал, в частности от промышленных спонсоров в случае совершенно новых проектов или новых совместных предприятий, когда необходимы особые технические и управленческие навыки. В таких случаях ожидается, что промышленные спонсоры обладают большинством акций или достаточным контролем над операциями.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3. Типичные проекты в частном секторе основаны на не более чем 2/3 финансирования задолженности и не менее чем 1/3 акционерного капитала.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4. Как правило, требуется дополнительное финансирование другими участниками совместного финансирования.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5. Банк обычно не предоставляет финансовых средств инвестору для финансирования покупки имеющихся или новых акций.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6. Акционерный капитал от спонсоров не должен быть исключительно в форме наличных денег; он может иметь форму оборудования, механизмов и т.д.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Каждый проект оценивается в соответствии со стратегией ЕБРР в данной стране. Эти проекты утверждаются акционерами ЕБРР и создают как основу для операций банка, так и систему приоритетов в определенных областях.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b/>
          <w:bCs/>
          <w:color w:val="000000"/>
          <w:lang w:eastAsia="ru-RU"/>
        </w:rPr>
        <w:t>Россия и ЕБРР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Стратегической целью сотрудничества с ЕБРР является привлечение необходимых для российской экономики инвестиционных ресурсов на льготных по сравнению с другими потенциальными инвесторами условиях - с низкими процентными ставками, длительными сроками и льготным периодом возврата долга, а также в проектах со слишком высокими для других инвесторов рисками. При этом освоение кредитных средств ЕБРР осуществляется с использованием опыта Банка по разработке и реализации крупномасштабных инвестиционных проектов, с внедрением современных методов финансового менеджмента и корпоративного управления.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В соответствии с Уставом деятельность ЕБРР направлена в основном на финансовую поддержку развития частного (негосударственного) сектора экономики. Государственный сектор занимает в российском портфеле всего 18 % от общего стоимостного объема (допускается максимум до 40 %). В этом отношении Банк весьма внимательно изучает политику и практическую деятельность региональных администраций в части создания благоприятных условий для развития частного бизнеса и направляет свои ресурсы в те из них, где, с его точки зрения, достигнуты наиболее значительные результаты в реформировании экономики и обеспечены необходимые условия для деятельности иностранных инвесторов.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В соответствии с мандатом Банка основными по объёму российскими заемщиками ЕБРР являются предприятия негосударственного сектора, на которые приходится 87% одобренного финансирования из собственных средств Банка и 84% общей по России суммы заключённых кредитных и инвестиционных соглашений.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Общая стоимость одобренных проектов по России с участием ЕБРР за это время составила более 13 млрд. евро, при этом сумма одобренных вложений собственных средств ЕБРР составила около 4,0 млрд. евро. На основе утверждённых проектов ЕБРР заключил кредитных и инвестиционных соглашений с российскими предприятиями и организациями - заёмщиками на сумму 3,3 млрд. евро. Сумма использования средств по этим соглашениям составила около 2,3 млрд. евро.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В соответствии с учредительным соглашением созданы Российский специальный фонд малого бизнеса для развития частного сектора; Российский специальный фонд технического содействия малому бизнесу; Балтийский специальный инвестиционный фонд содействия частному сектору и Балтийский специальный фонд технической помощи.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Банк за прошедшие годы осуществлял инвестиции практически во все сектора российской экономики. Большая часть одобренного в 1991-2000 гг. Советом директоров финансирования ЕБРР для России приходится на реальный сектор экономики: промышленность - 24,3%, транспорт и связь - 12,1%, электроэнергетика и добывающие отрасли - 26,7%, финансово-банковский сектор - 31,7%, агробизнес - 1,8%, муниципальное развитие -1,9%. География инвестиционных проектов ЕБРР распространяется от Калининградской области (проект улучшения водоснабжения и водоочистки г. Калининграда - 16,5 млн. евро) до Камчатки (проект строительства Мутновской геотермальной электростанции - 85,6 млн. евро).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Наряду с проектами по предоставлению прямых кредитов и вложений в акционерный капитал предприятий ЕБРР имеет программы, направленные на расширение регионального аспекта его деятельности в России. Более половины проектов из кредитного портфеля Банка являются подпроектами Российского фонда малого бизнеса (РФМБ) и Программы региональных венчурных фондов (РВФ).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Программа региональных венчурных фондов на сумму 300 млн. долларов США была одобрена Советом директоров ЕБРР в соответствии с просьбой Российской Федерации. Начиная с 1994 года, на территории России создано 11 РВФ, основной задачей которых является финансирование российских предприятий в регионах России через участие в их капитале. По данным на конец 1999 года в рамках программы РВФ распределены 83,7 млн. евро (около 30% от общего финансирования программы), из них 56 млн. евро составили прямые инвестиции в уставные капиталы российских предприятий.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Программа российского Фонда малого бизнеса (общая начальная сумма - 300 млн. долларов США) предусматривает предоставление микрокредитов малым российским предприятиям через ряд российских банков и созданный под эгидой ЕБРР специально для РФМБ "Банк микрофинансирования". Всего на конец 1999 года в рамках программы распределено 97 млн. евро (около 50% от одобренного финансирования программы).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Программа сотрудничества Российской Федерации с Европейским банком реконструкции и развития состоит из проектов, финансирование которых предполагается осуществлять под государственную гарантию, и коммерческих проектов, предоставление правительственных гарантий по которым не требуется.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Объёмы и приоритеты заимствования в ЕБРР, а также отраслевая структура и типы займов определяются в Программе сотрудничества, которая разрабатывается Минфином России и Минэкономразвития России и передаётся на рассмотрение Межведомственной комиссии Российской Федерации по сотрудничеству с международными финансовыми и экономическими организациями (МВК) или иной комиссии, установленной Правительством Российской Федерации. Для рассмотрения вопросов сотрудничества России с ЕБРР создаётся, по согласованию с ЕБРР, двусторонняя рабочая группа (РГ) в состав которой входят представители Европейского банка реконструкции и развития, с одной стороны, и Минэкономразвития России, Минфина России, МИД России, Минпромнауки России, Банка России, Аппарата Правительства Российской Федерации и Федерального центра проектного финансирования, с другой стороны. К работе в группе привлекаются представители отраслевых министерств и ведомств в пределах компетенции, а также представитель от Российской Федерации в Совете директоров ЕБРР и сотрудники российской дирекции Банка.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В октябре 2001 года на заседании Правительства Российской Федерации была одобрена программа сотрудничества Российской Федерации с Европейским банком реконструкции и развития (ЕБРР)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Согласно принятой программе построение отношений с ЕБРР должно осуществляться в рамках единой стратегии заимствования Российской Федерации у Международных банков развития (МБР), определяющей приоритеты, цели, объёмы и инструменты заимствований у МБР.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При этом надо учесть, что принятая на 10-м заседании Совета управляющих ЕБРР в апреле 2001 г. Среднесрочная стратегия развития Банка до 2005 года предусматривает постепенное смещение ориентиров Банка на Восток, в первую очередь в сторону России. Активизация операций Банка в России предусматривается и принятой в ЕБРР Стратегией операций ЕБРР в России. Это даёт возможность увеличить долю России в инвестиционном портфеле Банка до 30% (сегодня - около 20%) и довести объём новых инвестиций ЕБРР в российскую экономику до 1 млрд. евро в год уже к 2003 году. Такое решение ЕБРР об увеличении инвестиций в Российскую Федерацию позволит осуществлять финансирование, как коммерческих проектов, так и проектов, требующих предоставления суверенной гарантии. Таким образом, существует возможность финансирования проектов, имеющих государственное значение, за счёт ресурсов ЕБРР, предоставляемых под суверенную гарантию, в случае недостаточности средств внутренних источников, включая федеральный бюджет.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Основными приоритетами в период действия новой Стратегии будут: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·         содействие структурной перестройке инфраструктуры</w:t>
      </w:r>
      <w:r w:rsidRPr="00DC0B50">
        <w:rPr>
          <w:rFonts w:ascii="Times New Roman" w:hAnsi="Times New Roman"/>
          <w:color w:val="000000"/>
          <w:lang w:eastAsia="ru-RU"/>
        </w:rPr>
        <w:br/>
        <w:t>·         поощрение структурной перестройки и привлечение стратегических инвесторов в корпоративный сектор</w:t>
      </w:r>
      <w:r w:rsidRPr="00DC0B50">
        <w:rPr>
          <w:rFonts w:ascii="Times New Roman" w:hAnsi="Times New Roman"/>
          <w:color w:val="000000"/>
          <w:lang w:eastAsia="ru-RU"/>
        </w:rPr>
        <w:br/>
        <w:t>·         содействие развитию малого бизнеса и расширение регионального охвата</w:t>
      </w:r>
      <w:r w:rsidRPr="00DC0B50">
        <w:rPr>
          <w:rFonts w:ascii="Times New Roman" w:hAnsi="Times New Roman"/>
          <w:color w:val="000000"/>
          <w:lang w:eastAsia="ru-RU"/>
        </w:rPr>
        <w:br/>
        <w:t>·         содействие конкуренции и поддержка реформы финансового сектора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На основе приоритетов инвестиционной политики Российской Федерации и с учетом состава федеральных целевых программ и федеральной адресной инвестиционной программы сформулированы критерии отбора проектов для привлечения суверенных займов ЕБРР или предоставления суверенных гарантий. К ним относятся: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- невозможность прямого бюджетного финансирования; 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- "некоммерциализируемость", т.е. невозможность эффективной реализации проекта на коммерческих условиях; 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- укрепление федерализма и региональной интеграции; 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- социальная значимость; 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- мультипликативный эффект; </w:t>
      </w:r>
      <w:r w:rsidRPr="00DC0B50">
        <w:rPr>
          <w:rFonts w:ascii="Times New Roman" w:hAnsi="Times New Roman"/>
          <w:color w:val="000000"/>
          <w:lang w:eastAsia="ru-RU"/>
        </w:rPr>
        <w:br/>
        <w:t xml:space="preserve">- содействие охране окружающей среды.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В рамках приоритетных направлений программы выделено сотрудничество в области телекоммуникаций.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Основные задачи банка в секторе телекоммуникаций, информационных технологий и средств массовой информации это:</w:t>
      </w:r>
    </w:p>
    <w:p w:rsidR="00301BE2" w:rsidRPr="00DC0B50" w:rsidRDefault="00301BE2" w:rsidP="00DC0B50">
      <w:pPr>
        <w:numPr>
          <w:ilvl w:val="0"/>
          <w:numId w:val="3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содействие расширения телекоммуникационной сети и повышение качества связи </w:t>
      </w:r>
    </w:p>
    <w:p w:rsidR="00301BE2" w:rsidRPr="00DC0B50" w:rsidRDefault="00301BE2" w:rsidP="00DC0B50">
      <w:pPr>
        <w:numPr>
          <w:ilvl w:val="0"/>
          <w:numId w:val="3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поощрение к появлению новых и коммуникационных услуг </w:t>
      </w:r>
    </w:p>
    <w:p w:rsidR="00301BE2" w:rsidRPr="00DC0B50" w:rsidRDefault="00301BE2" w:rsidP="00DC0B50">
      <w:pPr>
        <w:numPr>
          <w:ilvl w:val="0"/>
          <w:numId w:val="3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ускорение процесса приватизации </w:t>
      </w:r>
    </w:p>
    <w:p w:rsidR="00301BE2" w:rsidRPr="00DC0B50" w:rsidRDefault="00301BE2" w:rsidP="00DC0B50">
      <w:pPr>
        <w:numPr>
          <w:ilvl w:val="0"/>
          <w:numId w:val="3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помощь в развитии секторов вне рамок традиционных телефонных услуг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Стратегия банка - содействовать модернизации и расширению IT методами: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приватизации государственных телекоммуникационных операторов (опыт банка в Венгрии, Румынии, начало работы в Польше и Литве);</w:t>
      </w:r>
    </w:p>
    <w:p w:rsidR="00301BE2" w:rsidRPr="00DC0B50" w:rsidRDefault="00301BE2" w:rsidP="00DC0B50">
      <w:pPr>
        <w:numPr>
          <w:ilvl w:val="0"/>
          <w:numId w:val="4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мобилизации финансирования частного сектора; </w:t>
      </w:r>
    </w:p>
    <w:p w:rsidR="00301BE2" w:rsidRPr="00DC0B50" w:rsidRDefault="00301BE2" w:rsidP="00DC0B50">
      <w:pPr>
        <w:numPr>
          <w:ilvl w:val="0"/>
          <w:numId w:val="4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стимулирования появлений новых гибких направлений; </w:t>
      </w:r>
    </w:p>
    <w:p w:rsidR="00301BE2" w:rsidRPr="00DC0B50" w:rsidRDefault="00301BE2" w:rsidP="00DC0B50">
      <w:pPr>
        <w:numPr>
          <w:ilvl w:val="0"/>
          <w:numId w:val="4"/>
        </w:numPr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 xml:space="preserve">взаимодействия с коммерческими кредиторами, институтами, занимающимися диверсификацией своего бизнеса, телекоммуникационными операторами и провайдерами.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За период с 1992 по 2000 гг. ЕБРР финансировал 6 общероссийских и 2 региональных негосударственных проекта в области телекоммуникаций на общую сумму 1,645 млн. евро, в том числе инвестиции Банка - 143,830 евро.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C0B50">
        <w:rPr>
          <w:rFonts w:ascii="Times New Roman" w:hAnsi="Times New Roman"/>
          <w:color w:val="000000"/>
          <w:lang w:eastAsia="ru-RU"/>
        </w:rPr>
        <w:t>Представляется целесообразным привлечь ЕБРР к работам по развертыванию информационно-телекоммуникационной инфраструктуры, космического сегмента, для создания услуг связи (аналоговое и цифровое телевидение, радиотрансляция, телефония, передача данных, видеоконференции, высокоскоростной доступ в Интернет и др.) российским и международным телерадиокомпаниям, а также правительственным структурам.</w:t>
      </w:r>
    </w:p>
    <w:p w:rsidR="00301BE2" w:rsidRPr="00DC0B50" w:rsidRDefault="00301BE2" w:rsidP="00DC0B50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lang w:eastAsia="ru-RU"/>
        </w:rPr>
      </w:pPr>
    </w:p>
    <w:p w:rsidR="00301BE2" w:rsidRPr="00DC0B50" w:rsidRDefault="00301BE2" w:rsidP="00DC0B50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lang w:eastAsia="ru-RU"/>
        </w:rPr>
      </w:pPr>
    </w:p>
    <w:p w:rsidR="00301BE2" w:rsidRPr="008C2154" w:rsidRDefault="00301BE2" w:rsidP="00DC0B50">
      <w:pPr>
        <w:spacing w:after="0" w:line="240" w:lineRule="auto"/>
        <w:outlineLvl w:val="1"/>
        <w:rPr>
          <w:rFonts w:ascii="Times New Roman" w:hAnsi="Times New Roman"/>
          <w:b/>
          <w:bCs/>
          <w:color w:val="000000"/>
          <w:lang w:eastAsia="ru-RU"/>
        </w:rPr>
      </w:pPr>
      <w:r w:rsidRPr="008C2154">
        <w:rPr>
          <w:rFonts w:ascii="Times New Roman" w:hAnsi="Times New Roman"/>
          <w:b/>
          <w:bCs/>
          <w:color w:val="000000"/>
          <w:lang w:eastAsia="ru-RU"/>
        </w:rPr>
        <w:t>Парижский клуб кредиторов. Миссия и цели. Страны участники</w:t>
      </w:r>
    </w:p>
    <w:p w:rsidR="00301BE2" w:rsidRPr="008C2154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>Парижский клуб кредиторов это важнейшее неформальное финансовое объединение лидеров мировой экономики. Парижский клуб более влиятелен, чем, например, Лондонский клуб, и объединяет в себе представителей банков-кредиторов 19 стран - Австралия, Австрия, Бельгия, Великобритания, Германия, Дания, Ирландия, Испания, Италия, Канада, Нидерланды, Норвегия, Россия, США, Финляндия, Франция, Швейцария, Швеция, Япония. Парижский клуб кредиторов был создан в 1956 году для обсуждения и урегулирования проблем задолженности суверенных государств.</w:t>
      </w:r>
      <w:r w:rsidRPr="008C2154">
        <w:rPr>
          <w:rFonts w:ascii="Times New Roman" w:hAnsi="Times New Roman"/>
          <w:color w:val="000000"/>
          <w:lang w:eastAsia="ru-RU"/>
        </w:rPr>
        <w:br/>
        <w:t>Главная идея деятельности Парижского клуба - проявлять заботу о наиболее бедных странах, имеющих явно безнадежную внешнюю задолженность. Общественное мнение вполне поддерживает списание беднейшим странам части долгов. Еще в декабре 1994 года Парижский клуб решил, что в отдельных случаях может быть списано до 67 % долга той или иной страны. В феврале 1995 года Уганда стала первой страной, получившей такую скидку. Сейчас максимальная скидка увеличена до 80 %. Максимальная скидка предоставляется не всем. Для этого должнику нужно не только быть бедным, но и активно проводить рыночные реформы.</w:t>
      </w:r>
      <w:r w:rsidRPr="008C2154">
        <w:rPr>
          <w:rFonts w:ascii="Times New Roman" w:hAnsi="Times New Roman"/>
          <w:color w:val="000000"/>
          <w:lang w:eastAsia="ru-RU"/>
        </w:rPr>
        <w:br/>
        <w:t>В 1995 году Россия вступила в Парижский клуб в качестве кредитора. Членство в Парижском клубе имеет для России неоспоримые преимущества. Развивающиеся страны Парижский клуб чрезвычайно уважают. Только Парижский клуб может при желании списать сколько угодно долгов и выдавать сколько угодно кредитов. И поэтому именно от него в наибольшей степени зависит экономическая политика развивающихся стран.</w:t>
      </w:r>
      <w:r w:rsidRPr="008C2154">
        <w:rPr>
          <w:rFonts w:ascii="Times New Roman" w:hAnsi="Times New Roman"/>
          <w:color w:val="000000"/>
          <w:lang w:eastAsia="ru-RU"/>
        </w:rPr>
        <w:br/>
        <w:t>Так что, вступив в Парижский клуб, Россия, прежде всего, получила реальную возможность влиять на мировую экономику. Во-первых, контролировать экономическую политику развивающихся и постсоциалистических стран, задолжавших клубу. Во-вторых, на равных разговаривать с МВФ. Вступление в клуб позволит России повысить свой кредитный рейтинг и еще успешнее размещать еврооблигации.</w:t>
      </w:r>
      <w:r w:rsidRPr="008C2154">
        <w:rPr>
          <w:rFonts w:ascii="Times New Roman" w:hAnsi="Times New Roman"/>
          <w:color w:val="000000"/>
          <w:lang w:eastAsia="ru-RU"/>
        </w:rPr>
        <w:br/>
        <w:t xml:space="preserve">В настоящее время Россия уже погасила всю свою задолженность перед странами Парижского клуба, и наступит время, когда отношения между Россией и лидерами мировой экономики будут носить партнерский, равноправный характер. </w:t>
      </w:r>
    </w:p>
    <w:p w:rsidR="00301BE2" w:rsidRPr="008C2154" w:rsidRDefault="00301BE2" w:rsidP="00DC0B50">
      <w:pPr>
        <w:spacing w:after="0" w:line="240" w:lineRule="auto"/>
        <w:outlineLvl w:val="3"/>
        <w:rPr>
          <w:rFonts w:ascii="Times New Roman" w:hAnsi="Times New Roman"/>
          <w:b/>
          <w:bCs/>
          <w:color w:val="000000"/>
          <w:lang w:eastAsia="ru-RU"/>
        </w:rPr>
      </w:pPr>
      <w:r w:rsidRPr="008C2154">
        <w:rPr>
          <w:rFonts w:ascii="Times New Roman" w:hAnsi="Times New Roman"/>
          <w:b/>
          <w:bCs/>
          <w:color w:val="000000"/>
          <w:lang w:eastAsia="ru-RU"/>
        </w:rPr>
        <w:t>Основные принципы работы Парижского клуба</w:t>
      </w:r>
    </w:p>
    <w:p w:rsidR="00301BE2" w:rsidRPr="008C2154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>В своей работе Парижский клуб руководствуется тремя основными принципами: наличие непосредственной угрозы прекращения платежей, обусловленность реструктуризации долга обязательством должника проводить определенную экономическую политику и равномерное распределение бремени невыплаченных долгов среди кредиторов. Первые два принципа — это условия, которые страна-должник обязана выполнить, прежде чем вопрос о пересмотре старых условий погашения кредита может быть рассмотрен Парижским клубом. Третий принцип относится к позиции кредиторов и не является обязательным: он гласит, что в распределении между собой бремени проблем, связанных с пересмотром условий погашения кредитов, кредиторы должны действовать сообща и координировать свои действия и требования.</w:t>
      </w:r>
      <w:r w:rsidRPr="008C2154">
        <w:rPr>
          <w:rFonts w:ascii="Times New Roman" w:hAnsi="Times New Roman"/>
          <w:color w:val="000000"/>
          <w:lang w:eastAsia="ru-RU"/>
        </w:rPr>
        <w:br/>
        <w:t>1. Наличие непосредственной угрозы прекращения платежей по погашению задолженности.</w:t>
      </w:r>
      <w:r w:rsidRPr="008C2154">
        <w:rPr>
          <w:rFonts w:ascii="Times New Roman" w:hAnsi="Times New Roman"/>
          <w:color w:val="000000"/>
          <w:lang w:eastAsia="ru-RU"/>
        </w:rPr>
        <w:br/>
        <w:t>Для того чтобы условия погашения кредита могли быть пересмотрены, должнику следует доказать, что без этого он не в состоянии выполнить свои обязательства по выплате внешнего долга. Как правило, наличие крупных задолженностей по платежам в погашение внешних кредитов является для Парижского клуба достаточным доказательством того, что эти платежи вскоре будут прекращены. Кроме того, Парижский клуб может проанализировать степень серьезности проблем данной страны с помощью прогноза МВФ о состоянии платежного баланса страны на будущий год.</w:t>
      </w:r>
      <w:r w:rsidRPr="008C2154">
        <w:rPr>
          <w:rFonts w:ascii="Times New Roman" w:hAnsi="Times New Roman"/>
          <w:color w:val="000000"/>
          <w:lang w:eastAsia="ru-RU"/>
        </w:rPr>
        <w:br/>
        <w:t>Такие договорные обязательства по платежам, как правило, относятся к кредитам или особым финансовым условиям, предоставленным либо непосредственно правительству страны-должника, либо его уполномоченным учреждениям и ведомствам (долг государственного сектора), либо частным юридическим лицам, если они поместили сумму в местной валюте, равную сумме задолженности, в отечественный коммерческий банк или в центральный банк данной строены, и перевод средств иностранному кредитору в конвертируемой валюте не был осуществлен из-за нехватки иностранной валюты (долг частного сектора). Неспособность частного должника привлечь достаточные средства в национальной валюте для приобретения необходимой суммы в иностранной валюте (чтобы потом выплатить долг иностранному кредитору) не считается наличием непосредственной угрозы прекращения выплат по погашению задолженности. Такая ситуация представляет собой реализацию коммерческого риска и не влечет никакой ответственности со стороны государства.</w:t>
      </w:r>
      <w:r w:rsidRPr="008C2154">
        <w:rPr>
          <w:rFonts w:ascii="Times New Roman" w:hAnsi="Times New Roman"/>
          <w:color w:val="000000"/>
          <w:lang w:eastAsia="ru-RU"/>
        </w:rPr>
        <w:br/>
        <w:t>2. Условия погашения для должников.</w:t>
      </w:r>
      <w:r w:rsidRPr="008C2154">
        <w:rPr>
          <w:rFonts w:ascii="Times New Roman" w:hAnsi="Times New Roman"/>
          <w:color w:val="000000"/>
          <w:lang w:eastAsia="ru-RU"/>
        </w:rPr>
        <w:br/>
        <w:t>Смягчение условий погашения задолженности путем отсрочки платежей направлено на то, чтобы должнику восстановить кредитоспособность через осуществление всеобъемлющих реформ и преобразований. Поэтому государства- кредиторы идут на пересмотр графиков погашения задолженностей лишь при условии принятия странами-должниками программ макроэкономических преобразований, финансируемых при помощи дополнительных ссуд от МВФ. Данному факту государства-кредиторы придают большое значение. Обычно, в согласованном протоколе о пересмотре условий погашения задолженности содержится такое замечание: «Положения настоящего протокола сохраняют силу до тех пор, пока Республика Х имеет договоренность с Международным валютным фондом о дополнительных ссудах».</w:t>
      </w:r>
      <w:r w:rsidRPr="008C2154">
        <w:rPr>
          <w:rFonts w:ascii="Times New Roman" w:hAnsi="Times New Roman"/>
          <w:color w:val="000000"/>
          <w:lang w:eastAsia="ru-RU"/>
        </w:rPr>
        <w:br/>
        <w:t>У должников, испытывающих финансовые трудности, зачастую накапливаются большие суммы неплатежей по погашению задолженности не только перед официальными и частными кредиторами, но и перед МВФ. Устав МВФ запрещает предоставлять таким странам новые кредиты и ссуды и, следовательно, заключать с ними соответствующие дополнительные договоренности. А это, в свою очередь, лишает страны-кредиторы Парижского клуба возможности урегулировать финансовые отношения с такими странами.</w:t>
      </w:r>
      <w:r w:rsidRPr="008C2154">
        <w:rPr>
          <w:rFonts w:ascii="Times New Roman" w:hAnsi="Times New Roman"/>
          <w:color w:val="000000"/>
          <w:lang w:eastAsia="ru-RU"/>
        </w:rPr>
        <w:br/>
        <w:t>Чтобы вырваться из этого заколдованного круга, Парижский клуб разработал специальную стратегию, согласно которой страна-должник должна осуществлять программу макроэкономических преобразований в соответствии с требованиями, которые предъявляются к получателям дополнительных ссуд от МВФ. По мере успешного внедрения такой программы страна постепенно завоевывает право на получение финансовой помощи Фонда. И тогда эти права используются для погашения имеющихся задолженностей. К моменту завершения указанной программы страна-должник должна полностью рассчитаться с долгами и приобрести право на получение кредитов от МВФ в обычном порядке.</w:t>
      </w:r>
      <w:r w:rsidRPr="008C2154">
        <w:rPr>
          <w:rFonts w:ascii="Times New Roman" w:hAnsi="Times New Roman"/>
          <w:color w:val="000000"/>
          <w:lang w:eastAsia="ru-RU"/>
        </w:rPr>
        <w:br/>
        <w:t>Обусловленность кредитов обязательствам должников проводить определенную экономическую политику не является строгим юридическим термином. Определения этого принципа нет даже в Договорах о Международном валютном фонде и о Всемирном банке. Некоторые страны-должники утверждают, что обусловленность кредитов МВФ обязательством проводить определенную экономическую политику лишь усугубляет экономические трудности.</w:t>
      </w:r>
      <w:r w:rsidRPr="008C2154">
        <w:rPr>
          <w:rFonts w:ascii="Times New Roman" w:hAnsi="Times New Roman"/>
          <w:color w:val="000000"/>
          <w:lang w:eastAsia="ru-RU"/>
        </w:rPr>
        <w:br/>
        <w:t xml:space="preserve">План преобразований МВФ, который излагается в письме-обязательстве страны- заемщика, включает в себя, как правило, следующие требования: </w:t>
      </w:r>
    </w:p>
    <w:p w:rsidR="00301BE2" w:rsidRPr="008C2154" w:rsidRDefault="00301BE2" w:rsidP="00DC0B5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 xml:space="preserve">ограничение роста денежной массы, </w:t>
      </w:r>
    </w:p>
    <w:p w:rsidR="00301BE2" w:rsidRPr="008C2154" w:rsidRDefault="00301BE2" w:rsidP="00DC0B5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 xml:space="preserve">сокращение дефицита государственного бюджета, </w:t>
      </w:r>
    </w:p>
    <w:p w:rsidR="00301BE2" w:rsidRPr="008C2154" w:rsidRDefault="00301BE2" w:rsidP="00DC0B5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 xml:space="preserve">контроль над предоставлением кредитов, совершенствование политики обменного курса национальной валюты (речь идет об устранении искусственного завышения курса путем девальвации), </w:t>
      </w:r>
    </w:p>
    <w:p w:rsidR="00301BE2" w:rsidRPr="008C2154" w:rsidRDefault="00301BE2" w:rsidP="00DC0B5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 xml:space="preserve">устранение контроля над ценами, совершенствование торгового баланса, </w:t>
      </w:r>
    </w:p>
    <w:p w:rsidR="00301BE2" w:rsidRPr="008C2154" w:rsidRDefault="00301BE2" w:rsidP="00DC0B5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 xml:space="preserve">ограничение вмешательства государства в экономику. </w:t>
      </w:r>
    </w:p>
    <w:p w:rsidR="00301BE2" w:rsidRPr="008C2154" w:rsidRDefault="00301BE2" w:rsidP="00DC0B50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8C2154">
        <w:rPr>
          <w:rFonts w:ascii="Times New Roman" w:hAnsi="Times New Roman"/>
          <w:color w:val="000000"/>
          <w:lang w:eastAsia="ru-RU"/>
        </w:rPr>
        <w:t>Однако в практическом плане программы преобразований МВФ связаны с сокращением расходов на социальные нужды (образование, здравоохранение и т.п.) и отменой государственных дотаций на производство продуктов питания и других товаров и услуг первой необходимости. Выполнение таких программ во многих случаях приводило к беспорядкам и политической нестабильности, так что при осуществлении подобных планов стабилизации правительство страны- должника нередко вынужденно прибегать к репрессивным мерам против собственного народа.</w:t>
      </w:r>
      <w:r w:rsidRPr="008C2154">
        <w:rPr>
          <w:rFonts w:ascii="Times New Roman" w:hAnsi="Times New Roman"/>
          <w:color w:val="000000"/>
          <w:lang w:eastAsia="ru-RU"/>
        </w:rPr>
        <w:br/>
        <w:t>Бывают и исключения из этого правила: если страна-должник не является членом МВФ, она обсуждает необходимые преобразования непосредственно с кредиторами. Как правило, страны-кредиторы направляют в эту страну группу экспертом для оценки, реальной экономической обстановки. Такие группы были направлены в 1994 году в Польшу и Мозамбик до того, как эти государства вступили в МВФ. Такой же подход был принят и в отношении Кубы, а эта страна не является членом МВФ. Кроме того, кредиторы утверждают, что страны- должники неохотно идут на такие условия; ведь в отличие от МВФ Парижский клуб не в состоянии предоставить новые кредиты в качестве стимула к проведению экономических реформ.</w:t>
      </w:r>
      <w:r w:rsidRPr="008C2154">
        <w:rPr>
          <w:rFonts w:ascii="Times New Roman" w:hAnsi="Times New Roman"/>
          <w:color w:val="000000"/>
          <w:lang w:eastAsia="ru-RU"/>
        </w:rPr>
        <w:br/>
        <w:t>3. Равномерное распределение бремени непогашенных долговых обязательств среди кредиторов.</w:t>
      </w:r>
      <w:r w:rsidRPr="008C2154">
        <w:rPr>
          <w:rFonts w:ascii="Times New Roman" w:hAnsi="Times New Roman"/>
          <w:color w:val="000000"/>
          <w:lang w:eastAsia="ru-RU"/>
        </w:rPr>
        <w:br/>
        <w:t>Данное правило называют еще принципом равных условий. Оно обеспечивает равномерное распределение среди кредиторов бремени проблем, связанных с пересмотром условий погашения долговых обязательств. В целях упрощения этой работы кредиторы Парижского клуба, как правило, договариваются о том, что для всех кредитов, предоставленных данной стране до определенного срока, будет установлен один и тот же льготный период и срок погашения.</w:t>
      </w:r>
      <w:r w:rsidRPr="008C2154">
        <w:rPr>
          <w:rFonts w:ascii="Times New Roman" w:hAnsi="Times New Roman"/>
          <w:color w:val="000000"/>
          <w:lang w:eastAsia="ru-RU"/>
        </w:rPr>
        <w:br/>
        <w:t>Указанный принцип распространяется и на кредиторов, не участвующих в переговорах в рамках Парижского клуба. Официальные кредиторы не хотят, чтобы уступки, предоставляемые Парижским клубом, использовались должниками для покрытия долговых обязательств перед другими категориями кредиторов. Поэтому в протоколе о пересмотре условий погашения задолженностей содержится требование в адрес страны-должника о необходимости добиваться аналогичных уступок по условиям погашения внешних задолженностей и от других кредиторов. Соответствующее положение протокола гласит: «В целях обеспечения равных условна для государств-кредиторов от частных кредиторов, правительство Республики «икс» обязуется добиваться от иностранных кредиторов, в том числе от банков и фирм-поставщиков, отсрочек и условий рефинансирования аналогичных изложенным в настоящем протоколе в отношении кредитов с аналогичным сроком погашения, с тем чтобы не допустить возникновения неравных условии для различных категории кредиторов».</w:t>
      </w:r>
      <w:r w:rsidRPr="008C2154">
        <w:rPr>
          <w:rFonts w:ascii="Times New Roman" w:hAnsi="Times New Roman"/>
          <w:color w:val="000000"/>
          <w:lang w:eastAsia="ru-RU"/>
        </w:rPr>
        <w:br/>
        <w:t xml:space="preserve">Переговоры в Парижском клубе не требуют больших затрат, однако для представителей стран-должников эта процедура унизительна и неприятна. Как правило, переговоры в Парижском клубе завершаются в течение одного дня, но иногда бывают более продолжительными. Самые короткие за всю историю клуба переговоры были в октябре 1983 г., когда для достижения договоренностей с делегацией Малави потребовался всего один час. Случается, что переговоры занимают довольно много времени, а бывает, что и заходят в тупик. </w:t>
      </w:r>
    </w:p>
    <w:p w:rsidR="00301BE2" w:rsidRPr="00DC0B50" w:rsidRDefault="00301BE2" w:rsidP="00DC0B50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301BE2" w:rsidRPr="00DC0B50" w:rsidSect="0096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B0B22"/>
    <w:multiLevelType w:val="multilevel"/>
    <w:tmpl w:val="9030E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C0F4F"/>
    <w:multiLevelType w:val="multilevel"/>
    <w:tmpl w:val="EBE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41E3B"/>
    <w:multiLevelType w:val="multilevel"/>
    <w:tmpl w:val="FF203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F50A5"/>
    <w:multiLevelType w:val="multilevel"/>
    <w:tmpl w:val="157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54"/>
    <w:rsid w:val="002D34E2"/>
    <w:rsid w:val="00301BE2"/>
    <w:rsid w:val="003512A5"/>
    <w:rsid w:val="004F0E79"/>
    <w:rsid w:val="008C2154"/>
    <w:rsid w:val="00967407"/>
    <w:rsid w:val="00A90412"/>
    <w:rsid w:val="00CC3C68"/>
    <w:rsid w:val="00D75DCA"/>
    <w:rsid w:val="00DC0B50"/>
    <w:rsid w:val="00E63A3E"/>
    <w:rsid w:val="00F01E86"/>
    <w:rsid w:val="00F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F14C-13D1-43A7-8E3D-4B3DC16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0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2154"/>
    <w:pPr>
      <w:spacing w:before="45" w:after="150" w:line="240" w:lineRule="auto"/>
      <w:outlineLvl w:val="1"/>
    </w:pPr>
    <w:rPr>
      <w:rFonts w:ascii="Times New Roman" w:eastAsia="Calibri" w:hAnsi="Times New Roman"/>
      <w:b/>
      <w:bCs/>
      <w:color w:val="000000"/>
      <w:sz w:val="36"/>
      <w:szCs w:val="36"/>
      <w:lang w:eastAsia="ru-RU"/>
    </w:rPr>
  </w:style>
  <w:style w:type="paragraph" w:styleId="4">
    <w:name w:val="heading 4"/>
    <w:basedOn w:val="a"/>
    <w:link w:val="40"/>
    <w:qFormat/>
    <w:rsid w:val="008C2154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8C2154"/>
    <w:rPr>
      <w:rFonts w:ascii="Times New Roman" w:hAnsi="Times New Roman" w:cs="Times New Roman"/>
      <w:b/>
      <w:bCs/>
      <w:color w:val="000000"/>
      <w:sz w:val="36"/>
      <w:szCs w:val="36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8C2154"/>
    <w:rPr>
      <w:rFonts w:ascii="Times New Roman" w:hAnsi="Times New Roman" w:cs="Times New Roman"/>
      <w:b/>
      <w:bCs/>
      <w:color w:val="000000"/>
      <w:sz w:val="24"/>
      <w:szCs w:val="24"/>
      <w:lang w:val="x-none" w:eastAsia="ru-RU"/>
    </w:rPr>
  </w:style>
  <w:style w:type="character" w:styleId="a3">
    <w:name w:val="Hyperlink"/>
    <w:basedOn w:val="a0"/>
    <w:semiHidden/>
    <w:rsid w:val="008C2154"/>
    <w:rPr>
      <w:rFonts w:cs="Times New Roman"/>
      <w:color w:val="0000FF"/>
      <w:u w:val="single"/>
    </w:rPr>
  </w:style>
  <w:style w:type="character" w:styleId="a4">
    <w:name w:val="Emphasis"/>
    <w:basedOn w:val="a0"/>
    <w:qFormat/>
    <w:rsid w:val="008C2154"/>
    <w:rPr>
      <w:rFonts w:cs="Times New Roman"/>
      <w:i/>
      <w:iCs/>
    </w:rPr>
  </w:style>
  <w:style w:type="character" w:customStyle="1" w:styleId="y5black">
    <w:name w:val="y5_black"/>
    <w:basedOn w:val="a0"/>
    <w:rsid w:val="008C2154"/>
    <w:rPr>
      <w:rFonts w:cs="Times New Roman"/>
    </w:rPr>
  </w:style>
  <w:style w:type="character" w:customStyle="1" w:styleId="y5white">
    <w:name w:val="y5_white"/>
    <w:basedOn w:val="a0"/>
    <w:rsid w:val="008C2154"/>
    <w:rPr>
      <w:rFonts w:cs="Times New Roman"/>
    </w:rPr>
  </w:style>
  <w:style w:type="paragraph" w:styleId="a5">
    <w:name w:val="Balloon Text"/>
    <w:basedOn w:val="a"/>
    <w:link w:val="a6"/>
    <w:semiHidden/>
    <w:rsid w:val="008C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8C2154"/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rsid w:val="00DC0B5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30"/>
                  <w:marRight w:val="30"/>
                  <w:marTop w:val="30"/>
                  <w:marBottom w:val="30"/>
                  <w:divBdr>
                    <w:top w:val="single" w:sz="6" w:space="0" w:color="B8B8B8"/>
                    <w:left w:val="single" w:sz="6" w:space="0" w:color="B8B8B8"/>
                    <w:bottom w:val="single" w:sz="6" w:space="0" w:color="B8B8B8"/>
                    <w:right w:val="single" w:sz="6" w:space="0" w:color="B8B8B8"/>
                  </w:divBdr>
                  <w:divsChild>
                    <w:div w:id="8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">
                      <w:marLeft w:val="60"/>
                      <w:marRight w:val="12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">
                  <w:marLeft w:val="30"/>
                  <w:marRight w:val="30"/>
                  <w:marTop w:val="30"/>
                  <w:marBottom w:val="30"/>
                  <w:divBdr>
                    <w:top w:val="single" w:sz="6" w:space="0" w:color="B8B8B8"/>
                    <w:left w:val="single" w:sz="6" w:space="0" w:color="B8B8B8"/>
                    <w:bottom w:val="single" w:sz="6" w:space="0" w:color="B8B8B8"/>
                    <w:right w:val="single" w:sz="6" w:space="0" w:color="B8B8B8"/>
                  </w:divBdr>
                  <w:divsChild>
                    <w:div w:id="2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">
                      <w:marLeft w:val="60"/>
                      <w:marRight w:val="12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">
                  <w:marLeft w:val="30"/>
                  <w:marRight w:val="30"/>
                  <w:marTop w:val="30"/>
                  <w:marBottom w:val="30"/>
                  <w:divBdr>
                    <w:top w:val="single" w:sz="6" w:space="0" w:color="B8B8B8"/>
                    <w:left w:val="single" w:sz="6" w:space="0" w:color="B8B8B8"/>
                    <w:bottom w:val="single" w:sz="6" w:space="0" w:color="B8B8B8"/>
                    <w:right w:val="single" w:sz="6" w:space="0" w:color="B8B8B8"/>
                  </w:divBdr>
                  <w:divsChild>
                    <w:div w:id="34">
                      <w:marLeft w:val="60"/>
                      <w:marRight w:val="12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4971</Words>
  <Characters>28340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Европейский банк реконструкции и развития (ЕБРР)</vt:lpstr>
    </vt:vector>
  </TitlesOfParts>
  <Company>Hewlett-Packard</Company>
  <LinksUpToDate>false</LinksUpToDate>
  <CharactersWithSpaces>33245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Европейский банк реконструкции и развития (ЕБРР)</dc:title>
  <dc:subject/>
  <dc:creator>1</dc:creator>
  <cp:keywords/>
  <dc:description/>
  <cp:lastModifiedBy>admin</cp:lastModifiedBy>
  <cp:revision>2</cp:revision>
  <dcterms:created xsi:type="dcterms:W3CDTF">2014-04-16T09:14:00Z</dcterms:created>
  <dcterms:modified xsi:type="dcterms:W3CDTF">2014-04-16T09:14:00Z</dcterms:modified>
</cp:coreProperties>
</file>