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6AFF" w:rsidRDefault="00456AFF">
      <w:pPr>
        <w:spacing w:line="360" w:lineRule="auto"/>
        <w:ind w:firstLine="709"/>
        <w:jc w:val="center"/>
        <w:rPr>
          <w:b/>
          <w:bCs/>
          <w:sz w:val="28"/>
          <w:lang w:val="uk-UA"/>
        </w:rPr>
      </w:pPr>
    </w:p>
    <w:p w:rsidR="00456AFF" w:rsidRDefault="00456AFF">
      <w:pPr>
        <w:spacing w:line="360" w:lineRule="auto"/>
        <w:ind w:firstLine="709"/>
        <w:jc w:val="center"/>
        <w:rPr>
          <w:b/>
          <w:bCs/>
          <w:sz w:val="28"/>
          <w:lang w:val="uk-UA"/>
        </w:rPr>
      </w:pPr>
    </w:p>
    <w:p w:rsidR="00456AFF" w:rsidRDefault="00456AFF">
      <w:pPr>
        <w:spacing w:line="360" w:lineRule="auto"/>
        <w:ind w:firstLine="709"/>
        <w:jc w:val="center"/>
        <w:rPr>
          <w:b/>
          <w:bCs/>
          <w:sz w:val="28"/>
          <w:lang w:val="uk-UA"/>
        </w:rPr>
      </w:pPr>
    </w:p>
    <w:p w:rsidR="00456AFF" w:rsidRDefault="00456AFF">
      <w:pPr>
        <w:spacing w:line="360" w:lineRule="auto"/>
        <w:ind w:firstLine="709"/>
        <w:jc w:val="center"/>
        <w:rPr>
          <w:b/>
          <w:bCs/>
          <w:sz w:val="28"/>
          <w:lang w:val="uk-UA"/>
        </w:rPr>
      </w:pPr>
    </w:p>
    <w:p w:rsidR="00456AFF" w:rsidRDefault="00456AFF">
      <w:pPr>
        <w:spacing w:line="360" w:lineRule="auto"/>
        <w:ind w:firstLine="709"/>
        <w:jc w:val="center"/>
        <w:rPr>
          <w:b/>
          <w:bCs/>
          <w:sz w:val="28"/>
          <w:lang w:val="uk-UA"/>
        </w:rPr>
      </w:pPr>
    </w:p>
    <w:p w:rsidR="00456AFF" w:rsidRDefault="00456AFF">
      <w:pPr>
        <w:spacing w:line="360" w:lineRule="auto"/>
        <w:ind w:firstLine="709"/>
        <w:jc w:val="center"/>
        <w:rPr>
          <w:b/>
          <w:bCs/>
          <w:sz w:val="28"/>
          <w:lang w:val="uk-UA"/>
        </w:rPr>
      </w:pPr>
    </w:p>
    <w:p w:rsidR="00456AFF" w:rsidRDefault="00456AFF">
      <w:pPr>
        <w:spacing w:line="360" w:lineRule="auto"/>
        <w:ind w:firstLine="709"/>
        <w:jc w:val="center"/>
        <w:rPr>
          <w:b/>
          <w:bCs/>
          <w:sz w:val="28"/>
          <w:lang w:val="uk-UA"/>
        </w:rPr>
      </w:pPr>
    </w:p>
    <w:p w:rsidR="00456AFF" w:rsidRDefault="00456AFF">
      <w:pPr>
        <w:spacing w:line="360" w:lineRule="auto"/>
        <w:ind w:firstLine="709"/>
        <w:jc w:val="center"/>
        <w:rPr>
          <w:b/>
          <w:bCs/>
          <w:sz w:val="28"/>
          <w:lang w:val="uk-UA"/>
        </w:rPr>
      </w:pPr>
    </w:p>
    <w:p w:rsidR="00456AFF" w:rsidRDefault="007F10FB">
      <w:pPr>
        <w:spacing w:line="360" w:lineRule="auto"/>
        <w:ind w:firstLine="709"/>
        <w:jc w:val="center"/>
        <w:rPr>
          <w:b/>
          <w:bCs/>
          <w:sz w:val="28"/>
          <w:lang w:val="uk-UA"/>
        </w:rPr>
      </w:pPr>
      <w:r>
        <w:rPr>
          <w:b/>
          <w:bCs/>
          <w:sz w:val="28"/>
          <w:lang w:val="uk-UA"/>
        </w:rPr>
        <w:t>Реферат на тему:</w:t>
      </w:r>
    </w:p>
    <w:p w:rsidR="00456AFF" w:rsidRDefault="007F10FB">
      <w:pPr>
        <w:spacing w:line="360" w:lineRule="auto"/>
        <w:ind w:firstLine="709"/>
        <w:jc w:val="center"/>
        <w:rPr>
          <w:b/>
          <w:bCs/>
          <w:sz w:val="28"/>
          <w:lang w:val="uk-UA"/>
        </w:rPr>
      </w:pPr>
      <w:r>
        <w:rPr>
          <w:b/>
          <w:bCs/>
          <w:sz w:val="28"/>
          <w:lang w:val="uk-UA"/>
        </w:rPr>
        <w:t>Грошовий обіг, його закони та методи регулювання. Суть грошового обігу</w:t>
      </w:r>
    </w:p>
    <w:p w:rsidR="00456AFF" w:rsidRDefault="007F10FB">
      <w:pPr>
        <w:spacing w:line="360" w:lineRule="auto"/>
        <w:ind w:firstLine="709"/>
        <w:jc w:val="both"/>
        <w:rPr>
          <w:sz w:val="28"/>
          <w:lang w:val="uk-UA"/>
        </w:rPr>
      </w:pPr>
      <w:r>
        <w:rPr>
          <w:sz w:val="28"/>
          <w:lang w:val="uk-UA"/>
        </w:rPr>
        <w:br w:type="page"/>
        <w:t>Грошовий обіг - це неперервний рух грошей у сфері обігу та їх функціонування як засобу платежу й обігу. За його допомогою здійснюється розширене відтворення. Поряд з кредитом та фінансами він виступає складовою частиною єдиного грошового обороту і водночас становить самостійне економічне явище, що має свою особливу специфіку й механізм впливу на економіку. Опосередковуючи рух реальних товарів і послуг у процесі суспільного відтворення, грошовий обіг вимагає лише строго визначеної маси грошей.</w:t>
      </w:r>
    </w:p>
    <w:p w:rsidR="00456AFF" w:rsidRDefault="007F10FB">
      <w:pPr>
        <w:pStyle w:val="a3"/>
      </w:pPr>
      <w:r>
        <w:t>Вилучення грошей зі сфери обігу можливе лише в разі зменшення у ній маси товарів або значного збільшення швидкості обігу грошової одиниці. За умов золотомонетного стандарту зайві гроші автоматично залишають сферу обігу, перетворюючись у скарби. За наявності паперових грошових знаків кожен суб'єкт економічних відносин для отримання реальних товарів чи послуг прагне знову спрямувати гроші в обіг, щоб не зазнати збитків від можливого їхнього знецінення. Оскільки вилучення грошей з обігу вимагає значних витрат, то держава, вдаючись до регулювання їхньої кількості, такі витрати перекладає на інших суб'єктів ринку і насамперед на широкі верстви населення. Саме така політика, покликана стабілізувати економіку, фінанси й грошовий обіг, здійснюється нині в Україні.</w:t>
      </w:r>
    </w:p>
    <w:p w:rsidR="00456AFF" w:rsidRDefault="007F10FB">
      <w:pPr>
        <w:spacing w:line="360" w:lineRule="auto"/>
        <w:ind w:firstLine="709"/>
        <w:jc w:val="both"/>
        <w:rPr>
          <w:sz w:val="28"/>
          <w:lang w:val="uk-UA"/>
        </w:rPr>
      </w:pPr>
      <w:r>
        <w:rPr>
          <w:sz w:val="28"/>
          <w:lang w:val="uk-UA"/>
        </w:rPr>
        <w:t>Стабільність грошового обігу залежить насамперед від стану економіки. В суспільстві, де збалансовані процеси відтворення в народному господарстві, підтримується й стабільний грошовий обіг. Більше того, він активно впливає на стан і розвиток економіки. Там же, де виникли диспропорції у відтворювальному процесі, де спостерігається падіння виробництва валового національного продукту, а держава не може збалансувати надходження та видатки, грошовий обіг підривається інфляційними процесами.</w:t>
      </w:r>
    </w:p>
    <w:p w:rsidR="00456AFF" w:rsidRDefault="007F10FB">
      <w:pPr>
        <w:spacing w:line="360" w:lineRule="auto"/>
        <w:ind w:firstLine="709"/>
        <w:jc w:val="both"/>
        <w:rPr>
          <w:sz w:val="28"/>
          <w:lang w:val="uk-UA"/>
        </w:rPr>
      </w:pPr>
      <w:r>
        <w:rPr>
          <w:sz w:val="28"/>
          <w:lang w:val="uk-UA"/>
        </w:rPr>
        <w:t>Грошовий обіг здійснюється в межах певної грошової системи, яка в ринковій економіці є провідною ланкою і відіграє домінуючу роль у саморозвитку господарських процесів. Грошова система включає такі складові частини: товар, що відіграє роль загального еквівалента; грошову одиницю - масштаб цін; узаконений засіб обігу та платежу (банкноти, казначейські, чи скарбницькі, білети, монети), порядок випуску банкнот і казначейських білетів (паперових грошей) в обіг.</w:t>
      </w:r>
    </w:p>
    <w:p w:rsidR="00456AFF" w:rsidRDefault="007F10FB">
      <w:pPr>
        <w:spacing w:line="360" w:lineRule="auto"/>
        <w:ind w:firstLine="709"/>
        <w:jc w:val="both"/>
        <w:rPr>
          <w:sz w:val="28"/>
          <w:lang w:val="uk-UA"/>
        </w:rPr>
      </w:pPr>
      <w:r>
        <w:rPr>
          <w:sz w:val="28"/>
          <w:lang w:val="uk-UA"/>
        </w:rPr>
        <w:t>Грошовою одиницею України стала гривня. Порядок її виготовлення і введення в обіг та підтримання стабільності розроблено Національним банком. Перевага гривні полягає в тому, що на відміну від безконтрольного й незабезпеченого випуску карбованців вона надходитиме в обіг в обмеженій кількості лише під реальні товари, тому не буде переповнювати канали обігу. Всі гривні є банківськими білетами, тобто банкнотами, що теж дуже важливо.</w:t>
      </w:r>
    </w:p>
    <w:p w:rsidR="00456AFF" w:rsidRDefault="007F10FB">
      <w:pPr>
        <w:spacing w:line="360" w:lineRule="auto"/>
        <w:ind w:firstLine="709"/>
        <w:jc w:val="both"/>
        <w:rPr>
          <w:sz w:val="28"/>
          <w:lang w:val="uk-UA"/>
        </w:rPr>
      </w:pPr>
      <w:r>
        <w:rPr>
          <w:sz w:val="28"/>
          <w:lang w:val="uk-UA"/>
        </w:rPr>
        <w:t>На перший погляд може здатися, що особливої різниці між банкнотами і казначейськими білетами нібито немає: обидва види грошей забезпечені товаром. Проте, якщо банкноти випускаються в обіг від імені Національного банку, то казначейські білети - від імені уряду держави. Коли перші забезпечені всіма активами банку (золотом, коштовностями, іноземною валютою) й обмежено випускаються під реальні товарно-грошові угоди, то казначейські білети забезпечені державним майном, випускаються примусовим курсом для задоволення поточних потреб держави, тому часто не зв'язані з товарною масою. Отже, банкнотний обіг значною мірою є незалежним від органів держави, більше захищений від знецінення і краще гарантує стабільність грошового обігу.</w:t>
      </w:r>
    </w:p>
    <w:p w:rsidR="00456AFF" w:rsidRDefault="007F10FB">
      <w:pPr>
        <w:pStyle w:val="1"/>
      </w:pPr>
      <w:r>
        <w:t>Регулювання грошового обігу</w:t>
      </w:r>
    </w:p>
    <w:p w:rsidR="00456AFF" w:rsidRDefault="007F10FB">
      <w:pPr>
        <w:spacing w:line="360" w:lineRule="auto"/>
        <w:ind w:firstLine="709"/>
        <w:jc w:val="both"/>
        <w:rPr>
          <w:sz w:val="28"/>
          <w:lang w:val="uk-UA"/>
        </w:rPr>
      </w:pPr>
      <w:r>
        <w:rPr>
          <w:sz w:val="28"/>
          <w:lang w:val="uk-UA"/>
        </w:rPr>
        <w:t>Регулювання грошового обігу здійснюється на основі використання законів грошового обігу. Рівновага товарної й грошової маси залежить від трьох факторів: кількості проданих товарів, рівня товарних цін, швидкості обертання грошової одиниці. Всі ці фактори безпосередньо залежать від стану й рівня виробництва, використання переваг суспільного поділу праці, рівня продуктивності праці. Закономірності тут такі: 1) чим розвинутіший суспільний поділ праці, тим більша кількість товарів продається; 2) чим вищий рівень продуктивності праці, тим нижчі вартість і ціна товарів. За золотовалютного обігу потрібна кількість грошей для безперешкодної реалізації товарів підтримується автоматично, бо скарби залежно від стану виробництва постійно діяли як відводні й приводні канали для припливу або відпливу грошей з обігу.</w:t>
      </w:r>
    </w:p>
    <w:p w:rsidR="00456AFF" w:rsidRDefault="007F10FB">
      <w:pPr>
        <w:spacing w:line="360" w:lineRule="auto"/>
        <w:ind w:firstLine="709"/>
        <w:jc w:val="both"/>
        <w:rPr>
          <w:sz w:val="28"/>
          <w:lang w:val="uk-UA"/>
        </w:rPr>
      </w:pPr>
      <w:r>
        <w:rPr>
          <w:sz w:val="28"/>
          <w:lang w:val="uk-UA"/>
        </w:rPr>
        <w:t>Україна розбудовує новий паперо-грошовий обіг. Підтримувати товарно-грошову рівновагу в нас зобов'язаний Національний банк. Його органи, спираючись на класичну закономірність, яку відкрили економісти ще у XVIII ст., повинні забезпечувати таку рівновагу:</w:t>
      </w:r>
    </w:p>
    <w:p w:rsidR="00456AFF" w:rsidRDefault="007F10FB">
      <w:pPr>
        <w:spacing w:line="360" w:lineRule="auto"/>
        <w:ind w:firstLine="709"/>
        <w:jc w:val="center"/>
        <w:rPr>
          <w:sz w:val="28"/>
          <w:lang w:val="uk-UA"/>
        </w:rPr>
      </w:pPr>
      <w:r>
        <w:rPr>
          <w:sz w:val="28"/>
          <w:lang w:val="uk-UA"/>
        </w:rPr>
        <w:t>Г*П=Т*С.</w:t>
      </w:r>
    </w:p>
    <w:p w:rsidR="00456AFF" w:rsidRDefault="007F10FB">
      <w:pPr>
        <w:spacing w:line="360" w:lineRule="auto"/>
        <w:ind w:firstLine="709"/>
        <w:jc w:val="both"/>
        <w:rPr>
          <w:sz w:val="28"/>
          <w:lang w:val="uk-UA"/>
        </w:rPr>
      </w:pPr>
      <w:r>
        <w:rPr>
          <w:sz w:val="28"/>
          <w:lang w:val="uk-UA"/>
        </w:rPr>
        <w:t>де Г- середня маса грошей, яка перебуває в обігу;</w:t>
      </w:r>
    </w:p>
    <w:p w:rsidR="00456AFF" w:rsidRDefault="007F10FB">
      <w:pPr>
        <w:spacing w:line="360" w:lineRule="auto"/>
        <w:ind w:firstLine="709"/>
        <w:jc w:val="both"/>
        <w:rPr>
          <w:sz w:val="28"/>
          <w:lang w:val="uk-UA"/>
        </w:rPr>
      </w:pPr>
      <w:r>
        <w:rPr>
          <w:sz w:val="28"/>
          <w:lang w:val="uk-UA"/>
        </w:rPr>
        <w:t>П - кількість оборотів середньої грошової маси;</w:t>
      </w:r>
    </w:p>
    <w:p w:rsidR="00456AFF" w:rsidRDefault="007F10FB">
      <w:pPr>
        <w:spacing w:line="360" w:lineRule="auto"/>
        <w:ind w:firstLine="709"/>
        <w:jc w:val="both"/>
        <w:rPr>
          <w:sz w:val="28"/>
          <w:lang w:val="uk-UA"/>
        </w:rPr>
      </w:pPr>
      <w:r>
        <w:rPr>
          <w:sz w:val="28"/>
          <w:lang w:val="uk-UA"/>
        </w:rPr>
        <w:t>Т- обсяг товарів, які перебувають в обігу;</w:t>
      </w:r>
    </w:p>
    <w:p w:rsidR="00456AFF" w:rsidRDefault="007F10FB">
      <w:pPr>
        <w:spacing w:line="360" w:lineRule="auto"/>
        <w:ind w:firstLine="709"/>
        <w:jc w:val="both"/>
        <w:rPr>
          <w:sz w:val="28"/>
          <w:lang w:val="uk-UA"/>
        </w:rPr>
      </w:pPr>
      <w:r>
        <w:rPr>
          <w:sz w:val="28"/>
          <w:lang w:val="uk-UA"/>
        </w:rPr>
        <w:t>Ц- ціни товарів на ринку.</w:t>
      </w:r>
    </w:p>
    <w:p w:rsidR="00456AFF" w:rsidRDefault="007F10FB">
      <w:pPr>
        <w:spacing w:line="360" w:lineRule="auto"/>
        <w:ind w:firstLine="709"/>
        <w:jc w:val="both"/>
        <w:rPr>
          <w:sz w:val="28"/>
          <w:lang w:val="uk-UA"/>
        </w:rPr>
      </w:pPr>
      <w:r>
        <w:rPr>
          <w:sz w:val="28"/>
          <w:lang w:val="uk-UA"/>
        </w:rPr>
        <w:t>Це означає, що маса грошей, помножена на швидкість їх обертання, має дорівнювати обсягу випущених товарів, помноженому на рівень цін. Якщо рівновага порушується, то за допомогою відповідних інтервенцій, тобто фінансово-економічних заходів, необхідно один з показників (а можливо й усі водночас) підкоригувати: збільшити виробництво чи імпорт товарів, відрегулювати (прискорити) швидкість обертання грошей, скоротити грошову масу і, нарешті, підвищити ціни.</w:t>
      </w:r>
    </w:p>
    <w:p w:rsidR="00456AFF" w:rsidRDefault="007F10FB">
      <w:pPr>
        <w:spacing w:line="360" w:lineRule="auto"/>
        <w:ind w:firstLine="709"/>
        <w:jc w:val="both"/>
        <w:rPr>
          <w:sz w:val="28"/>
          <w:lang w:val="uk-UA"/>
        </w:rPr>
      </w:pPr>
      <w:r>
        <w:rPr>
          <w:sz w:val="28"/>
          <w:lang w:val="uk-UA"/>
        </w:rPr>
        <w:t>Звичайно, найкращий спосіб підтримування збалансованості - швидке розширення якісної товарної маси в Україні, особливо за допомогою роздержавлення й приватизації, переведення державного сектора на засади комерційного розрахунку, підтримки соціальне значущих галузей суспільного виробництва, розбудови економіки відкритого типу, інтегрованої у світовий простір. Цінова політика має орієнтуватися на вільні ціни світового ринку. Нормальну кількість грошей для підтримки даної товарної маси забезпечить внутрішня, а потім зовнішня конвертованість національної грошової одиниці.</w:t>
      </w:r>
    </w:p>
    <w:p w:rsidR="00456AFF" w:rsidRDefault="007F10FB">
      <w:pPr>
        <w:spacing w:line="360" w:lineRule="auto"/>
        <w:ind w:firstLine="709"/>
        <w:jc w:val="both"/>
        <w:rPr>
          <w:sz w:val="28"/>
          <w:lang w:val="uk-UA"/>
        </w:rPr>
      </w:pPr>
      <w:r>
        <w:rPr>
          <w:sz w:val="28"/>
          <w:lang w:val="uk-UA"/>
        </w:rPr>
        <w:t>Більш ефективною є політика прискорення швидкості обертання грошової маси, якої можна досягти, скажімо, переходом до щотижневих виплат заробітної плати, широким упровадженням кредитних грошей та розширенням безготівкових розрахунків, введенням електронних карток споживача та іншими заходами. Все це дало б змогу проводити гнучку політику грошового обігу, своєчасно вилучати надлишкову масу грошей з обігу й підтримувати фінансову стабільність.</w:t>
      </w:r>
    </w:p>
    <w:p w:rsidR="00456AFF" w:rsidRDefault="007F10FB">
      <w:pPr>
        <w:spacing w:line="360" w:lineRule="auto"/>
        <w:ind w:firstLine="709"/>
        <w:jc w:val="both"/>
        <w:rPr>
          <w:sz w:val="28"/>
          <w:lang w:val="uk-UA"/>
        </w:rPr>
      </w:pPr>
      <w:r>
        <w:rPr>
          <w:sz w:val="28"/>
          <w:lang w:val="uk-UA"/>
        </w:rPr>
        <w:t>Величезні потенційні можливості криються в забезпеченні бездефіцитного державного бюджету України та ліквідації невпинної кредитної експансії.</w:t>
      </w:r>
    </w:p>
    <w:p w:rsidR="00456AFF" w:rsidRDefault="007F10FB">
      <w:pPr>
        <w:spacing w:line="360" w:lineRule="auto"/>
        <w:ind w:firstLine="709"/>
        <w:jc w:val="both"/>
        <w:rPr>
          <w:sz w:val="28"/>
          <w:lang w:val="uk-UA"/>
        </w:rPr>
      </w:pPr>
      <w:r>
        <w:rPr>
          <w:sz w:val="28"/>
          <w:lang w:val="uk-UA"/>
        </w:rPr>
        <w:t>Отже, Національний банк України повинен ефективно виконувати свою головну функцію регулятора грошового обігу.</w:t>
      </w:r>
    </w:p>
    <w:p w:rsidR="00456AFF" w:rsidRDefault="007F10FB">
      <w:pPr>
        <w:spacing w:line="360" w:lineRule="auto"/>
        <w:ind w:firstLine="709"/>
        <w:jc w:val="both"/>
        <w:rPr>
          <w:sz w:val="28"/>
          <w:lang w:val="uk-UA"/>
        </w:rPr>
      </w:pPr>
      <w:r>
        <w:rPr>
          <w:sz w:val="28"/>
          <w:lang w:val="uk-UA"/>
        </w:rPr>
        <w:t>Банкрутство готівкового та безготівкового обігу Залежно від форми грошей їх обіг поділяється на безготівковий і готівковий. У ринковій економіці будь-якої країни переважна частина грошового обігу зосереджена в безготівковому обігу. Він здійснюється шляхом оплати покупок і боргів перерахуванням грошових сум з рахунку на рахунок без використання грошей у готівковій формі. Переважання даної частини грошового обороту зумовлено насамперед вигідністю таких розрахунків для економічних суб'єктів. Рівень розвитку безготівкового обороту в тій чи іншій країні залежить від рівня розвитку товарно-грошових відносин, досконалості банківської справи, цілей і методів регулювання грошового обороту. Скажімо, нині у зв'язку з низьким рівнем товарно-грошових відносин та примітивністю банківського обслуговування у сфері особистого споживання безготівкові гроші використовуються вкрай недостатньо.</w:t>
      </w:r>
    </w:p>
    <w:p w:rsidR="00456AFF" w:rsidRDefault="007F10FB">
      <w:pPr>
        <w:spacing w:line="360" w:lineRule="auto"/>
        <w:ind w:firstLine="709"/>
        <w:jc w:val="both"/>
        <w:rPr>
          <w:sz w:val="28"/>
          <w:lang w:val="uk-UA"/>
        </w:rPr>
      </w:pPr>
      <w:r>
        <w:rPr>
          <w:sz w:val="28"/>
          <w:lang w:val="uk-UA"/>
        </w:rPr>
        <w:t>Готівковий оборот здійснюється через оплату купівлі товарів і послуг та боргових зобов'язань у сфері особистого споживання за допомогою банківських чи казначейських білетів та розмінною монетою. Це пов'язано з тим, що розмір грошових платежів тут у середньому менший, а потреба в негайному їх здійсненні значно вища. Тому платежі готівкою в сфері особистого споживання вигідніші й зручніші, ніж через банки. Але з розвитком товарно-грошових відносин, удосконаленням кредиту та комп'ютеризацією банківської справи сфера готівкового обороту поступово звужуватиметься.</w:t>
      </w:r>
    </w:p>
    <w:p w:rsidR="00456AFF" w:rsidRDefault="007F10FB">
      <w:pPr>
        <w:spacing w:line="360" w:lineRule="auto"/>
        <w:ind w:firstLine="709"/>
        <w:jc w:val="both"/>
        <w:rPr>
          <w:sz w:val="28"/>
          <w:lang w:val="uk-UA"/>
        </w:rPr>
      </w:pPr>
      <w:r>
        <w:rPr>
          <w:sz w:val="28"/>
          <w:lang w:val="uk-UA"/>
        </w:rPr>
        <w:t>Виникнення депозитних, а далі й електронних грошей, за допомогою яких здійснюється автоматичне переведення грошових сум за безпосереднім розпорядженням власника поточних рахунків, органічно поєднало в собі переваги депозитної та готівкових форм грошей. Тут немає потреби переносити великі маси готівки, досягається значна економія витрат, кожен платник може миттєво виконати платіж. Учені-економісти завжди були проти жорсткого розірваного поділу єдиної грошової маси на безготівкову та готівкову, але радянські політики, дбаючи про так зване обмеження й витіснення товарно-грошових відносин за соціалізму, постійно ігнорували всі застереження. Тим часом такий поділ був штучним і суперечив законам грошового обігу. Він поділив єдиний грошовий обіг на гроші, які обслуговували потреби населення, і безготівкові кошти, які використовувалися для розрахунків підприємств з бюджетом, банками та іншими організаціями. Внаслідок цього склалося два нібито незалежних потоки нерівноцінних грошей. Однак через видачу кредитів банки сприяють переведенню безготівкових грошей на оплату ресурсів і послуг інших підприємств, які, в свою чергу, виплачують із них заробітну плату, премії, здійснюють інші готівкові платежі. Так безготівкові гроші перетворюються в наявну готівку, яка потребує відповідної маси товарів і послуг. Якщо ж товарів немає, то це означає одне - переповнення каналів грошового обігу й інфляційне знецінення грошової одиниці.</w:t>
      </w:r>
    </w:p>
    <w:p w:rsidR="00456AFF" w:rsidRDefault="007F10FB">
      <w:pPr>
        <w:spacing w:line="360" w:lineRule="auto"/>
        <w:rPr>
          <w:sz w:val="28"/>
          <w:lang w:val="uk-UA"/>
        </w:rPr>
      </w:pPr>
      <w:r>
        <w:rPr>
          <w:sz w:val="28"/>
          <w:lang w:val="uk-UA"/>
        </w:rPr>
        <w:t>Національна валюта - не лише гарант державності й незалежності України. Її введення супроводжується докорінними реформами економіки, структурними зрушеннями в народному господарстві, рішучим переходом до ринкових відносин, збалансуванням грошової та товарної маси, внутрішньою, а потім і зовнішньою конвертованістю гривні.</w:t>
      </w:r>
    </w:p>
    <w:p w:rsidR="00456AFF" w:rsidRDefault="007F10FB">
      <w:pPr>
        <w:spacing w:line="360" w:lineRule="auto"/>
        <w:ind w:firstLine="709"/>
        <w:jc w:val="center"/>
        <w:rPr>
          <w:sz w:val="28"/>
          <w:lang w:val="uk-UA"/>
        </w:rPr>
      </w:pPr>
      <w:r>
        <w:rPr>
          <w:sz w:val="28"/>
          <w:lang w:val="uk-UA"/>
        </w:rPr>
        <w:br w:type="page"/>
      </w:r>
      <w:r>
        <w:rPr>
          <w:b/>
          <w:bCs/>
          <w:sz w:val="28"/>
          <w:lang w:val="uk-UA"/>
        </w:rPr>
        <w:t>Література</w:t>
      </w:r>
      <w:r>
        <w:rPr>
          <w:sz w:val="28"/>
          <w:lang w:val="uk-UA"/>
        </w:rPr>
        <w:t>:</w:t>
      </w:r>
    </w:p>
    <w:p w:rsidR="00456AFF" w:rsidRDefault="007F10FB">
      <w:pPr>
        <w:numPr>
          <w:ilvl w:val="0"/>
          <w:numId w:val="1"/>
        </w:numPr>
        <w:spacing w:line="360" w:lineRule="auto"/>
        <w:jc w:val="both"/>
        <w:rPr>
          <w:sz w:val="28"/>
          <w:lang w:val="uk-UA"/>
        </w:rPr>
      </w:pPr>
      <w:r>
        <w:rPr>
          <w:sz w:val="28"/>
          <w:lang w:val="uk-UA"/>
        </w:rPr>
        <w:t>Васюта О.А. Проблеми екологічної стратегії України в контексті глобального розвитку. - Тернопіль, 2001. - С.311-338.</w:t>
      </w:r>
    </w:p>
    <w:p w:rsidR="00456AFF" w:rsidRDefault="007F10FB">
      <w:pPr>
        <w:numPr>
          <w:ilvl w:val="0"/>
          <w:numId w:val="1"/>
        </w:numPr>
        <w:spacing w:line="360" w:lineRule="auto"/>
        <w:jc w:val="both"/>
        <w:rPr>
          <w:sz w:val="28"/>
          <w:lang w:val="uk-UA"/>
        </w:rPr>
      </w:pPr>
      <w:r>
        <w:rPr>
          <w:sz w:val="28"/>
          <w:lang w:val="uk-UA"/>
        </w:rPr>
        <w:t>Галеева Г.А. Экологическое воспитание: проблемы, решения // Город, природа, человек. - М., 1982. - С.41-74.</w:t>
      </w:r>
    </w:p>
    <w:p w:rsidR="00456AFF" w:rsidRDefault="007F10FB">
      <w:pPr>
        <w:numPr>
          <w:ilvl w:val="0"/>
          <w:numId w:val="1"/>
        </w:numPr>
        <w:spacing w:line="360" w:lineRule="auto"/>
        <w:jc w:val="both"/>
        <w:rPr>
          <w:sz w:val="28"/>
          <w:lang w:val="uk-UA"/>
        </w:rPr>
      </w:pPr>
      <w:r>
        <w:rPr>
          <w:sz w:val="28"/>
          <w:lang w:val="uk-UA"/>
        </w:rPr>
        <w:t>Киселев Н.Н. Мировоззрение и экология. - К., 1990. - С.117-160.</w:t>
      </w:r>
    </w:p>
    <w:p w:rsidR="00456AFF" w:rsidRDefault="007F10FB">
      <w:pPr>
        <w:numPr>
          <w:ilvl w:val="0"/>
          <w:numId w:val="1"/>
        </w:numPr>
        <w:spacing w:line="360" w:lineRule="auto"/>
        <w:jc w:val="both"/>
        <w:rPr>
          <w:sz w:val="28"/>
          <w:lang w:val="uk-UA"/>
        </w:rPr>
      </w:pPr>
      <w:r>
        <w:rPr>
          <w:sz w:val="28"/>
          <w:lang w:val="uk-UA"/>
        </w:rPr>
        <w:t>Кочергин А.Н., Марков Ю.Г., Васильев Н.Г. Экологическое знание и сознание. - Новосибирск, 1987. - С. 176-200.</w:t>
      </w:r>
    </w:p>
    <w:p w:rsidR="00456AFF" w:rsidRDefault="007F10FB">
      <w:pPr>
        <w:numPr>
          <w:ilvl w:val="0"/>
          <w:numId w:val="1"/>
        </w:numPr>
        <w:spacing w:line="360" w:lineRule="auto"/>
        <w:jc w:val="both"/>
        <w:rPr>
          <w:sz w:val="28"/>
          <w:lang w:val="uk-UA"/>
        </w:rPr>
      </w:pPr>
      <w:r>
        <w:rPr>
          <w:sz w:val="28"/>
          <w:lang w:val="uk-UA"/>
        </w:rPr>
        <w:t>Крисаченко B.C. Екологічна культура. - К., 1996. - С.47-55.</w:t>
      </w:r>
    </w:p>
    <w:p w:rsidR="00456AFF" w:rsidRDefault="007F10FB">
      <w:pPr>
        <w:numPr>
          <w:ilvl w:val="0"/>
          <w:numId w:val="1"/>
        </w:numPr>
        <w:spacing w:line="360" w:lineRule="auto"/>
        <w:jc w:val="both"/>
        <w:rPr>
          <w:sz w:val="28"/>
          <w:lang w:val="uk-UA"/>
        </w:rPr>
      </w:pPr>
      <w:r>
        <w:rPr>
          <w:sz w:val="28"/>
          <w:lang w:val="uk-UA"/>
        </w:rPr>
        <w:t>Маркович Д. Социальная экология. - М., 1991. - С.154-161.</w:t>
      </w:r>
    </w:p>
    <w:p w:rsidR="00456AFF" w:rsidRDefault="007F10FB">
      <w:pPr>
        <w:numPr>
          <w:ilvl w:val="0"/>
          <w:numId w:val="1"/>
        </w:numPr>
        <w:spacing w:line="360" w:lineRule="auto"/>
        <w:jc w:val="both"/>
        <w:rPr>
          <w:sz w:val="28"/>
          <w:lang w:val="uk-UA"/>
        </w:rPr>
      </w:pPr>
      <w:r>
        <w:rPr>
          <w:sz w:val="28"/>
          <w:lang w:val="uk-UA"/>
        </w:rPr>
        <w:t>Моисеев Н.Н. Человек и ноосфера. - М., 1990. - С.247-268.</w:t>
      </w:r>
    </w:p>
    <w:p w:rsidR="00456AFF" w:rsidRDefault="007F10FB">
      <w:pPr>
        <w:numPr>
          <w:ilvl w:val="0"/>
          <w:numId w:val="1"/>
        </w:numPr>
        <w:spacing w:line="360" w:lineRule="auto"/>
        <w:jc w:val="both"/>
        <w:rPr>
          <w:sz w:val="28"/>
          <w:lang w:val="uk-UA"/>
        </w:rPr>
      </w:pPr>
      <w:r>
        <w:rPr>
          <w:sz w:val="28"/>
          <w:lang w:val="uk-UA"/>
        </w:rPr>
        <w:t>Національна доповідь про стан навколишнього природного середовища в Україні в 2001 році. - К., 2003. - С.158-161.</w:t>
      </w:r>
    </w:p>
    <w:p w:rsidR="00456AFF" w:rsidRDefault="007F10FB">
      <w:pPr>
        <w:numPr>
          <w:ilvl w:val="0"/>
          <w:numId w:val="1"/>
        </w:numPr>
        <w:spacing w:line="360" w:lineRule="auto"/>
        <w:jc w:val="both"/>
        <w:rPr>
          <w:sz w:val="28"/>
          <w:lang w:val="uk-UA"/>
        </w:rPr>
      </w:pPr>
      <w:r>
        <w:rPr>
          <w:sz w:val="28"/>
          <w:lang w:val="uk-UA"/>
        </w:rPr>
        <w:t>Платонов Г.В. Диалектика взаимодействия общества и природы. - М., 1989. - С.168-177.</w:t>
      </w:r>
    </w:p>
    <w:p w:rsidR="00456AFF" w:rsidRDefault="007F10FB">
      <w:pPr>
        <w:numPr>
          <w:ilvl w:val="0"/>
          <w:numId w:val="1"/>
        </w:numPr>
        <w:spacing w:line="360" w:lineRule="auto"/>
        <w:jc w:val="both"/>
        <w:rPr>
          <w:sz w:val="28"/>
        </w:rPr>
      </w:pPr>
      <w:r>
        <w:rPr>
          <w:sz w:val="28"/>
          <w:lang w:val="uk-UA"/>
        </w:rPr>
        <w:t>Соціальна екологія: Навч. посіб. / За ред. Л.П.Царика. -Тернопіль, 2002. - С.166-172.</w:t>
      </w:r>
    </w:p>
    <w:p w:rsidR="00456AFF" w:rsidRDefault="007F10FB">
      <w:pPr>
        <w:numPr>
          <w:ilvl w:val="0"/>
          <w:numId w:val="1"/>
        </w:numPr>
        <w:spacing w:line="360" w:lineRule="auto"/>
        <w:jc w:val="both"/>
        <w:rPr>
          <w:sz w:val="28"/>
        </w:rPr>
      </w:pPr>
      <w:r>
        <w:rPr>
          <w:sz w:val="28"/>
          <w:lang w:val="uk-UA"/>
        </w:rPr>
        <w:t>Социально-философские проблемы экологии / И.В.Огородник, Н.Н.Киселев, В.С.Крысаченко, И.Н.Стогний. Под. ред. И.В.Огородника. - К., 1989. - С.225-239.</w:t>
      </w:r>
    </w:p>
    <w:p w:rsidR="00456AFF" w:rsidRDefault="00456AFF">
      <w:pPr>
        <w:spacing w:line="360" w:lineRule="auto"/>
        <w:rPr>
          <w:sz w:val="28"/>
        </w:rPr>
      </w:pPr>
      <w:bookmarkStart w:id="0" w:name="_GoBack"/>
      <w:bookmarkEnd w:id="0"/>
    </w:p>
    <w:sectPr w:rsidR="00456AFF">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420A50"/>
    <w:multiLevelType w:val="hybridMultilevel"/>
    <w:tmpl w:val="C45EC080"/>
    <w:lvl w:ilvl="0" w:tplc="0419000F">
      <w:start w:val="1"/>
      <w:numFmt w:val="decimal"/>
      <w:lvlText w:val="%1."/>
      <w:lvlJc w:val="left"/>
      <w:pPr>
        <w:tabs>
          <w:tab w:val="num" w:pos="1429"/>
        </w:tabs>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87"/>
  <w:displayVerticalDrawingGridEvery w:val="2"/>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F10FB"/>
    <w:rsid w:val="00456AFF"/>
    <w:rsid w:val="007F10FB"/>
    <w:rsid w:val="00EE6B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6A6132D-50C3-4711-94F4-E871F4A4D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line="360" w:lineRule="auto"/>
      <w:ind w:firstLine="709"/>
      <w:jc w:val="center"/>
      <w:outlineLvl w:val="0"/>
    </w:pPr>
    <w:rPr>
      <w:b/>
      <w:bCs/>
      <w:sz w:val="28"/>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360" w:lineRule="auto"/>
      <w:ind w:firstLine="709"/>
      <w:jc w:val="both"/>
    </w:pPr>
    <w:rPr>
      <w:sz w:val="28"/>
      <w:szCs w:val="20"/>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1599</Words>
  <Characters>9115</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www.ukrreferat.com</dc:description>
  <cp:lastModifiedBy>admin</cp:lastModifiedBy>
  <cp:revision>2</cp:revision>
  <dcterms:created xsi:type="dcterms:W3CDTF">2014-04-09T09:11:00Z</dcterms:created>
  <dcterms:modified xsi:type="dcterms:W3CDTF">2014-04-09T09:11:00Z</dcterms:modified>
</cp:coreProperties>
</file>