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6F" w:rsidRDefault="00E55D6F" w:rsidP="00E55D6F">
      <w:pPr>
        <w:pStyle w:val="3"/>
        <w:rPr>
          <w:color w:val="000000"/>
        </w:rPr>
      </w:pPr>
      <w:r>
        <w:rPr>
          <w:color w:val="000000"/>
        </w:rPr>
        <w:t>Реферат</w:t>
      </w:r>
    </w:p>
    <w:p w:rsidR="00E55D6F" w:rsidRDefault="00E55D6F" w:rsidP="00E55D6F">
      <w:pPr>
        <w:spacing w:line="360" w:lineRule="auto"/>
        <w:ind w:firstLine="426"/>
        <w:jc w:val="both"/>
        <w:rPr>
          <w:color w:val="000000"/>
        </w:rPr>
      </w:pPr>
    </w:p>
    <w:p w:rsidR="00E55D6F" w:rsidRDefault="00E55D6F" w:rsidP="00E55D6F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caps/>
        </w:rPr>
        <w:t xml:space="preserve">Ключевые слова: </w:t>
      </w:r>
      <w:r w:rsidRPr="00E55D6F">
        <w:rPr>
          <w:sz w:val="24"/>
          <w:szCs w:val="24"/>
        </w:rPr>
        <w:t>Точность репликации, мутагенез, предшественники ДНК, аналоги азотистых оснований, интзинтрифосфат пирофосф</w:t>
      </w:r>
      <w:r>
        <w:rPr>
          <w:sz w:val="24"/>
          <w:szCs w:val="24"/>
        </w:rPr>
        <w:t>а</w:t>
      </w:r>
      <w:r w:rsidRPr="00E55D6F">
        <w:rPr>
          <w:sz w:val="24"/>
          <w:szCs w:val="24"/>
        </w:rPr>
        <w:t>т</w:t>
      </w:r>
      <w:r>
        <w:rPr>
          <w:sz w:val="24"/>
          <w:szCs w:val="24"/>
        </w:rPr>
        <w:t>а</w:t>
      </w:r>
      <w:r w:rsidRPr="00E55D6F">
        <w:rPr>
          <w:sz w:val="24"/>
          <w:szCs w:val="24"/>
        </w:rPr>
        <w:t>за.</w:t>
      </w:r>
    </w:p>
    <w:p w:rsidR="00E55D6F" w:rsidRPr="00E55D6F" w:rsidRDefault="00E55D6F" w:rsidP="00E55D6F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</w:p>
    <w:p w:rsidR="00E55D6F" w:rsidRDefault="00E55D6F" w:rsidP="00E55D6F">
      <w:pPr>
        <w:pStyle w:val="Iauiue"/>
        <w:spacing w:line="360" w:lineRule="auto"/>
        <w:ind w:firstLine="432"/>
        <w:rPr>
          <w:lang w:val="ru-RU"/>
        </w:rPr>
      </w:pPr>
      <w:r w:rsidRPr="002F5508">
        <w:rPr>
          <w:bCs/>
          <w:lang w:val="ru-RU"/>
        </w:rPr>
        <w:t xml:space="preserve">Присутствие неканонических аналогов оснований в пуле природных предшественников ДНК снижает точность репликации ДНК. </w:t>
      </w:r>
      <w:r w:rsidRPr="002F5508">
        <w:rPr>
          <w:lang w:val="ru-RU"/>
        </w:rPr>
        <w:t xml:space="preserve">Мутагенные аналоги оснований могут быть причиной наследственных и онкологических заболеваний, что определяет актуальность детального исследования механизмов мутагенеза при действии аналогов. Простейшие эукариотические организмы – дрожжи </w:t>
      </w:r>
      <w:r w:rsidRPr="00877432">
        <w:rPr>
          <w:i/>
          <w:lang w:val="en-US"/>
        </w:rPr>
        <w:t>S</w:t>
      </w:r>
      <w:r w:rsidRPr="002F5508">
        <w:rPr>
          <w:i/>
          <w:lang w:val="ru-RU"/>
        </w:rPr>
        <w:t xml:space="preserve">. </w:t>
      </w:r>
      <w:r w:rsidRPr="00877432">
        <w:rPr>
          <w:i/>
          <w:lang w:val="en-US"/>
        </w:rPr>
        <w:t>cerevisiae</w:t>
      </w:r>
      <w:r w:rsidRPr="002F5508">
        <w:rPr>
          <w:lang w:val="ru-RU"/>
        </w:rPr>
        <w:t xml:space="preserve"> являются удобной моделью для изучения механизмов мутагенеза, индуцированного аналогами оснований. </w:t>
      </w:r>
      <w:r>
        <w:rPr>
          <w:lang w:val="ru-RU"/>
        </w:rPr>
        <w:t>Целью данной работы стало выявление генов,</w:t>
      </w:r>
      <w:r w:rsidRPr="002F5508">
        <w:rPr>
          <w:lang w:val="ru-RU"/>
        </w:rPr>
        <w:t xml:space="preserve"> потенциально способных контролировать чувствительность к </w:t>
      </w:r>
      <w:r>
        <w:rPr>
          <w:lang w:val="ru-RU"/>
        </w:rPr>
        <w:t xml:space="preserve">мутагенному аналогу </w:t>
      </w:r>
      <w:r w:rsidRPr="002F5508">
        <w:rPr>
          <w:lang w:val="ru-RU"/>
        </w:rPr>
        <w:t>ГАП</w:t>
      </w:r>
      <w:r>
        <w:rPr>
          <w:lang w:val="ru-RU"/>
        </w:rPr>
        <w:t xml:space="preserve">, с использованием дрожжевой модели. В рамках цели исследования, были поставлены следующие задачи: </w:t>
      </w:r>
    </w:p>
    <w:p w:rsidR="00E55D6F" w:rsidRDefault="00E55D6F" w:rsidP="00E55D6F">
      <w:pPr>
        <w:pStyle w:val="Iauiue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Клонировать человеческий ген </w:t>
      </w:r>
      <w:r>
        <w:rPr>
          <w:lang w:val="en-US"/>
        </w:rPr>
        <w:t>ITPA</w:t>
      </w:r>
      <w:r w:rsidRPr="002F5508">
        <w:rPr>
          <w:lang w:val="ru-RU"/>
        </w:rPr>
        <w:t xml:space="preserve"> </w:t>
      </w:r>
      <w:r>
        <w:rPr>
          <w:lang w:val="ru-RU"/>
        </w:rPr>
        <w:t xml:space="preserve">в челночном векторе </w:t>
      </w:r>
      <w:r>
        <w:rPr>
          <w:lang w:val="en-US"/>
        </w:rPr>
        <w:t>pESC</w:t>
      </w:r>
      <w:r>
        <w:rPr>
          <w:lang w:val="ru-RU"/>
        </w:rPr>
        <w:t xml:space="preserve"> для экспрессии указанного гена в клетках дрожжейгена,</w:t>
      </w:r>
    </w:p>
    <w:p w:rsidR="00E55D6F" w:rsidRDefault="00E55D6F" w:rsidP="00E55D6F">
      <w:pPr>
        <w:pStyle w:val="Iauiue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Получить мутантные аллели человеческого гена </w:t>
      </w:r>
      <w:r>
        <w:rPr>
          <w:lang w:val="en-US"/>
        </w:rPr>
        <w:t>ITPA</w:t>
      </w:r>
      <w:r>
        <w:rPr>
          <w:lang w:val="ru-RU"/>
        </w:rPr>
        <w:t>,</w:t>
      </w:r>
    </w:p>
    <w:p w:rsidR="00E55D6F" w:rsidRDefault="00E55D6F" w:rsidP="00E55D6F">
      <w:pPr>
        <w:pStyle w:val="Iauiue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Изучить эффекты экспрессии человеского гена </w:t>
      </w:r>
      <w:r>
        <w:rPr>
          <w:lang w:val="en-US"/>
        </w:rPr>
        <w:t>ITPA</w:t>
      </w:r>
      <w:r>
        <w:rPr>
          <w:lang w:val="ru-RU"/>
        </w:rPr>
        <w:t xml:space="preserve"> дикого типа и его мутантных аллелей</w:t>
      </w:r>
      <w:r w:rsidRPr="002F5508">
        <w:rPr>
          <w:lang w:val="ru-RU"/>
        </w:rPr>
        <w:t xml:space="preserve">, </w:t>
      </w:r>
      <w:r>
        <w:rPr>
          <w:lang w:val="ru-RU"/>
        </w:rPr>
        <w:t xml:space="preserve">в клетках дрожжей </w:t>
      </w:r>
      <w:r w:rsidRPr="002F5508">
        <w:rPr>
          <w:i/>
          <w:lang w:val="en-US"/>
        </w:rPr>
        <w:t>S</w:t>
      </w:r>
      <w:r w:rsidRPr="002F5508">
        <w:rPr>
          <w:i/>
          <w:lang w:val="ru-RU"/>
        </w:rPr>
        <w:t xml:space="preserve">. </w:t>
      </w:r>
      <w:r w:rsidRPr="002F5508">
        <w:rPr>
          <w:i/>
          <w:lang w:val="en-US"/>
        </w:rPr>
        <w:t>cerevisiae</w:t>
      </w:r>
      <w:r>
        <w:rPr>
          <w:lang w:val="ru-RU"/>
        </w:rPr>
        <w:t>.</w:t>
      </w:r>
    </w:p>
    <w:p w:rsidR="00E55D6F" w:rsidRDefault="00E55D6F" w:rsidP="00E55D6F">
      <w:pPr>
        <w:pStyle w:val="Iauiue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 xml:space="preserve">Очистить человеческий белок </w:t>
      </w:r>
      <w:r>
        <w:rPr>
          <w:lang w:val="en-US"/>
        </w:rPr>
        <w:t>ITPA</w:t>
      </w:r>
      <w:r>
        <w:rPr>
          <w:lang w:val="ru-RU"/>
        </w:rPr>
        <w:t xml:space="preserve"> дикого типа и мутантные формы белка.</w:t>
      </w:r>
    </w:p>
    <w:p w:rsidR="00E55D6F" w:rsidRDefault="00E55D6F" w:rsidP="00E55D6F">
      <w:pPr>
        <w:pStyle w:val="Iauiue"/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Проверить субстратную специфичность и активность очищенных белков.</w:t>
      </w:r>
    </w:p>
    <w:p w:rsidR="00E55D6F" w:rsidRDefault="00E55D6F" w:rsidP="00E55D6F">
      <w:pPr>
        <w:pStyle w:val="Iauiue"/>
        <w:spacing w:line="240" w:lineRule="auto"/>
        <w:ind w:firstLine="0"/>
        <w:rPr>
          <w:lang w:val="ru-RU"/>
        </w:rPr>
      </w:pPr>
    </w:p>
    <w:p w:rsidR="00E55D6F" w:rsidRDefault="00E55D6F" w:rsidP="00E55D6F">
      <w:pPr>
        <w:pStyle w:val="Iauiue"/>
        <w:spacing w:line="360" w:lineRule="auto"/>
        <w:ind w:left="425" w:firstLine="295"/>
        <w:rPr>
          <w:color w:val="000000"/>
          <w:lang w:val="ru-RU"/>
        </w:rPr>
      </w:pPr>
      <w:r>
        <w:rPr>
          <w:color w:val="000000"/>
          <w:lang w:val="ru-RU"/>
        </w:rPr>
        <w:t>В работе использовались методы классической генетики дрожжей, методы молекулярной генетики и биохимии, а именно: трансформация клеток дрожжей и бактерий, метод селективных сред, ПЦР,электрофореза белков и ДНК, рестрикции и легирования ДНК, метод сайт-направленного иутагенеза, методы жидкостной и тонкослойной хромотографии и другие методы.</w:t>
      </w:r>
    </w:p>
    <w:p w:rsidR="00E55D6F" w:rsidRPr="00DD5A02" w:rsidRDefault="00E55D6F" w:rsidP="00E55D6F">
      <w:pPr>
        <w:pStyle w:val="Iauiue"/>
        <w:spacing w:line="360" w:lineRule="auto"/>
        <w:ind w:left="425" w:firstLine="295"/>
        <w:rPr>
          <w:color w:val="000000"/>
          <w:lang w:val="ru-RU"/>
        </w:rPr>
      </w:pPr>
      <w:r>
        <w:rPr>
          <w:color w:val="000000"/>
          <w:lang w:val="ru-RU"/>
        </w:rPr>
        <w:t xml:space="preserve">Частично или полностью были выполнены все поставленные задачи. Получены вектора экспрессии </w:t>
      </w:r>
      <w:r>
        <w:rPr>
          <w:color w:val="000000"/>
          <w:lang w:val="en-US"/>
        </w:rPr>
        <w:t>pET</w:t>
      </w:r>
      <w:r w:rsidRPr="004D099E">
        <w:rPr>
          <w:color w:val="000000"/>
          <w:lang w:val="ru-RU"/>
        </w:rPr>
        <w:t>15</w:t>
      </w:r>
      <w:r>
        <w:rPr>
          <w:color w:val="000000"/>
          <w:lang w:val="en-US"/>
        </w:rPr>
        <w:t>b</w:t>
      </w:r>
      <w:r>
        <w:rPr>
          <w:color w:val="000000"/>
          <w:lang w:val="ru-RU"/>
        </w:rPr>
        <w:t xml:space="preserve">, несущие ген </w:t>
      </w:r>
      <w:r>
        <w:rPr>
          <w:color w:val="000000"/>
          <w:lang w:val="en-US"/>
        </w:rPr>
        <w:t>ITPA</w:t>
      </w:r>
      <w:r w:rsidRPr="004D099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его мутантные аллели </w:t>
      </w:r>
      <w:r w:rsidRPr="004D099E">
        <w:rPr>
          <w:bCs/>
          <w:color w:val="000000"/>
          <w:lang w:val="en-US"/>
        </w:rPr>
        <w:t>N</w:t>
      </w:r>
      <w:r w:rsidRPr="004D099E">
        <w:rPr>
          <w:bCs/>
          <w:color w:val="000000"/>
          <w:lang w:val="ru-RU"/>
        </w:rPr>
        <w:t>16</w:t>
      </w:r>
      <w:r w:rsidRPr="004D099E">
        <w:rPr>
          <w:bCs/>
          <w:color w:val="000000"/>
          <w:lang w:val="en-US"/>
        </w:rPr>
        <w:t>Q</w:t>
      </w:r>
      <w:r>
        <w:rPr>
          <w:bCs/>
          <w:color w:val="000000"/>
          <w:lang w:val="ru-RU"/>
        </w:rPr>
        <w:t>,</w:t>
      </w:r>
      <w:r w:rsidRPr="004D099E">
        <w:rPr>
          <w:bCs/>
          <w:color w:val="000000"/>
          <w:lang w:val="ru-RU"/>
        </w:rPr>
        <w:t xml:space="preserve"> </w:t>
      </w:r>
      <w:r w:rsidRPr="004D099E">
        <w:rPr>
          <w:bCs/>
          <w:color w:val="000000"/>
          <w:lang w:val="en-US"/>
        </w:rPr>
        <w:t>N</w:t>
      </w:r>
      <w:r w:rsidRPr="004D099E">
        <w:rPr>
          <w:bCs/>
          <w:color w:val="000000"/>
          <w:lang w:val="ru-RU"/>
        </w:rPr>
        <w:t>16</w:t>
      </w:r>
      <w:r w:rsidRPr="004D099E">
        <w:rPr>
          <w:bCs/>
          <w:color w:val="000000"/>
          <w:lang w:val="en-US"/>
        </w:rPr>
        <w:t>T</w:t>
      </w:r>
      <w:r w:rsidRPr="004D099E">
        <w:rPr>
          <w:bCs/>
          <w:color w:val="000000"/>
          <w:lang w:val="ru-RU"/>
        </w:rPr>
        <w:t xml:space="preserve">, </w:t>
      </w:r>
      <w:r w:rsidRPr="004D099E">
        <w:rPr>
          <w:bCs/>
          <w:color w:val="000000"/>
          <w:lang w:val="en-US"/>
        </w:rPr>
        <w:t>P</w:t>
      </w:r>
      <w:r w:rsidRPr="004D099E">
        <w:rPr>
          <w:bCs/>
          <w:color w:val="000000"/>
          <w:lang w:val="ru-RU"/>
        </w:rPr>
        <w:t>32</w:t>
      </w:r>
      <w:r w:rsidRPr="004D099E">
        <w:rPr>
          <w:bCs/>
          <w:color w:val="000000"/>
          <w:lang w:val="en-US"/>
        </w:rPr>
        <w:t>T</w:t>
      </w:r>
      <w:r w:rsidRPr="004D099E">
        <w:rPr>
          <w:bCs/>
          <w:color w:val="000000"/>
          <w:lang w:val="ru-RU"/>
        </w:rPr>
        <w:t>,</w:t>
      </w:r>
      <w:r w:rsidRPr="004D099E">
        <w:rPr>
          <w:color w:val="000000"/>
          <w:lang w:val="ru-RU"/>
        </w:rPr>
        <w:t xml:space="preserve"> </w:t>
      </w:r>
      <w:r w:rsidRPr="004D099E">
        <w:rPr>
          <w:bCs/>
          <w:color w:val="000000"/>
          <w:lang w:val="en-US"/>
        </w:rPr>
        <w:t>E</w:t>
      </w:r>
      <w:r w:rsidRPr="004D099E">
        <w:rPr>
          <w:bCs/>
          <w:color w:val="000000"/>
          <w:lang w:val="ru-RU"/>
        </w:rPr>
        <w:t>44</w:t>
      </w:r>
      <w:r w:rsidRPr="004D099E">
        <w:rPr>
          <w:bCs/>
          <w:color w:val="000000"/>
          <w:lang w:val="en-US"/>
        </w:rPr>
        <w:t>L</w:t>
      </w:r>
      <w:r w:rsidRPr="004D099E">
        <w:rPr>
          <w:bCs/>
          <w:color w:val="000000"/>
          <w:lang w:val="ru-RU"/>
        </w:rPr>
        <w:t xml:space="preserve">, </w:t>
      </w:r>
      <w:r w:rsidRPr="004D099E">
        <w:rPr>
          <w:bCs/>
          <w:color w:val="000000"/>
          <w:lang w:val="en-US"/>
        </w:rPr>
        <w:t>F</w:t>
      </w:r>
      <w:r w:rsidRPr="004D099E">
        <w:rPr>
          <w:bCs/>
          <w:color w:val="000000"/>
          <w:lang w:val="ru-RU"/>
        </w:rPr>
        <w:t>149</w:t>
      </w:r>
      <w:r w:rsidRPr="004D099E">
        <w:rPr>
          <w:bCs/>
          <w:color w:val="000000"/>
          <w:lang w:val="en-US"/>
        </w:rPr>
        <w:t>A</w:t>
      </w:r>
      <w:r w:rsidRPr="004D099E">
        <w:rPr>
          <w:bCs/>
          <w:color w:val="000000"/>
          <w:lang w:val="ru-RU"/>
        </w:rPr>
        <w:t xml:space="preserve">, </w:t>
      </w:r>
      <w:r w:rsidRPr="004D099E">
        <w:rPr>
          <w:bCs/>
          <w:color w:val="000000"/>
          <w:lang w:val="en-US"/>
        </w:rPr>
        <w:t>W</w:t>
      </w:r>
      <w:r w:rsidRPr="004D099E">
        <w:rPr>
          <w:bCs/>
          <w:color w:val="000000"/>
          <w:lang w:val="ru-RU"/>
        </w:rPr>
        <w:t>151</w:t>
      </w:r>
      <w:r w:rsidRPr="004D099E">
        <w:rPr>
          <w:bCs/>
          <w:color w:val="000000"/>
          <w:lang w:val="en-US"/>
        </w:rPr>
        <w:t>A</w:t>
      </w:r>
      <w:r w:rsidRPr="004D099E">
        <w:rPr>
          <w:bCs/>
          <w:color w:val="000000"/>
          <w:lang w:val="ru-RU"/>
        </w:rPr>
        <w:t xml:space="preserve">, </w:t>
      </w:r>
      <w:r w:rsidRPr="004D099E">
        <w:rPr>
          <w:bCs/>
          <w:color w:val="000000"/>
          <w:lang w:val="en-US"/>
        </w:rPr>
        <w:t>D</w:t>
      </w:r>
      <w:r w:rsidRPr="004D099E">
        <w:rPr>
          <w:bCs/>
          <w:color w:val="000000"/>
          <w:lang w:val="ru-RU"/>
        </w:rPr>
        <w:t>152</w:t>
      </w:r>
      <w:r w:rsidRPr="004D099E">
        <w:rPr>
          <w:bCs/>
          <w:color w:val="000000"/>
          <w:lang w:val="en-US"/>
        </w:rPr>
        <w:t>A</w:t>
      </w:r>
      <w:r w:rsidRPr="004D099E">
        <w:rPr>
          <w:bCs/>
          <w:color w:val="000000"/>
          <w:lang w:val="ru-RU"/>
        </w:rPr>
        <w:t xml:space="preserve">, </w:t>
      </w:r>
      <w:r w:rsidRPr="004D099E">
        <w:rPr>
          <w:bCs/>
          <w:color w:val="000000"/>
          <w:lang w:val="en-US"/>
        </w:rPr>
        <w:t>K</w:t>
      </w:r>
      <w:r w:rsidRPr="004D099E">
        <w:rPr>
          <w:bCs/>
          <w:color w:val="000000"/>
          <w:lang w:val="ru-RU"/>
        </w:rPr>
        <w:t>172</w:t>
      </w:r>
      <w:r w:rsidRPr="004D099E">
        <w:rPr>
          <w:bCs/>
          <w:color w:val="000000"/>
          <w:lang w:val="en-US"/>
        </w:rPr>
        <w:t>A</w:t>
      </w:r>
      <w:r w:rsidRPr="004D099E">
        <w:rPr>
          <w:bCs/>
          <w:color w:val="000000"/>
          <w:lang w:val="ru-RU"/>
        </w:rPr>
        <w:t xml:space="preserve">, </w:t>
      </w:r>
      <w:r w:rsidRPr="004D099E">
        <w:rPr>
          <w:bCs/>
          <w:color w:val="000000"/>
          <w:lang w:val="en-US"/>
        </w:rPr>
        <w:t>H</w:t>
      </w:r>
      <w:r w:rsidRPr="004D099E">
        <w:rPr>
          <w:bCs/>
          <w:color w:val="000000"/>
          <w:lang w:val="ru-RU"/>
        </w:rPr>
        <w:t>177</w:t>
      </w:r>
      <w:r w:rsidRPr="004D099E">
        <w:rPr>
          <w:bCs/>
          <w:color w:val="000000"/>
          <w:lang w:val="en-US"/>
        </w:rPr>
        <w:t>A</w:t>
      </w:r>
      <w:r>
        <w:rPr>
          <w:bCs/>
          <w:color w:val="000000"/>
          <w:lang w:val="ru-RU"/>
        </w:rPr>
        <w:t xml:space="preserve"> и </w:t>
      </w:r>
      <w:r w:rsidRPr="004D099E">
        <w:rPr>
          <w:bCs/>
          <w:color w:val="000000"/>
          <w:lang w:val="ru-RU"/>
        </w:rPr>
        <w:t xml:space="preserve"> </w:t>
      </w:r>
      <w:r w:rsidRPr="004D099E">
        <w:rPr>
          <w:bCs/>
          <w:color w:val="000000"/>
          <w:lang w:val="en-US"/>
        </w:rPr>
        <w:t>R</w:t>
      </w:r>
      <w:r w:rsidRPr="004D099E">
        <w:rPr>
          <w:bCs/>
          <w:color w:val="000000"/>
          <w:lang w:val="ru-RU"/>
        </w:rPr>
        <w:t>178</w:t>
      </w:r>
      <w:r w:rsidRPr="004D099E">
        <w:rPr>
          <w:bCs/>
          <w:color w:val="000000"/>
          <w:lang w:val="en-US"/>
        </w:rPr>
        <w:t>A</w:t>
      </w:r>
      <w:r>
        <w:rPr>
          <w:bCs/>
          <w:color w:val="000000"/>
          <w:lang w:val="ru-RU"/>
        </w:rPr>
        <w:t xml:space="preserve">. Очищены соответствующие белки. Начаты работы по исследованию их ферментативной активности и по изучению эффектов экспрессии данных белков в клетках дрожжей. Полученные результаты имеют значение для понимания механизмов поддержания качественного и количественного состава пула предшественников ДНК. </w:t>
      </w:r>
    </w:p>
    <w:p w:rsidR="0057451A" w:rsidRDefault="0057451A">
      <w:bookmarkStart w:id="0" w:name="_GoBack"/>
      <w:bookmarkEnd w:id="0"/>
    </w:p>
    <w:sectPr w:rsidR="0057451A" w:rsidSect="00E55D6F">
      <w:pgSz w:w="11909" w:h="16834" w:code="9"/>
      <w:pgMar w:top="562" w:right="1411" w:bottom="5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17A80"/>
    <w:multiLevelType w:val="hybridMultilevel"/>
    <w:tmpl w:val="EA7E996A"/>
    <w:lvl w:ilvl="0" w:tplc="08B8D786">
      <w:start w:val="1"/>
      <w:numFmt w:val="decimal"/>
      <w:lvlText w:val="%1)"/>
      <w:lvlJc w:val="left"/>
      <w:pPr>
        <w:tabs>
          <w:tab w:val="num" w:pos="1242"/>
        </w:tabs>
        <w:ind w:left="1242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D6F"/>
    <w:rsid w:val="000D56E3"/>
    <w:rsid w:val="00102811"/>
    <w:rsid w:val="0057451A"/>
    <w:rsid w:val="00710D9D"/>
    <w:rsid w:val="007615CD"/>
    <w:rsid w:val="00827A79"/>
    <w:rsid w:val="00850121"/>
    <w:rsid w:val="008E6BD9"/>
    <w:rsid w:val="00C57FA4"/>
    <w:rsid w:val="00D31703"/>
    <w:rsid w:val="00E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1DA37-42D9-4750-85AB-8F9AF216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6F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E55D6F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55D6F"/>
    <w:pPr>
      <w:autoSpaceDE w:val="0"/>
      <w:autoSpaceDN w:val="0"/>
      <w:spacing w:line="480" w:lineRule="auto"/>
      <w:ind w:firstLine="426"/>
      <w:jc w:val="both"/>
    </w:pPr>
    <w:rPr>
      <w:rFonts w:eastAsia="SimSu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unmc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pslab</dc:creator>
  <cp:keywords/>
  <dc:description/>
  <cp:lastModifiedBy>Irina</cp:lastModifiedBy>
  <cp:revision>2</cp:revision>
  <dcterms:created xsi:type="dcterms:W3CDTF">2014-08-02T16:55:00Z</dcterms:created>
  <dcterms:modified xsi:type="dcterms:W3CDTF">2014-08-02T16:55:00Z</dcterms:modified>
</cp:coreProperties>
</file>