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95" w:rsidRDefault="0032110C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НЕОБХОДИМОСТЬ ВОССТАНОВЛЕНИЯ </w:t>
      </w:r>
    </w:p>
    <w:p w:rsidR="00BB0F95" w:rsidRDefault="0032110C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НАДЕЖНОСТИ ОБЛИГАЦИЙ</w:t>
      </w:r>
    </w:p>
    <w:p w:rsidR="00BB0F95" w:rsidRDefault="00BB0F95">
      <w:pPr>
        <w:spacing w:line="360" w:lineRule="exact"/>
        <w:jc w:val="center"/>
        <w:rPr>
          <w:b/>
          <w:sz w:val="28"/>
        </w:rPr>
      </w:pPr>
    </w:p>
    <w:p w:rsidR="00BB0F95" w:rsidRDefault="0032110C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Ходжаев Э.Н.</w:t>
      </w:r>
    </w:p>
    <w:p w:rsidR="00BB0F95" w:rsidRDefault="00BB0F95">
      <w:pPr>
        <w:spacing w:line="360" w:lineRule="exact"/>
        <w:jc w:val="center"/>
        <w:rPr>
          <w:b/>
          <w:sz w:val="28"/>
        </w:rPr>
      </w:pPr>
    </w:p>
    <w:p w:rsidR="00BB0F95" w:rsidRDefault="0032110C">
      <w:pPr>
        <w:spacing w:line="360" w:lineRule="exact"/>
        <w:jc w:val="both"/>
        <w:rPr>
          <w:b/>
          <w:sz w:val="28"/>
        </w:rPr>
      </w:pPr>
      <w:r>
        <w:rPr>
          <w:b/>
          <w:sz w:val="28"/>
        </w:rPr>
        <w:tab/>
        <w:t>Постоянная нехватка денежных ресурсов, связанная с необходимостью обеспечения в ресурсах потребности хозяйствующих субъектов, вызвала повышенный спрос на эмиссию и размещение надежных ценных бумаг, в числе которых важное место могут занимать облигации.</w:t>
      </w:r>
    </w:p>
    <w:p w:rsidR="00BB0F95" w:rsidRDefault="0032110C">
      <w:pPr>
        <w:spacing w:line="360" w:lineRule="exact"/>
        <w:jc w:val="both"/>
        <w:rPr>
          <w:b/>
          <w:sz w:val="28"/>
        </w:rPr>
      </w:pPr>
      <w:r>
        <w:rPr>
          <w:b/>
          <w:sz w:val="28"/>
        </w:rPr>
        <w:tab/>
        <w:t>Для современного состояния экономики Республики Узбекистан характерна такая специфическая черта, как почти полное отсутствие на рынке ценных бумаг облигаций.  Основу рынка ценных бумаг составляют акции некоторых банков, инвестиционных компаний и отдельных производственных и непроизводственных  субъектов. За последние годы на фондовом рынке появилось большее количество акций приватизационных предприятий. Однако сделки регулярно заключаются лишь с относительно немногими видами наиболее ликвидных акций.  Почему же эмитенты не обращают должного внимания на выпуск таких зарекомендовавших себя в мировой фондовой практике ценных бумаг как облигаций? На наш взгляд, это обозначается в первую очередь, неблагоприятным психологическим стереотипом, сложившимся у населения из-за того, что государство использовало облигационные займы в послевоенные годы для изъятия денежных средств у населения, не возвратив их до сих пор. Поэтому эмитенты стараются выпускать в обращение ценные бумаги, нескомпроментированные предыдущим развитием экономики: акции, векселя, депозитные сертификаты и др.  Между тем, по мере естественного развития фондового рынка, облигации должны занять на нем достойное место. Этому, на наш взгляд, должны способствовать следующие их качества:</w:t>
      </w:r>
    </w:p>
    <w:p w:rsidR="00BB0F95" w:rsidRDefault="0032110C">
      <w:pPr>
        <w:numPr>
          <w:ilvl w:val="0"/>
          <w:numId w:val="1"/>
        </w:numPr>
        <w:tabs>
          <w:tab w:val="clear" w:pos="360"/>
          <w:tab w:val="num" w:pos="79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Возврат вложенных средств при погашении;</w:t>
      </w:r>
    </w:p>
    <w:p w:rsidR="00BB0F95" w:rsidRDefault="0032110C">
      <w:pPr>
        <w:numPr>
          <w:ilvl w:val="0"/>
          <w:numId w:val="1"/>
        </w:numPr>
        <w:tabs>
          <w:tab w:val="clear" w:pos="360"/>
          <w:tab w:val="num" w:pos="79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Стабильная выплата процента на вложенный капитал;</w:t>
      </w:r>
    </w:p>
    <w:p w:rsidR="00BB0F95" w:rsidRDefault="0032110C">
      <w:pPr>
        <w:numPr>
          <w:ilvl w:val="0"/>
          <w:numId w:val="1"/>
        </w:numPr>
        <w:tabs>
          <w:tab w:val="clear" w:pos="360"/>
          <w:tab w:val="num" w:pos="79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Первоочередные выплаты по облигациям в сравнении с акциями при банкротстве предприятия;</w:t>
      </w:r>
    </w:p>
    <w:p w:rsidR="00BB0F95" w:rsidRDefault="0032110C">
      <w:pPr>
        <w:numPr>
          <w:ilvl w:val="0"/>
          <w:numId w:val="1"/>
        </w:numPr>
        <w:tabs>
          <w:tab w:val="clear" w:pos="360"/>
          <w:tab w:val="num" w:pos="79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Более высокая надежность;</w:t>
      </w:r>
    </w:p>
    <w:p w:rsidR="00BB0F95" w:rsidRDefault="0032110C">
      <w:pPr>
        <w:numPr>
          <w:ilvl w:val="0"/>
          <w:numId w:val="1"/>
        </w:numPr>
        <w:tabs>
          <w:tab w:val="clear" w:pos="360"/>
          <w:tab w:val="num" w:pos="79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lastRenderedPageBreak/>
        <w:t>Небольшие колебания курсовой стоимости.</w:t>
      </w:r>
    </w:p>
    <w:p w:rsidR="00BB0F95" w:rsidRDefault="0032110C">
      <w:pPr>
        <w:spacing w:line="36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 облигациям важна выплата процента из расчета годовых с учетом  индексации.  Судя по регулярным выплатам и индексированию дивиденда по акциям  общества, нет никаких оснований для сомнений  в реальности этих планов.  Дополнительной привлекательностью облигации может служить ежеквартальная выплата процента и возвращения вкладчикам средств при погашении облигации. </w:t>
      </w:r>
    </w:p>
    <w:p w:rsidR="00BB0F95" w:rsidRDefault="0032110C">
      <w:pPr>
        <w:spacing w:line="360" w:lineRule="exact"/>
        <w:ind w:firstLine="426"/>
        <w:jc w:val="both"/>
        <w:rPr>
          <w:b/>
          <w:sz w:val="28"/>
        </w:rPr>
      </w:pPr>
      <w:r>
        <w:rPr>
          <w:b/>
          <w:sz w:val="28"/>
        </w:rPr>
        <w:tab/>
        <w:t>Развитие финансового рынка вызвало также несколько актуальных в настоящий момент проблем. Одной из них является защита праводержателей ценных бумаг, как наименее защищенных субъектов финансовых отношений.</w:t>
      </w:r>
    </w:p>
    <w:p w:rsidR="00BB0F95" w:rsidRDefault="0032110C">
      <w:pPr>
        <w:spacing w:line="36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>Специалисты рынка ценных бумаг и коммерческих банков сознательно признают, что в случае признания коммерческой инфраструктуры несостоятельной (банкротом), необходимо иметь более эффективную форму защиты интересов держателей ценных бумаг, в частности облигаций, способную гарантировать держателям современный (быстрый) возврат денежных средств, размещенных физическими и юридическими лицами в ценные бумаги особенно коммерческих банков. Эффективная защита интересов держателей облигаций может быть осуществлена через создание системы гарантирования действенности облигации коммерческими банками. Для успешного создания функционирования системы гарантирования облигаций в коммерческих банках необходимо на наш взгляд, определиться по следующим вопросам:</w:t>
      </w:r>
    </w:p>
    <w:p w:rsidR="00BB0F95" w:rsidRDefault="0032110C">
      <w:pPr>
        <w:numPr>
          <w:ilvl w:val="0"/>
          <w:numId w:val="2"/>
        </w:numPr>
        <w:tabs>
          <w:tab w:val="clear" w:pos="360"/>
          <w:tab w:val="num" w:pos="795"/>
          <w:tab w:val="num" w:pos="130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Какой должна быть ответственность системы гарантированного функционирования облигации перед их держателями;</w:t>
      </w:r>
    </w:p>
    <w:p w:rsidR="00BB0F95" w:rsidRDefault="0032110C">
      <w:pPr>
        <w:numPr>
          <w:ilvl w:val="0"/>
          <w:numId w:val="2"/>
        </w:numPr>
        <w:tabs>
          <w:tab w:val="clear" w:pos="360"/>
          <w:tab w:val="num" w:pos="795"/>
          <w:tab w:val="num" w:pos="130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За счет каких источников должно производиться финансирование  части денежных средств, из находящихся в облигациях, держателем разорившегося субъекта;</w:t>
      </w:r>
    </w:p>
    <w:p w:rsidR="00BB0F95" w:rsidRDefault="0032110C">
      <w:pPr>
        <w:numPr>
          <w:ilvl w:val="0"/>
          <w:numId w:val="2"/>
        </w:numPr>
        <w:tabs>
          <w:tab w:val="clear" w:pos="360"/>
          <w:tab w:val="num" w:pos="795"/>
          <w:tab w:val="num" w:pos="130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Каковы функциональные и организационные структуры систем гарантирования облигаций, в частности в коммерческих банках;</w:t>
      </w:r>
    </w:p>
    <w:p w:rsidR="00BB0F95" w:rsidRDefault="0032110C">
      <w:pPr>
        <w:numPr>
          <w:ilvl w:val="0"/>
          <w:numId w:val="2"/>
        </w:numPr>
        <w:tabs>
          <w:tab w:val="clear" w:pos="360"/>
          <w:tab w:val="num" w:pos="795"/>
          <w:tab w:val="num" w:pos="1305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Кто должен определять размер гарантированной суммы облигации,  выплачиваемой держателем облигации, а также должен ли размер гарантированной  суммы облигации  зависеть от созданного субъектом или государством резерва, или суммы облигации, выплачиваемая держателю, должна быть одинаковой для всех.</w:t>
      </w:r>
    </w:p>
    <w:p w:rsidR="00BB0F95" w:rsidRDefault="0032110C">
      <w:pPr>
        <w:tabs>
          <w:tab w:val="num" w:pos="0"/>
        </w:tabs>
        <w:spacing w:line="360" w:lineRule="exact"/>
        <w:ind w:firstLine="851"/>
        <w:jc w:val="both"/>
        <w:rPr>
          <w:b/>
          <w:sz w:val="28"/>
        </w:rPr>
      </w:pPr>
      <w:r>
        <w:rPr>
          <w:b/>
          <w:sz w:val="28"/>
        </w:rPr>
        <w:t>Более подробное изучение возможных вариантов ответов на поставленные вопросы зависит от множества взаимозависимых параметров создаваемой государством в законодательном порядке системы гарантирования облигационных выплат.</w:t>
      </w:r>
    </w:p>
    <w:p w:rsidR="00BB0F95" w:rsidRDefault="0032110C">
      <w:pPr>
        <w:tabs>
          <w:tab w:val="num" w:pos="0"/>
        </w:tabs>
        <w:spacing w:line="360" w:lineRule="exact"/>
        <w:ind w:firstLine="795"/>
        <w:jc w:val="both"/>
        <w:rPr>
          <w:b/>
          <w:sz w:val="28"/>
        </w:rPr>
      </w:pPr>
      <w:r>
        <w:rPr>
          <w:b/>
          <w:sz w:val="28"/>
        </w:rPr>
        <w:t>На наш взгляд, все они являются модификацией трех базовых вариантов:</w:t>
      </w:r>
    </w:p>
    <w:p w:rsidR="00BB0F95" w:rsidRDefault="0032110C">
      <w:pPr>
        <w:tabs>
          <w:tab w:val="num" w:pos="0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ВАРИАНТ 1.</w:t>
      </w:r>
      <w:r>
        <w:rPr>
          <w:b/>
          <w:sz w:val="28"/>
        </w:rPr>
        <w:tab/>
        <w:t>Коллективная ответственность выпускающего облигации перед их держателями.</w:t>
      </w:r>
    </w:p>
    <w:p w:rsidR="00BB0F95" w:rsidRDefault="0032110C">
      <w:pPr>
        <w:tabs>
          <w:tab w:val="num" w:pos="0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ВАРИАНТ 2.</w:t>
      </w:r>
      <w:r>
        <w:rPr>
          <w:b/>
          <w:sz w:val="28"/>
        </w:rPr>
        <w:tab/>
        <w:t>Индивидуальная ответственность (т.е. ответственность акционерных обществ перед держателями ценных бумаг).</w:t>
      </w:r>
    </w:p>
    <w:p w:rsidR="00BB0F95" w:rsidRDefault="0032110C">
      <w:pPr>
        <w:tabs>
          <w:tab w:val="num" w:pos="0"/>
        </w:tabs>
        <w:spacing w:line="360" w:lineRule="exact"/>
        <w:ind w:left="795"/>
        <w:jc w:val="both"/>
        <w:rPr>
          <w:b/>
          <w:sz w:val="28"/>
        </w:rPr>
      </w:pPr>
      <w:r>
        <w:rPr>
          <w:b/>
          <w:sz w:val="28"/>
        </w:rPr>
        <w:t>ВАРИАНТ 3.</w:t>
      </w:r>
      <w:r>
        <w:rPr>
          <w:b/>
          <w:sz w:val="28"/>
        </w:rPr>
        <w:tab/>
        <w:t>Государственная (бюджетная) ответственность (т.е. возврат держателям облигаций денежных средств из вкладов государства с учетом индексации).</w:t>
      </w:r>
    </w:p>
    <w:p w:rsidR="00BB0F95" w:rsidRDefault="0032110C">
      <w:pPr>
        <w:tabs>
          <w:tab w:val="num" w:pos="0"/>
        </w:tabs>
        <w:spacing w:line="360" w:lineRule="exact"/>
        <w:ind w:firstLine="795"/>
        <w:jc w:val="both"/>
        <w:rPr>
          <w:b/>
          <w:sz w:val="28"/>
        </w:rPr>
      </w:pPr>
      <w:r>
        <w:rPr>
          <w:b/>
          <w:sz w:val="28"/>
        </w:rPr>
        <w:t>Следовательно, общую ответственность за погашение облигаций и выплату гарантированных доходов должны нести  предприятия, организации, государственные органы выпустившие их.</w:t>
      </w:r>
    </w:p>
    <w:p w:rsidR="00BB0F95" w:rsidRDefault="0032110C">
      <w:pPr>
        <w:tabs>
          <w:tab w:val="num" w:pos="0"/>
        </w:tabs>
        <w:spacing w:line="360" w:lineRule="exact"/>
        <w:ind w:firstLine="795"/>
        <w:jc w:val="both"/>
        <w:rPr>
          <w:b/>
          <w:sz w:val="28"/>
        </w:rPr>
      </w:pPr>
      <w:r>
        <w:rPr>
          <w:b/>
          <w:sz w:val="28"/>
        </w:rPr>
        <w:t>При рассмотрении возможных вариантов ответов необходимо опираться на законодательные акты, определяющие условия и формы выплат доходов по тем или иным видам облигаций.  (См. рис.1.)</w:t>
      </w:r>
    </w:p>
    <w:p w:rsidR="00BB0F95" w:rsidRDefault="0032110C">
      <w:pPr>
        <w:tabs>
          <w:tab w:val="num" w:pos="0"/>
        </w:tabs>
        <w:spacing w:line="360" w:lineRule="exact"/>
        <w:ind w:firstLine="795"/>
        <w:jc w:val="both"/>
        <w:rPr>
          <w:b/>
          <w:sz w:val="28"/>
        </w:rPr>
      </w:pPr>
      <w:r>
        <w:rPr>
          <w:b/>
          <w:sz w:val="28"/>
        </w:rPr>
        <w:t xml:space="preserve">Такое многообразие видов облигаций, разумеется, вызвано прежде всего, необходимостью обеспечения защиты интересов их держателей. Ведь, на фондовом рынке держатели облигаций рискуют, и для того, чтобы сделать рынок привлекательным, необходима гарантированная защита интересов держателей каждого вида облигаций.        </w:t>
      </w:r>
    </w:p>
    <w:p w:rsidR="00BB0F95" w:rsidRDefault="00BB0F95">
      <w:pPr>
        <w:tabs>
          <w:tab w:val="num" w:pos="0"/>
        </w:tabs>
        <w:spacing w:line="360" w:lineRule="exact"/>
        <w:ind w:left="795"/>
        <w:jc w:val="both"/>
        <w:rPr>
          <w:b/>
          <w:sz w:val="28"/>
        </w:rPr>
      </w:pPr>
    </w:p>
    <w:p w:rsidR="00BB0F95" w:rsidRDefault="00B738BE">
      <w:pPr>
        <w:pageBreakBefore/>
        <w:tabs>
          <w:tab w:val="num" w:pos="0"/>
        </w:tabs>
        <w:spacing w:line="360" w:lineRule="exact"/>
        <w:ind w:left="794"/>
        <w:jc w:val="both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3.6pt;margin-top:645.1pt;width:390.5pt;height:42.6pt;z-index:251673088;mso-position-horizontal:absolute;mso-position-horizontal-relative:text;mso-position-vertical:absolute;mso-position-vertical-relative:text" o:allowincell="f" stroked="f">
            <v:textbox style="mso-next-textbox:#_x0000_s1091">
              <w:txbxContent>
                <w:p w:rsidR="00BB0F95" w:rsidRDefault="0032110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1.  Классификация видов облигаций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_x0000_s1083" style="position:absolute;left:0;text-align:left;flip:x y;z-index:251665920;mso-position-horizontal:absolute;mso-position-horizontal-relative:text;mso-position-vertical:absolute;mso-position-vertical-relative:text" from="272.1pt,417.9pt" to="300.5pt,538.6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82" style="position:absolute;left:0;text-align:left;z-index:251664896;mso-position-horizontal:absolute;mso-position-horizontal-relative:text;mso-position-vertical:absolute;mso-position-vertical-relative:text" from="201.1pt,503.1pt" to="201.1pt,538.6pt" o:allowincell="f">
            <v:stroke startarrow="block" endarrow="block"/>
          </v:line>
        </w:pict>
      </w:r>
      <w:r>
        <w:rPr>
          <w:b/>
          <w:noProof/>
          <w:sz w:val="28"/>
        </w:rPr>
        <w:pict>
          <v:line id="_x0000_s1081" style="position:absolute;left:0;text-align:left;flip:y;z-index:251663872;mso-position-horizontal:absolute;mso-position-horizontal-relative:text;mso-position-vertical:absolute;mso-position-vertical-relative:text" from="243.7pt,417.9pt" to="272.1pt,538.6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80" style="position:absolute;left:0;text-align:left;flip:y;z-index:251662848;mso-position-horizontal:absolute;mso-position-horizontal-relative:text;mso-position-vertical:absolute;mso-position-vertical-relative:text" from="201.1pt,417.9pt" to="272.1pt,453.4pt" o:allowincell="f">
            <v:stroke startarrow="block"/>
          </v:line>
        </w:pict>
      </w:r>
      <w:r>
        <w:rPr>
          <w:b/>
          <w:noProof/>
          <w:sz w:val="28"/>
        </w:rPr>
        <w:pict>
          <v:shape id="_x0000_s1073" type="#_x0000_t202" style="position:absolute;left:0;text-align:left;margin-left:300.5pt;margin-top:453.4pt;width:92.3pt;height:49.7pt;z-index:251655680;mso-position-horizontal:absolute;mso-position-horizontal-relative:text;mso-position-vertical:absolute;mso-position-vertical-relative:text" o:allowincell="f">
            <v:textbox style="mso-next-textbox:#_x0000_s1073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Купонные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72" type="#_x0000_t202" style="position:absolute;left:0;text-align:left;margin-left:151.4pt;margin-top:538.6pt;width:92.3pt;height:49.7pt;z-index:251654656;mso-position-horizontal:absolute;mso-position-horizontal-relative:text;mso-position-vertical:absolute;mso-position-vertical-relative:text" o:allowincell="f">
            <v:textbox style="mso-next-textbox:#_x0000_s1072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Выигрышные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71" type="#_x0000_t202" style="position:absolute;left:0;text-align:left;margin-left:300.5pt;margin-top:538.6pt;width:92.3pt;height:49.7pt;z-index:251653632;mso-position-horizontal:absolute;mso-position-horizontal-relative:text;mso-position-vertical:absolute;mso-position-vertical-relative:text" o:allowincell="f">
            <v:textbox style="mso-next-textbox:#_x0000_s1071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Дисконтные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70" type="#_x0000_t202" style="position:absolute;left:0;text-align:left;margin-left:151.4pt;margin-top:453.4pt;width:92.3pt;height:49.7pt;z-index:251652608;mso-position-horizontal:absolute;mso-position-horizontal-relative:text;mso-position-vertical:absolute;mso-position-vertical-relative:text" o:allowincell="f">
            <v:textbox style="mso-next-textbox:#_x0000_s1070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Процентные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9" type="#_x0000_t202" style="position:absolute;left:0;text-align:left;margin-left:229.5pt;margin-top:368.2pt;width:92.3pt;height:49.7pt;z-index:251651584;mso-position-horizontal:absolute;mso-position-horizontal-relative:text;mso-position-vertical:absolute;mso-position-vertical-relative:text" o:allowincell="f">
            <v:textbox style="mso-next-textbox:#_x0000_s1069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Стимулирующие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_x0000_s1084" style="position:absolute;left:0;text-align:left;flip:x y;z-index:251666944;mso-position-horizontal:absolute;mso-position-horizontal-relative:text;mso-position-vertical:absolute;mso-position-vertical-relative:text" from="272.1pt,417.9pt" to="343.1pt,453.4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77" style="position:absolute;left:0;text-align:left;flip:y;z-index:251659776;mso-position-horizontal:absolute;mso-position-horizontal-relative:text;mso-position-vertical:absolute;mso-position-vertical-relative:text" from="101.7pt,268.8pt" to="137.2pt,297.2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78" style="position:absolute;left:0;text-align:left;flip:y;z-index:251660800;mso-position-horizontal:absolute;mso-position-horizontal-relative:text;mso-position-vertical:absolute;mso-position-vertical-relative:text" from="123pt,283pt" to="172.7pt,346.9pt" o:allowincell="f">
            <v:stroke startarrow="block"/>
          </v:line>
        </w:pict>
      </w:r>
      <w:r>
        <w:rPr>
          <w:b/>
          <w:noProof/>
          <w:sz w:val="28"/>
        </w:rPr>
        <w:pict>
          <v:shape id="_x0000_s1067" type="#_x0000_t202" style="position:absolute;left:0;text-align:left;margin-left:137.2pt;margin-top:233.3pt;width:92.3pt;height:49.7pt;z-index:251649536;mso-position-horizontal:absolute;mso-position-horizontal-relative:text;mso-position-vertical:absolute;mso-position-vertical-relative:text" o:allowincell="f">
            <v:textbox style="mso-next-textbox:#_x0000_s1067">
              <w:txbxContent>
                <w:p w:rsidR="00BB0F95" w:rsidRDefault="0032110C">
                  <w:pPr>
                    <w:jc w:val="center"/>
                  </w:pPr>
                  <w:r>
                    <w:t>Облигации предприятий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_x0000_s1085" style="position:absolute;left:0;text-align:left;flip:x;z-index:251667968;mso-position-horizontal:absolute;mso-position-horizontal-relative:text;mso-position-vertical:absolute;mso-position-vertical-relative:text" from="186.9pt,70pt" to="236.6pt,105.5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75" style="position:absolute;left:0;text-align:left;z-index:251657728;mso-position-horizontal:absolute;mso-position-horizontal-relative:text;mso-position-vertical:absolute;mso-position-vertical-relative:text" from="101.7pt,70pt" to="151.4pt,105.5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89" style="position:absolute;left:0;text-align:left;z-index:251672064;mso-position-horizontal:absolute;mso-position-horizontal-relative:text;mso-position-vertical:absolute;mso-position-vertical-relative:text" from="215.3pt,141pt" to="272.1pt,141pt" o:allowincell="f"/>
        </w:pict>
      </w:r>
      <w:r>
        <w:rPr>
          <w:b/>
          <w:noProof/>
          <w:sz w:val="28"/>
        </w:rPr>
        <w:pict>
          <v:line id="_x0000_s1088" style="position:absolute;left:0;text-align:left;flip:x y;z-index:251671040;mso-position-horizontal:absolute;mso-position-horizontal-relative:text;mso-position-vertical:absolute;mso-position-vertical-relative:text" from="272.1pt,141pt" to="272.1pt,368.2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87" style="position:absolute;left:0;text-align:left;flip:x;z-index:251670016;mso-position-horizontal:absolute;mso-position-horizontal-relative:text;mso-position-vertical:absolute;mso-position-vertical-relative:text" from="186.9pt,155.2pt" to="293.4pt,233.3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86" style="position:absolute;left:0;text-align:left;z-index:251668992;mso-position-horizontal:absolute;mso-position-horizontal-relative:text;mso-position-vertical:absolute;mso-position-vertical-relative:text" from="215.3pt,126.8pt" to="293.4pt,126.8pt" o:allowincell="f">
            <v:stroke endarrow="block"/>
          </v:line>
        </w:pict>
      </w:r>
      <w:r>
        <w:rPr>
          <w:b/>
          <w:noProof/>
          <w:sz w:val="28"/>
        </w:rPr>
        <w:pict>
          <v:line id="_x0000_s1079" style="position:absolute;left:0;text-align:left;z-index:251661824;mso-position-horizontal:absolute;mso-position-horizontal-relative:text;mso-position-vertical:absolute;mso-position-vertical-relative:text" from="101.7pt,155.2pt" to="179.8pt,233.3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76" style="position:absolute;left:0;text-align:left;z-index:251658752;mso-position-horizontal:absolute;mso-position-horizontal-relative:text;mso-position-vertical:absolute;mso-position-vertical-relative:text" from="101.7pt,212pt" to="137.2pt,254.6pt" o:allowincell="f">
            <v:stroke startarrow="block"/>
          </v:line>
        </w:pict>
      </w:r>
      <w:r>
        <w:rPr>
          <w:b/>
          <w:noProof/>
          <w:sz w:val="28"/>
        </w:rPr>
        <w:pict>
          <v:line id="_x0000_s1074" style="position:absolute;left:0;text-align:left;z-index:251656704;mso-position-horizontal:absolute;mso-position-horizontal-relative:text;mso-position-vertical:absolute;mso-position-vertical-relative:text" from="101.7pt,126.8pt" to="123pt,126.8pt" o:allowincell="f">
            <v:stroke startarrow="block"/>
          </v:line>
        </w:pict>
      </w:r>
      <w:r>
        <w:rPr>
          <w:b/>
          <w:noProof/>
          <w:sz w:val="28"/>
        </w:rPr>
        <w:pict>
          <v:shape id="_x0000_s1066" type="#_x0000_t202" style="position:absolute;left:0;text-align:left;margin-left:9.4pt;margin-top:261.7pt;width:92.3pt;height:49.7pt;z-index:251648512;mso-position-horizontal:absolute;mso-position-horizontal-relative:text;mso-position-vertical:absolute;mso-position-vertical-relative:text" o:allowincell="f">
            <v:textbox style="mso-next-textbox:#_x0000_s1066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Беспроцентные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5" type="#_x0000_t202" style="position:absolute;left:0;text-align:left;margin-left:9.4pt;margin-top:190.7pt;width:92.3pt;height:49.7pt;z-index:251647488;mso-position-horizontal:absolute;mso-position-horizontal-relative:text;mso-position-vertical:absolute;mso-position-vertical-relative:text" o:allowincell="f">
            <v:textbox style="mso-next-textbox:#_x0000_s1065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Именные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4" type="#_x0000_t202" style="position:absolute;left:0;text-align:left;margin-left:293.4pt;margin-top:105.5pt;width:92.3pt;height:49.7pt;z-index:251646464;mso-position-horizontal:absolute;mso-position-horizontal-relative:text;mso-position-vertical:absolute;mso-position-vertical-relative:text" o:allowincell="f">
            <v:textbox style="mso-next-textbox:#_x0000_s1064">
              <w:txbxContent>
                <w:p w:rsidR="00BB0F95" w:rsidRDefault="0032110C">
                  <w:pPr>
                    <w:jc w:val="center"/>
                  </w:pPr>
                  <w:r>
                    <w:t>Виды по срокам действия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3" type="#_x0000_t202" style="position:absolute;left:0;text-align:left;margin-left:9.4pt;margin-top:105.5pt;width:92.3pt;height:49.7pt;z-index:251645440;mso-position-horizontal:absolute;mso-position-horizontal-relative:text;mso-position-vertical:absolute;mso-position-vertical-relative:text" o:allowincell="f">
            <v:textbox style="mso-next-textbox:#_x0000_s1063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На предъявителя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2" type="#_x0000_t202" style="position:absolute;left:0;text-align:left;margin-left:123pt;margin-top:105.5pt;width:92.3pt;height:49.7pt;z-index:251644416;mso-position-horizontal:absolute;mso-position-horizontal-relative:text;mso-position-vertical:absolute;mso-position-vertical-relative:text" o:allowincell="f">
            <v:textbox style="mso-next-textbox:#_x0000_s1062">
              <w:txbxContent>
                <w:p w:rsidR="00BB0F95" w:rsidRDefault="0032110C">
                  <w:pPr>
                    <w:jc w:val="center"/>
                  </w:pPr>
                  <w:r>
                    <w:t>Облигации государственных займов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8" type="#_x0000_t202" style="position:absolute;left:0;text-align:left;margin-left:80.4pt;margin-top:346.9pt;width:92.3pt;height:49.7pt;z-index:251650560;mso-position-horizontal:absolute;mso-position-horizontal-relative:text;mso-position-vertical:absolute;mso-position-vertical-relative:text" o:allowincell="f">
            <v:textbox style="mso-next-textbox:#_x0000_s1068">
              <w:txbxContent>
                <w:p w:rsidR="00BB0F95" w:rsidRDefault="00BB0F95">
                  <w:pPr>
                    <w:jc w:val="center"/>
                  </w:pPr>
                </w:p>
                <w:p w:rsidR="00BB0F95" w:rsidRDefault="0032110C">
                  <w:pPr>
                    <w:jc w:val="center"/>
                  </w:pPr>
                  <w:r>
                    <w:t>Конвертируемые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1" type="#_x0000_t202" style="position:absolute;left:0;text-align:left;margin-left:201.1pt;margin-top:20.3pt;width:92.3pt;height:49.7pt;z-index:251643392;mso-position-horizontal:absolute;mso-position-horizontal-relative:text;mso-position-vertical:absolute;mso-position-vertical-relative:text" o:allowincell="f">
            <v:textbox style="mso-next-textbox:#_x0000_s1061">
              <w:txbxContent>
                <w:p w:rsidR="00BB0F95" w:rsidRDefault="0032110C">
                  <w:pPr>
                    <w:jc w:val="center"/>
                  </w:pPr>
                  <w:r>
                    <w:t>Муниципальных и местных властей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0" type="#_x0000_t202" style="position:absolute;left:0;text-align:left;margin-left:44.9pt;margin-top:20.3pt;width:92.3pt;height:49.7pt;z-index:251642368;mso-position-horizontal:absolute;mso-position-horizontal-relative:text;mso-position-vertical:absolute;mso-position-vertical-relative:text" o:allowincell="f">
            <v:textbox style="mso-next-textbox:#_x0000_s1060">
              <w:txbxContent>
                <w:p w:rsidR="00BB0F95" w:rsidRDefault="0032110C">
                  <w:pPr>
                    <w:jc w:val="center"/>
                  </w:pPr>
                  <w:r>
                    <w:t>Государственных органов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BB0F9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8B3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0C"/>
    <w:rsid w:val="0032110C"/>
    <w:rsid w:val="00B738BE"/>
    <w:rsid w:val="00B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E78174E3-15BF-4132-BEB1-0951D3CE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ВОССТАНОВЛЕНИЯ НАДЕЖНОСТИ ОБЛИГАЦИЙ</vt:lpstr>
    </vt:vector>
  </TitlesOfParts>
  <Company>Ęŕôĺäđŕ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ВОССТАНОВЛЕНИЯ НАДЕЖНОСТИ ОБЛИГАЦИЙ</dc:title>
  <dc:subject/>
  <dc:creator>Reanimator 98</dc:creator>
  <cp:keywords/>
  <cp:lastModifiedBy>Irina</cp:lastModifiedBy>
  <cp:revision>2</cp:revision>
  <dcterms:created xsi:type="dcterms:W3CDTF">2014-08-28T16:35:00Z</dcterms:created>
  <dcterms:modified xsi:type="dcterms:W3CDTF">2014-08-28T16:35:00Z</dcterms:modified>
</cp:coreProperties>
</file>