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BD" w:rsidRPr="00806C2A" w:rsidRDefault="008C2EBD" w:rsidP="008C2EBD">
      <w:pPr>
        <w:spacing w:before="120"/>
        <w:jc w:val="center"/>
        <w:rPr>
          <w:b/>
          <w:sz w:val="32"/>
        </w:rPr>
      </w:pPr>
      <w:r w:rsidRPr="00806C2A">
        <w:rPr>
          <w:b/>
          <w:sz w:val="32"/>
        </w:rPr>
        <w:t xml:space="preserve">Агроэкологические основы возделывания подсолнечника на маслосемена в республике Татарстан </w:t>
      </w:r>
    </w:p>
    <w:p w:rsidR="008C2EBD" w:rsidRPr="00806C2A" w:rsidRDefault="008C2EBD" w:rsidP="008C2EBD">
      <w:pPr>
        <w:spacing w:before="120"/>
        <w:jc w:val="center"/>
        <w:rPr>
          <w:sz w:val="28"/>
        </w:rPr>
      </w:pPr>
      <w:r w:rsidRPr="00806C2A">
        <w:rPr>
          <w:sz w:val="28"/>
        </w:rPr>
        <w:t>Низамов Р.М., Сагдиев Р.С.</w:t>
      </w:r>
    </w:p>
    <w:p w:rsidR="008C2EBD" w:rsidRPr="00806C2A" w:rsidRDefault="008C2EBD" w:rsidP="008C2EBD">
      <w:pPr>
        <w:spacing w:before="120"/>
        <w:ind w:firstLine="567"/>
        <w:jc w:val="both"/>
      </w:pPr>
      <w:r w:rsidRPr="00806C2A">
        <w:t>В статье рассматриваются агроэкологические основы ресурсосберегающей технологии возделывания подсолнечника на маслосемена в почвенно-климатических условиях Республики Татарстан.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На долю Российской Федерации в мировом производстве растительного масличного сырья приходится всего 1</w:t>
      </w:r>
      <w:r>
        <w:t xml:space="preserve">, </w:t>
      </w:r>
      <w:r w:rsidRPr="00806C2A">
        <w:t>5%</w:t>
      </w:r>
      <w:r>
        <w:t xml:space="preserve">, </w:t>
      </w:r>
      <w:r w:rsidRPr="00806C2A">
        <w:t>так как ее почвенно-климатический потенциал используется не в полном объеме. По оценкам российских специалистов</w:t>
      </w:r>
      <w:r>
        <w:t xml:space="preserve">, </w:t>
      </w:r>
      <w:r w:rsidRPr="00806C2A">
        <w:t>при высоком мировом спросе на сырье максимальные площади масличных культур с учетом почвенных и агроклиматических ресурсов могут быть увеличены до 10 млн. га и более.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Ведущей масличной культурой России на протяжении многих лет является подсолнечник. На сегодняшний день его посевные площади составляют порядка 5</w:t>
      </w:r>
      <w:r>
        <w:t xml:space="preserve">, </w:t>
      </w:r>
      <w:r w:rsidRPr="00806C2A">
        <w:t>5 млн. га. Основными производителями подсолнечника в стране традиционно являются три федеральных округа – Южный с 59</w:t>
      </w:r>
      <w:r>
        <w:t xml:space="preserve">, </w:t>
      </w:r>
      <w:r w:rsidRPr="00806C2A">
        <w:t>5% валового сбора</w:t>
      </w:r>
      <w:r>
        <w:t xml:space="preserve">, </w:t>
      </w:r>
      <w:r w:rsidRPr="00806C2A">
        <w:t>Приволжский с 17</w:t>
      </w:r>
      <w:r>
        <w:t xml:space="preserve">, </w:t>
      </w:r>
      <w:r w:rsidRPr="00806C2A">
        <w:t>8% и Центральный с 18</w:t>
      </w:r>
      <w:r>
        <w:t xml:space="preserve">, </w:t>
      </w:r>
      <w:r w:rsidRPr="00806C2A">
        <w:t>3%</w:t>
      </w:r>
      <w:r>
        <w:t xml:space="preserve">, </w:t>
      </w:r>
      <w:r w:rsidRPr="00806C2A">
        <w:t>вырастившие</w:t>
      </w:r>
      <w:r>
        <w:t xml:space="preserve">, </w:t>
      </w:r>
      <w:r w:rsidRPr="00806C2A">
        <w:t>таким образом</w:t>
      </w:r>
      <w:r>
        <w:t xml:space="preserve">, </w:t>
      </w:r>
      <w:r w:rsidRPr="00806C2A">
        <w:t>96% всего подсолнечника. Среди регионов лидируют Ростовская (около 1 млн. га)</w:t>
      </w:r>
      <w:r>
        <w:t xml:space="preserve">, </w:t>
      </w:r>
      <w:r w:rsidRPr="00806C2A">
        <w:t>Волгоградская (около 0</w:t>
      </w:r>
      <w:r>
        <w:t xml:space="preserve">, </w:t>
      </w:r>
      <w:r w:rsidRPr="00806C2A">
        <w:t>5 млн. га) области и Краснодарский край (более 0</w:t>
      </w:r>
      <w:r>
        <w:t xml:space="preserve">, </w:t>
      </w:r>
      <w:r w:rsidRPr="00806C2A">
        <w:t>5 млн. га)</w:t>
      </w:r>
      <w:r>
        <w:t xml:space="preserve">, </w:t>
      </w:r>
      <w:r w:rsidRPr="00806C2A">
        <w:t>которые обладают наиболее благоприятными для этой культуры почвенноклиматическими условиями. В Приволжском федеральном округе по производству семян подсолнечника лидируют Саратовская</w:t>
      </w:r>
      <w:r>
        <w:t xml:space="preserve">, </w:t>
      </w:r>
      <w:r w:rsidRPr="00806C2A">
        <w:t>Оренбургская и Самарская области.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К сожалению</w:t>
      </w:r>
      <w:r>
        <w:t xml:space="preserve">, </w:t>
      </w:r>
      <w:r w:rsidRPr="00806C2A">
        <w:t>Республика Татарстан к основным производителям подсолнечного масла пока не относится</w:t>
      </w:r>
      <w:r>
        <w:t xml:space="preserve">, </w:t>
      </w:r>
      <w:r w:rsidRPr="00806C2A">
        <w:t>хотя селекционеры регулярно представляют новые ультрараннеспелые сорта и гибриды</w:t>
      </w:r>
      <w:r>
        <w:t xml:space="preserve">, </w:t>
      </w:r>
      <w:r w:rsidRPr="00806C2A">
        <w:t>способные формировать большие урожаи высокого качества даже в относительно прохладных регионах</w:t>
      </w:r>
      <w:r>
        <w:t xml:space="preserve">, </w:t>
      </w:r>
      <w:r w:rsidRPr="00806C2A">
        <w:t>включая нашу республику. Поэтому сегодняшние 5-6 тыс. га посевных площадей этой культуры для Татарстана далеко не предел.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С другой стороны</w:t>
      </w:r>
      <w:r>
        <w:t xml:space="preserve">, </w:t>
      </w:r>
      <w:r w:rsidRPr="00806C2A">
        <w:t>этому должно способствовать разработка и применение региональной технологии его возделывания в конкретных почвенно-климатических условиях Республики Татарстан.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Выбор сорта. В начальный период развития селекции подсолнечника основная задача заключалась в выведении высокоурожайных сортов с повышенной масличностью семян. Данная проблема практически успешно решена: в 70-ые годы прошлого столетия были получены сорта с урожайностью более 30 ц/ra семян с содержанием масла в семенах выше 50%. В настоящее время на первый план выходит наиболее сложная проблема — создание ультрараннеспелых гибридов подсолнечника для расширения ареала его</w:t>
      </w:r>
      <w:r>
        <w:t xml:space="preserve">, </w:t>
      </w:r>
      <w:r w:rsidRPr="00806C2A">
        <w:t>включая и Среднее Поволжье.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Так российским селекционерам удалось вывести скороспелые сорта и гибриды подсолнечника со следующими устойчивыми признаками.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Саратовский скороспелый – сорт селекции НИИСХ Юго-Востока</w:t>
      </w:r>
      <w:r>
        <w:t xml:space="preserve">, </w:t>
      </w:r>
      <w:r w:rsidRPr="00806C2A">
        <w:t>ультрараннеспелый (период вегетации – 98 дней)</w:t>
      </w:r>
      <w:r>
        <w:t xml:space="preserve">, </w:t>
      </w:r>
      <w:r w:rsidRPr="00806C2A">
        <w:t>средняя урожайность 28</w:t>
      </w:r>
      <w:r>
        <w:t xml:space="preserve">, </w:t>
      </w:r>
      <w:r w:rsidRPr="00806C2A">
        <w:t>4 ц/га</w:t>
      </w:r>
      <w:r>
        <w:t xml:space="preserve">, </w:t>
      </w:r>
      <w:r w:rsidRPr="00806C2A">
        <w:t>масличность до 56%</w:t>
      </w:r>
      <w:r>
        <w:t xml:space="preserve">, </w:t>
      </w:r>
      <w:r w:rsidRPr="00806C2A">
        <w:t>маловосприимчив к ложной мучнистой росе</w:t>
      </w:r>
      <w:r>
        <w:t xml:space="preserve">, </w:t>
      </w:r>
      <w:r w:rsidRPr="00806C2A">
        <w:t>вышесреднего к заразихе.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Харьковский скороспелый – раннеспелый сорт подсолнечника</w:t>
      </w:r>
      <w:r>
        <w:t xml:space="preserve">, </w:t>
      </w:r>
      <w:r w:rsidRPr="00806C2A">
        <w:t>созревающий на 7-10 дней раньше среднеспелых сортов. Урожайность 30-36 ц/га</w:t>
      </w:r>
      <w:r>
        <w:t xml:space="preserve">, </w:t>
      </w:r>
      <w:r w:rsidRPr="00806C2A">
        <w:t>масличность 44-50%.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Районирован в Донецкой и Харьковской областях.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Санмарин – один из лучших скороспелых гибридов подсолнечника. Выведен во ВНИИМК (входит в состав Российской гибридной индустрии). В наших условиях он показал самый лучший результат. Самое главное</w:t>
      </w:r>
      <w:r>
        <w:t xml:space="preserve">, </w:t>
      </w:r>
      <w:r w:rsidRPr="00806C2A">
        <w:t>этот гибрид устойчив к серой гнили</w:t>
      </w:r>
      <w:r>
        <w:t xml:space="preserve">, </w:t>
      </w:r>
      <w:r w:rsidRPr="00806C2A">
        <w:t>что немаловажно для Среднего Поволжья и Республики Татарстан</w:t>
      </w:r>
      <w:r>
        <w:t xml:space="preserve">, </w:t>
      </w:r>
      <w:r w:rsidRPr="00806C2A">
        <w:t>где в конце вегетационного периода низкие температуры воздуха сочетаются с достаточно большим количеством осадков и высокой влажностью воздуха.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Размещение подсолнечника в севообороте. Наши исследования показали</w:t>
      </w:r>
      <w:r>
        <w:t xml:space="preserve">, </w:t>
      </w:r>
      <w:r w:rsidRPr="00806C2A">
        <w:t>что место подсолнечника в севообороте определяется двумя факторами: остаточной влажностью и инфекционным началом в почве.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Подсолнечник имеет мощную</w:t>
      </w:r>
      <w:r>
        <w:t xml:space="preserve">, </w:t>
      </w:r>
      <w:r w:rsidRPr="00806C2A">
        <w:t xml:space="preserve">глубокоразвитую корневую систему и он способен эффективно использовать влагу с глубины до </w:t>
      </w:r>
      <w:smartTag w:uri="urn:schemas-microsoft-com:office:smarttags" w:element="metricconverter">
        <w:smartTagPr>
          <w:attr w:name="ProductID" w:val="3 м"/>
        </w:smartTagPr>
        <w:r w:rsidRPr="00806C2A">
          <w:t>3 м</w:t>
        </w:r>
      </w:smartTag>
      <w:r w:rsidRPr="00806C2A">
        <w:t>. Запасы продуктивной влаги первого метра подсолнечник использует в начале вегетационного периода. В фазе цветения при отсутствии осадков он использует влагу с глубины 100-200</w:t>
      </w:r>
      <w:r>
        <w:t xml:space="preserve">, </w:t>
      </w:r>
      <w:r w:rsidRPr="00806C2A">
        <w:t>а в фазе налива семян с глубины 200-</w:t>
      </w:r>
      <w:smartTag w:uri="urn:schemas-microsoft-com:office:smarttags" w:element="metricconverter">
        <w:smartTagPr>
          <w:attr w:name="ProductID" w:val="300 см"/>
        </w:smartTagPr>
        <w:r w:rsidRPr="00806C2A">
          <w:t>300 см</w:t>
        </w:r>
      </w:smartTag>
      <w:r w:rsidRPr="00806C2A">
        <w:t>. Поэтому от того</w:t>
      </w:r>
      <w:r>
        <w:t xml:space="preserve">, </w:t>
      </w:r>
      <w:r w:rsidRPr="00806C2A">
        <w:t>насколько эти слои почвы обеспечены продуктивной влагой</w:t>
      </w:r>
      <w:r>
        <w:t xml:space="preserve">, </w:t>
      </w:r>
      <w:r w:rsidRPr="00806C2A">
        <w:t>часто зависит уровень урожайности. В связи с этим мы считаем</w:t>
      </w:r>
      <w:r>
        <w:t xml:space="preserve">, </w:t>
      </w:r>
      <w:r w:rsidRPr="00806C2A">
        <w:t>что нельзя высевать подсолнечник после культур с глубокой корневой системой (люцерна посевная</w:t>
      </w:r>
      <w:r>
        <w:t xml:space="preserve">, </w:t>
      </w:r>
      <w:r w:rsidRPr="00806C2A">
        <w:t>клевер луговой</w:t>
      </w:r>
      <w:r>
        <w:t xml:space="preserve">, </w:t>
      </w:r>
      <w:r w:rsidRPr="00806C2A">
        <w:t>донник белый</w:t>
      </w:r>
      <w:r>
        <w:t xml:space="preserve">, </w:t>
      </w:r>
      <w:r w:rsidRPr="00806C2A">
        <w:t>козлятник восточный</w:t>
      </w:r>
      <w:r>
        <w:t xml:space="preserve">, </w:t>
      </w:r>
      <w:r w:rsidRPr="00806C2A">
        <w:t>сахарная и кормовая свекла</w:t>
      </w:r>
      <w:r>
        <w:t xml:space="preserve">, </w:t>
      </w:r>
      <w:r w:rsidRPr="00806C2A">
        <w:t>морковь</w:t>
      </w:r>
      <w:r>
        <w:t xml:space="preserve">, </w:t>
      </w:r>
      <w:r w:rsidRPr="00806C2A">
        <w:t>кукуруза и другие культуры</w:t>
      </w:r>
      <w:r>
        <w:t xml:space="preserve">, </w:t>
      </w:r>
      <w:r w:rsidRPr="00806C2A">
        <w:t>потребляющие влагу из нижних горизонтов почвы).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С этой точки зрения наилучшими предшественниками для подсолнечника в условиях Республики Татарстан являются озимые культуры</w:t>
      </w:r>
      <w:r>
        <w:t xml:space="preserve">, </w:t>
      </w:r>
      <w:r w:rsidRPr="00806C2A">
        <w:t>высеваемые по чистому пару</w:t>
      </w:r>
      <w:r>
        <w:t xml:space="preserve">, </w:t>
      </w:r>
      <w:r w:rsidRPr="00806C2A">
        <w:t>или яровые колосовые (пшеница</w:t>
      </w:r>
      <w:r>
        <w:t xml:space="preserve">, </w:t>
      </w:r>
      <w:r w:rsidRPr="00806C2A">
        <w:t>ячмень)</w:t>
      </w:r>
      <w:r>
        <w:t xml:space="preserve">, </w:t>
      </w:r>
      <w:r w:rsidRPr="00806C2A">
        <w:t>однолетние травы и как исключение</w:t>
      </w:r>
      <w:r>
        <w:t xml:space="preserve">, </w:t>
      </w:r>
      <w:r w:rsidRPr="00806C2A">
        <w:t>многолетние злаковые травы. Кроме того</w:t>
      </w:r>
      <w:r>
        <w:t xml:space="preserve">, </w:t>
      </w:r>
      <w:r w:rsidRPr="00806C2A">
        <w:t>следует помнить</w:t>
      </w:r>
      <w:r>
        <w:t xml:space="preserve">, </w:t>
      </w:r>
      <w:r w:rsidRPr="00806C2A">
        <w:t>что нельзя возвращать подсолнечник на прежнее место в течение 4-5 лет.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Основная обработка почвы. Основная обработка почвы является решающим средством борьбы с сорными растениями</w:t>
      </w:r>
      <w:r>
        <w:t xml:space="preserve">, </w:t>
      </w:r>
      <w:r w:rsidRPr="00806C2A">
        <w:t>болезнями</w:t>
      </w:r>
      <w:r>
        <w:t xml:space="preserve">, </w:t>
      </w:r>
      <w:r w:rsidRPr="00806C2A">
        <w:t>вредителями и</w:t>
      </w:r>
      <w:r>
        <w:t xml:space="preserve">, </w:t>
      </w:r>
      <w:r w:rsidRPr="00806C2A">
        <w:t>самое главное</w:t>
      </w:r>
      <w:r>
        <w:t xml:space="preserve">, </w:t>
      </w:r>
      <w:r w:rsidRPr="00806C2A">
        <w:t>она должна улучшить обеспечение растений влагой и питательными веществами. В связи с этим</w:t>
      </w:r>
      <w:r>
        <w:t xml:space="preserve">, </w:t>
      </w:r>
      <w:r w:rsidRPr="00806C2A">
        <w:t>выбор приемов основной обработки почвы под подсолнечник должен решаться в зависимости от почвенно-климатических условий конкретного региона и складывающихся условий конкретного года. На систему основной обработки почвы также влияет и культура</w:t>
      </w:r>
      <w:r>
        <w:t xml:space="preserve">, </w:t>
      </w:r>
      <w:r w:rsidRPr="00806C2A">
        <w:t>выбранная в качестве предшественника.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Тем не менее</w:t>
      </w:r>
      <w:r>
        <w:t xml:space="preserve">, </w:t>
      </w:r>
      <w:r w:rsidRPr="00806C2A">
        <w:t>при выборе способа основной обработки почвы</w:t>
      </w:r>
      <w:r>
        <w:t xml:space="preserve">, </w:t>
      </w:r>
      <w:r w:rsidRPr="00806C2A">
        <w:t>в первую очередь</w:t>
      </w:r>
      <w:r>
        <w:t xml:space="preserve">, </w:t>
      </w:r>
      <w:r w:rsidRPr="00806C2A">
        <w:t>необходимо учитывать биологические особенности возделываемой культуры. Как было сказано выше</w:t>
      </w:r>
      <w:r>
        <w:t xml:space="preserve">, </w:t>
      </w:r>
      <w:r w:rsidRPr="00806C2A">
        <w:t>подсолнечник имеет стержневую глубокопроникающую корневую систему. Поэтому под эту культуру целесообразно проводить углубление пахотного слоя. По данным Ф.Н. Сафиоллина и Г.С. Миннуллина (2007)</w:t>
      </w:r>
      <w:r>
        <w:t xml:space="preserve">, </w:t>
      </w:r>
      <w:r w:rsidRPr="00806C2A">
        <w:t>в Республике Татарстан наилучшего результата можно достичь при вспашке с подпахотным рыхлением без перемешивания нижнего малоплодородного с верхним окультуренным горизонтом. При правильном углублении пахотного слоя затраты на его проведение в 7-10 раз меньше стоимости дополнительной продукции подсолнечника</w:t>
      </w:r>
      <w:r>
        <w:t xml:space="preserve">, </w:t>
      </w:r>
      <w:r w:rsidRPr="00806C2A">
        <w:t>если одновременно обеспечивается хорошая заделка растительных остатков (не менее 95%)</w:t>
      </w:r>
      <w:r>
        <w:t xml:space="preserve">, </w:t>
      </w:r>
      <w:r w:rsidRPr="00806C2A">
        <w:t>гребнистость зяби не превышает 5-</w:t>
      </w:r>
      <w:smartTag w:uri="urn:schemas-microsoft-com:office:smarttags" w:element="metricconverter">
        <w:smartTagPr>
          <w:attr w:name="ProductID" w:val="7 см"/>
        </w:smartTagPr>
        <w:r w:rsidRPr="00806C2A">
          <w:t>7 см</w:t>
        </w:r>
      </w:smartTag>
      <w:r>
        <w:t xml:space="preserve">, </w:t>
      </w:r>
      <w:r w:rsidRPr="00806C2A">
        <w:t xml:space="preserve">при количестве комков на </w:t>
      </w:r>
      <w:smartTag w:uri="urn:schemas-microsoft-com:office:smarttags" w:element="metricconverter">
        <w:smartTagPr>
          <w:attr w:name="ProductID" w:val="1 м2"/>
        </w:smartTagPr>
        <w:r w:rsidRPr="00806C2A">
          <w:t>1 м2</w:t>
        </w:r>
      </w:smartTag>
      <w:r w:rsidRPr="00806C2A">
        <w:t xml:space="preserve"> пашни диаметром свыше </w:t>
      </w:r>
      <w:smartTag w:uri="urn:schemas-microsoft-com:office:smarttags" w:element="metricconverter">
        <w:smartTagPr>
          <w:attr w:name="ProductID" w:val="10 см"/>
        </w:smartTagPr>
        <w:r w:rsidRPr="00806C2A">
          <w:t>10 см</w:t>
        </w:r>
      </w:smartTag>
      <w:r w:rsidRPr="00806C2A">
        <w:t xml:space="preserve"> не более 5-10 шт. Отклонение от заданной глубины вспашки допускается лишь в пределах ±</w:t>
      </w:r>
      <w:smartTag w:uri="urn:schemas-microsoft-com:office:smarttags" w:element="metricconverter">
        <w:smartTagPr>
          <w:attr w:name="ProductID" w:val="2 см"/>
        </w:smartTagPr>
        <w:r w:rsidRPr="00806C2A">
          <w:t>2 см</w:t>
        </w:r>
      </w:smartTag>
      <w:r w:rsidRPr="00806C2A">
        <w:t>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Одним из наиболее важных условий получения высокой полевой всхожести и урожая маслосемян подсолнечника является качественная и своевременная предпосевная подготовка почвы по следующей схеме: закрытие влаги – внесение удобрений – предпосевная культивация – посев с прикатыванием.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Сроки посева подсолнечника. В целях получения дружных всходов и увеличения полевой всхожести подсолнечник необходимо в Республике Татарстан высевать во второй декаде мая</w:t>
      </w:r>
      <w:r>
        <w:t xml:space="preserve">, </w:t>
      </w:r>
      <w:r w:rsidRPr="00806C2A">
        <w:t>когда температура почвы на глубине заделки семян (6-</w:t>
      </w:r>
      <w:smartTag w:uri="urn:schemas-microsoft-com:office:smarttags" w:element="metricconverter">
        <w:smartTagPr>
          <w:attr w:name="ProductID" w:val="8 см"/>
        </w:smartTagPr>
        <w:r w:rsidRPr="00806C2A">
          <w:t>8 см</w:t>
        </w:r>
      </w:smartTag>
      <w:r w:rsidRPr="00806C2A">
        <w:t>) достигает 8-10-и градусной отметки.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Норма высева – 75-80 тыс. шт./га всхожих семян (5-6 кг/га)</w:t>
      </w:r>
      <w:r>
        <w:t xml:space="preserve">, </w:t>
      </w:r>
      <w:r w:rsidRPr="00806C2A">
        <w:t>ширина междурядий – 45-</w:t>
      </w:r>
      <w:smartTag w:uri="urn:schemas-microsoft-com:office:smarttags" w:element="metricconverter">
        <w:smartTagPr>
          <w:attr w:name="ProductID" w:val="70 см"/>
        </w:smartTagPr>
        <w:r w:rsidRPr="00806C2A">
          <w:t>70 см</w:t>
        </w:r>
      </w:smartTag>
      <w:r>
        <w:t xml:space="preserve">, </w:t>
      </w:r>
      <w:r w:rsidRPr="00806C2A">
        <w:t>сев проводится сеялками СУПН-8 с одновременным внесением сложных фосфорсодержащих удобрений из расчета 20-30 кг/га действующего вещества. Скорость движения агрегата должна быть не более 5-6 км/час.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Корзинки подсолнечника поворачиваются за ходом солнца в течение дня и обращаются на восток после цветения. В связи с этим рядки этой культуры необходимо ориентировать в направлении "Юг – Север". В этом случае корзинки поворачиваются к соседнему ряду и не касаются друг друга в одном рядке. Тем самым растения не зацепляют друг друга</w:t>
      </w:r>
      <w:r>
        <w:t xml:space="preserve">, </w:t>
      </w:r>
      <w:r w:rsidRPr="00806C2A">
        <w:t>снижается потенциальная опасность осыпания семянок.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Применение удобрений. Для изучения данного вопроса на опытном поле агрономического факультета Казанского ГАУ в 2003-2006 гг. был проведен полевой опыт по следующей схеме: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1. Без удобрений;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2. Фон питания N45P30K45;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3. Фон питания N90P45K90.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Результаты наших исследований показали</w:t>
      </w:r>
      <w:r>
        <w:t xml:space="preserve">, </w:t>
      </w:r>
      <w:r w:rsidRPr="00806C2A">
        <w:t>что по мере роста норм удобрений удлиняется период вегетации данной культуры (от 5 до 10 дней). Данное явление крайне нежелательно</w:t>
      </w:r>
      <w:r>
        <w:t xml:space="preserve">, </w:t>
      </w:r>
      <w:r w:rsidRPr="00806C2A">
        <w:t>поскольку при этом уборка маслосемян совпадает с обильными сентябрьскими осадками.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Самые высокие урожаи маслосемян были получены на фоне N90P45K90 (26</w:t>
      </w:r>
      <w:r>
        <w:t xml:space="preserve">, </w:t>
      </w:r>
      <w:r w:rsidRPr="00806C2A">
        <w:t>5 ц/ га)</w:t>
      </w:r>
      <w:r>
        <w:t xml:space="preserve">, </w:t>
      </w:r>
      <w:r w:rsidRPr="00806C2A">
        <w:t>что на 2</w:t>
      </w:r>
      <w:r>
        <w:t xml:space="preserve">, </w:t>
      </w:r>
      <w:r w:rsidRPr="00806C2A">
        <w:t>3 ц/га больше по сравнению со вторым вариантом. Однако по экономическим показателям подсолнечник более эффективно возделывать на фоне N45P30K45 – окупаемость минеральных удобрений в 1</w:t>
      </w:r>
      <w:r>
        <w:t xml:space="preserve">, </w:t>
      </w:r>
      <w:r w:rsidRPr="00806C2A">
        <w:t>5 раза выше</w:t>
      </w:r>
      <w:r>
        <w:t xml:space="preserve">, </w:t>
      </w:r>
      <w:r w:rsidRPr="00806C2A">
        <w:t>чем на третьем варианте опыта.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В целом</w:t>
      </w:r>
      <w:r>
        <w:t xml:space="preserve">, </w:t>
      </w:r>
      <w:r w:rsidRPr="00806C2A">
        <w:t>для получения высоких урожаев и достижения более высоких экономических показателей производства в условиях Республики Татарстан мы рекомендуем возделывать его на фоне минерального питания N45P30K45.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Кроме обеспечения растений макроэлементами</w:t>
      </w:r>
      <w:r>
        <w:t xml:space="preserve">, </w:t>
      </w:r>
      <w:r w:rsidRPr="00806C2A">
        <w:t>в формировании высоких урожаев маслосемян подсолнечника большую роль играют и микроэлементы</w:t>
      </w:r>
      <w:r>
        <w:t xml:space="preserve">, </w:t>
      </w:r>
      <w:r w:rsidRPr="00806C2A">
        <w:t>особенно хелатные их формы в виде жидких удобрительно-стимулирующих составов – ЖУСС с содержанием меди и бора. Так</w:t>
      </w:r>
      <w:r>
        <w:t xml:space="preserve">, </w:t>
      </w:r>
      <w:r w:rsidRPr="00806C2A">
        <w:t>применение данного препарата для инкрустации семян из расчета 4 л/т</w:t>
      </w:r>
      <w:r>
        <w:t xml:space="preserve">, </w:t>
      </w:r>
      <w:r w:rsidRPr="00806C2A">
        <w:t>способствовало повышению полевой всхожести семян на 5%</w:t>
      </w:r>
      <w:r>
        <w:t xml:space="preserve">, </w:t>
      </w:r>
      <w:r w:rsidRPr="00806C2A">
        <w:t>увеличению линейного прироста корней на 10-13%</w:t>
      </w:r>
      <w:r>
        <w:t xml:space="preserve">, </w:t>
      </w:r>
      <w:r w:rsidRPr="00806C2A">
        <w:t>высоты растений на 8% по сравнению с контрольным вариантом</w:t>
      </w:r>
      <w:r>
        <w:t xml:space="preserve">, </w:t>
      </w:r>
      <w:r w:rsidRPr="00806C2A">
        <w:t>где микроэлементы не применялись.</w:t>
      </w:r>
    </w:p>
    <w:p w:rsidR="008C2EBD" w:rsidRPr="00806C2A" w:rsidRDefault="008C2EBD" w:rsidP="008C2EBD">
      <w:pPr>
        <w:spacing w:before="120"/>
        <w:ind w:firstLine="567"/>
        <w:jc w:val="both"/>
      </w:pPr>
      <w:r w:rsidRPr="00806C2A">
        <w:t>В конечном счете</w:t>
      </w:r>
      <w:r>
        <w:t xml:space="preserve">, </w:t>
      </w:r>
      <w:r w:rsidRPr="00806C2A">
        <w:t>медь и бор в хелатной форме способствовали увеличению урожайности изучаемой культуры (табл. 1).</w:t>
      </w:r>
    </w:p>
    <w:p w:rsidR="008C2EBD" w:rsidRPr="00806C2A" w:rsidRDefault="00AE05A3" w:rsidP="008C2EBD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118.5pt">
            <v:imagedata r:id="rId4" o:title=""/>
          </v:shape>
        </w:pict>
      </w:r>
    </w:p>
    <w:p w:rsidR="008C2EBD" w:rsidRDefault="008C2EBD" w:rsidP="008C2EBD">
      <w:pPr>
        <w:spacing w:before="120"/>
        <w:ind w:firstLine="567"/>
        <w:jc w:val="both"/>
      </w:pPr>
      <w:r w:rsidRPr="00806C2A">
        <w:t>При использовании ЖУССа из расчета 4 л/т семян урожайность подсолнечника составила 23</w:t>
      </w:r>
      <w:r>
        <w:t xml:space="preserve">, </w:t>
      </w:r>
      <w:r w:rsidRPr="00806C2A">
        <w:t>6 ц/га</w:t>
      </w:r>
      <w:r>
        <w:t xml:space="preserve">, </w:t>
      </w:r>
      <w:r w:rsidRPr="00806C2A">
        <w:t>тогда как на контроле всего 16</w:t>
      </w:r>
      <w:r>
        <w:t xml:space="preserve">, </w:t>
      </w:r>
      <w:r w:rsidRPr="00806C2A">
        <w:t>8 ц/га. Дальнейшее увеличение нормы препарата не привело к желаемому результату. На третьем варианте опыта наблюдалось увеличение содержания жира в маслосеменах</w:t>
      </w:r>
      <w:r>
        <w:t xml:space="preserve">, </w:t>
      </w:r>
      <w:r w:rsidRPr="00806C2A">
        <w:t>что способствовало повышению валового сбора растительного масла до 1210 кг/га</w:t>
      </w:r>
      <w:r>
        <w:t xml:space="preserve">, </w:t>
      </w:r>
      <w:r w:rsidRPr="00806C2A">
        <w:t>против 811 кг/га на контроле.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Положительное влияние хелатных форм микроудобрений отмечается и при их применении в виде некорневых подкормок. При использовании данного препарата за счет хелатной меди надежно защищается от гнилей корзинок и повышается продуктивность культуры подсолнечника на 18%.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Таким образом</w:t>
      </w:r>
      <w:r>
        <w:t xml:space="preserve">, </w:t>
      </w:r>
      <w:r w:rsidRPr="00806C2A">
        <w:t>соблюдение вышеописанной технологии возделывания подсолнечника на маслосемена в почвенноклиматических условиях Республики Татарстан обеспечивает получение не менее 20-22 ц/га маслосемян этой культуры.</w:t>
      </w:r>
    </w:p>
    <w:p w:rsidR="008C2EBD" w:rsidRPr="00806C2A" w:rsidRDefault="008C2EBD" w:rsidP="008C2EBD">
      <w:pPr>
        <w:spacing w:before="120"/>
        <w:jc w:val="center"/>
        <w:rPr>
          <w:b/>
          <w:sz w:val="28"/>
        </w:rPr>
      </w:pPr>
      <w:r w:rsidRPr="00806C2A">
        <w:rPr>
          <w:b/>
          <w:sz w:val="28"/>
        </w:rPr>
        <w:t>Список литературы</w:t>
      </w:r>
    </w:p>
    <w:p w:rsidR="008C2EBD" w:rsidRDefault="008C2EBD" w:rsidP="008C2EBD">
      <w:pPr>
        <w:spacing w:before="120"/>
        <w:ind w:firstLine="567"/>
        <w:jc w:val="both"/>
      </w:pPr>
      <w:r w:rsidRPr="00806C2A">
        <w:t>1. Миннуллин Г.С. Макро- и микроэлементное питание масличных культур / Г.С. Миннуллин. – Казань</w:t>
      </w:r>
      <w:r>
        <w:t xml:space="preserve">, </w:t>
      </w:r>
      <w:r w:rsidRPr="00806C2A">
        <w:t>2008. – 360 с.</w:t>
      </w:r>
    </w:p>
    <w:p w:rsidR="008C2EBD" w:rsidRPr="00806C2A" w:rsidRDefault="008C2EBD" w:rsidP="008C2EBD">
      <w:pPr>
        <w:spacing w:before="120"/>
        <w:ind w:firstLine="567"/>
        <w:jc w:val="both"/>
      </w:pPr>
      <w:r w:rsidRPr="00806C2A">
        <w:t>2. Файзрахманов Д.И. Ресурсосберегающая технология возделывания масличных культур и производство биотоплива / Д.И. Файзрахманов</w:t>
      </w:r>
      <w:r>
        <w:t xml:space="preserve">, </w:t>
      </w:r>
      <w:r w:rsidRPr="00806C2A">
        <w:t>Ф.Н. Сафиоллин</w:t>
      </w:r>
      <w:r>
        <w:t xml:space="preserve">, </w:t>
      </w:r>
      <w:r w:rsidRPr="00806C2A">
        <w:t>Р.М. Низамов. – Казань: Издво Казанского ГАУ</w:t>
      </w:r>
      <w:r>
        <w:t xml:space="preserve">, </w:t>
      </w:r>
      <w:r w:rsidRPr="00806C2A">
        <w:t>2007. – 40 с.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EBD"/>
    <w:rsid w:val="001A35F6"/>
    <w:rsid w:val="004049B8"/>
    <w:rsid w:val="00806C2A"/>
    <w:rsid w:val="00811DD4"/>
    <w:rsid w:val="008C2EBD"/>
    <w:rsid w:val="00AE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0330CE6-1138-4EDB-8881-8D354B07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B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1543</Words>
  <Characters>8798</Characters>
  <Application>Microsoft Office Word</Application>
  <DocSecurity>0</DocSecurity>
  <Lines>73</Lines>
  <Paragraphs>20</Paragraphs>
  <ScaleCrop>false</ScaleCrop>
  <Company>Home</Company>
  <LinksUpToDate>false</LinksUpToDate>
  <CharactersWithSpaces>10321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Агроэкологические основы возделывания подсолнечника на маслосемена в республике Татарстан </dc:title>
  <dc:subject/>
  <dc:creator>User</dc:creator>
  <cp:keywords/>
  <dc:description/>
  <cp:lastModifiedBy>Irina</cp:lastModifiedBy>
  <cp:revision>2</cp:revision>
  <dcterms:created xsi:type="dcterms:W3CDTF">2014-07-19T07:28:00Z</dcterms:created>
  <dcterms:modified xsi:type="dcterms:W3CDTF">2014-07-19T07:28:00Z</dcterms:modified>
</cp:coreProperties>
</file>