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48" w:rsidRDefault="00672648" w:rsidP="009C7717">
      <w:pPr>
        <w:jc w:val="center"/>
        <w:rPr>
          <w:sz w:val="28"/>
          <w:szCs w:val="28"/>
        </w:rPr>
      </w:pP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ФЕДЕРАЛЬНОЕ АГЕНСТВО ПО ОБРАЗОВАНИЮ</w:t>
      </w: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 xml:space="preserve">Государственное образовательное учреждение </w:t>
      </w: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высшего профессионального образования</w:t>
      </w: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«Тихоокеанский государственный университет»</w:t>
      </w:r>
    </w:p>
    <w:p w:rsidR="009C7717" w:rsidRPr="005905A7" w:rsidRDefault="009C7717" w:rsidP="009C7717">
      <w:pPr>
        <w:rPr>
          <w:sz w:val="28"/>
          <w:szCs w:val="28"/>
        </w:rPr>
      </w:pPr>
    </w:p>
    <w:p w:rsidR="009C7717" w:rsidRPr="005905A7" w:rsidRDefault="009C7717" w:rsidP="009C7717">
      <w:pPr>
        <w:rPr>
          <w:sz w:val="28"/>
          <w:szCs w:val="28"/>
        </w:rPr>
      </w:pP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Кафедра финансов, кредита и бухгалтерского учета</w:t>
      </w:r>
    </w:p>
    <w:p w:rsidR="009C7717" w:rsidRPr="005905A7" w:rsidRDefault="009C7717" w:rsidP="009C7717">
      <w:pPr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Специальность 080105.65 (060400) «Финансы и кредит»</w:t>
      </w:r>
    </w:p>
    <w:p w:rsidR="009C7717" w:rsidRPr="005905A7" w:rsidRDefault="009C7717" w:rsidP="009C7717">
      <w:pPr>
        <w:tabs>
          <w:tab w:val="left" w:pos="6345"/>
        </w:tabs>
        <w:jc w:val="right"/>
        <w:rPr>
          <w:sz w:val="28"/>
          <w:szCs w:val="28"/>
        </w:rPr>
      </w:pPr>
      <w:r w:rsidRPr="005905A7">
        <w:rPr>
          <w:sz w:val="28"/>
          <w:szCs w:val="28"/>
        </w:rPr>
        <w:tab/>
      </w:r>
    </w:p>
    <w:p w:rsidR="009C7717" w:rsidRPr="005905A7" w:rsidRDefault="009C7717" w:rsidP="009C7717">
      <w:pPr>
        <w:rPr>
          <w:sz w:val="28"/>
          <w:szCs w:val="28"/>
        </w:rPr>
      </w:pPr>
    </w:p>
    <w:p w:rsidR="009C7717" w:rsidRPr="005905A7" w:rsidRDefault="009C7717" w:rsidP="009C7717">
      <w:pPr>
        <w:rPr>
          <w:sz w:val="28"/>
          <w:szCs w:val="28"/>
        </w:rPr>
      </w:pPr>
    </w:p>
    <w:p w:rsidR="009C7717" w:rsidRPr="005905A7" w:rsidRDefault="009C7717" w:rsidP="009C7717">
      <w:pPr>
        <w:rPr>
          <w:sz w:val="28"/>
          <w:szCs w:val="28"/>
        </w:rPr>
      </w:pPr>
    </w:p>
    <w:p w:rsidR="009C7717" w:rsidRPr="005905A7" w:rsidRDefault="009C7717" w:rsidP="009C7717">
      <w:pPr>
        <w:rPr>
          <w:sz w:val="28"/>
          <w:szCs w:val="28"/>
        </w:rPr>
      </w:pPr>
    </w:p>
    <w:p w:rsidR="00D77347" w:rsidRPr="005905A7" w:rsidRDefault="00D77347" w:rsidP="009C7717">
      <w:pPr>
        <w:rPr>
          <w:sz w:val="28"/>
          <w:szCs w:val="28"/>
        </w:rPr>
      </w:pPr>
    </w:p>
    <w:p w:rsidR="00D77347" w:rsidRPr="005905A7" w:rsidRDefault="00D77347" w:rsidP="009C7717">
      <w:pPr>
        <w:rPr>
          <w:sz w:val="28"/>
          <w:szCs w:val="28"/>
        </w:rPr>
      </w:pPr>
    </w:p>
    <w:p w:rsidR="00D77347" w:rsidRPr="005905A7" w:rsidRDefault="00D77347" w:rsidP="009C7717">
      <w:pPr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rPr>
          <w:b/>
          <w:sz w:val="28"/>
          <w:szCs w:val="28"/>
        </w:rPr>
      </w:pPr>
      <w:r w:rsidRPr="005905A7">
        <w:rPr>
          <w:sz w:val="28"/>
          <w:szCs w:val="28"/>
        </w:rPr>
        <w:tab/>
      </w:r>
      <w:r w:rsidRPr="005905A7">
        <w:rPr>
          <w:b/>
          <w:sz w:val="28"/>
          <w:szCs w:val="28"/>
        </w:rPr>
        <w:t>Тестовые задания</w:t>
      </w:r>
    </w:p>
    <w:p w:rsidR="009C7717" w:rsidRPr="005905A7" w:rsidRDefault="009C7717" w:rsidP="009C7717">
      <w:pPr>
        <w:tabs>
          <w:tab w:val="left" w:pos="3195"/>
        </w:tabs>
        <w:jc w:val="center"/>
        <w:rPr>
          <w:b/>
          <w:sz w:val="28"/>
          <w:szCs w:val="28"/>
        </w:rPr>
      </w:pPr>
      <w:r w:rsidRPr="005905A7">
        <w:rPr>
          <w:b/>
          <w:sz w:val="28"/>
          <w:szCs w:val="28"/>
        </w:rPr>
        <w:t>по дисциплине «Управленческий учет»</w:t>
      </w:r>
    </w:p>
    <w:p w:rsidR="009C7717" w:rsidRPr="005905A7" w:rsidRDefault="009C7717" w:rsidP="009C7717">
      <w:pPr>
        <w:tabs>
          <w:tab w:val="left" w:pos="3195"/>
        </w:tabs>
        <w:rPr>
          <w:b/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Вариант 9</w:t>
      </w: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5905A7">
      <w:pPr>
        <w:tabs>
          <w:tab w:val="left" w:pos="3195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3195"/>
        </w:tabs>
        <w:jc w:val="center"/>
        <w:rPr>
          <w:sz w:val="28"/>
          <w:szCs w:val="28"/>
        </w:rPr>
      </w:pPr>
      <w:r w:rsidRPr="005905A7">
        <w:rPr>
          <w:sz w:val="28"/>
          <w:szCs w:val="28"/>
        </w:rPr>
        <w:t xml:space="preserve">      </w:t>
      </w:r>
      <w:r w:rsidR="005905A7">
        <w:rPr>
          <w:sz w:val="28"/>
          <w:szCs w:val="28"/>
        </w:rPr>
        <w:t xml:space="preserve">                             </w:t>
      </w:r>
      <w:r w:rsidRPr="005905A7">
        <w:rPr>
          <w:sz w:val="28"/>
          <w:szCs w:val="28"/>
        </w:rPr>
        <w:t>Выполнил студент ЗФ (УО)</w:t>
      </w:r>
    </w:p>
    <w:p w:rsidR="005905A7" w:rsidRDefault="005905A7" w:rsidP="005905A7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7717" w:rsidRPr="005905A7">
        <w:rPr>
          <w:sz w:val="28"/>
          <w:szCs w:val="28"/>
        </w:rPr>
        <w:t>Группы ФК(зу)-81</w:t>
      </w:r>
    </w:p>
    <w:p w:rsidR="009C7717" w:rsidRPr="005905A7" w:rsidRDefault="005905A7" w:rsidP="005905A7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7717" w:rsidRPr="005905A7">
        <w:rPr>
          <w:sz w:val="28"/>
          <w:szCs w:val="28"/>
        </w:rPr>
        <w:t>№ зачетной книжки 080440189</w:t>
      </w:r>
    </w:p>
    <w:p w:rsidR="009C7717" w:rsidRPr="005905A7" w:rsidRDefault="005905A7" w:rsidP="009C77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C7717" w:rsidRPr="005905A7">
        <w:rPr>
          <w:sz w:val="28"/>
          <w:szCs w:val="28"/>
        </w:rPr>
        <w:t>Жамьянова Сэндэма Очировна</w:t>
      </w:r>
    </w:p>
    <w:p w:rsidR="009C7717" w:rsidRPr="005905A7" w:rsidRDefault="009C7717" w:rsidP="009C7717">
      <w:pPr>
        <w:tabs>
          <w:tab w:val="left" w:pos="4860"/>
        </w:tabs>
        <w:rPr>
          <w:sz w:val="28"/>
          <w:szCs w:val="28"/>
        </w:rPr>
      </w:pPr>
      <w:r w:rsidRPr="005905A7">
        <w:rPr>
          <w:sz w:val="28"/>
          <w:szCs w:val="28"/>
        </w:rPr>
        <w:t xml:space="preserve">                                    </w:t>
      </w:r>
      <w:r w:rsidR="005905A7">
        <w:rPr>
          <w:sz w:val="28"/>
          <w:szCs w:val="28"/>
        </w:rPr>
        <w:t xml:space="preserve">                         </w:t>
      </w:r>
      <w:r w:rsidRPr="005905A7">
        <w:rPr>
          <w:sz w:val="28"/>
          <w:szCs w:val="28"/>
        </w:rPr>
        <w:t xml:space="preserve">Проверил: </w:t>
      </w:r>
      <w:r w:rsidR="00D77347" w:rsidRPr="005905A7">
        <w:rPr>
          <w:sz w:val="28"/>
          <w:szCs w:val="28"/>
        </w:rPr>
        <w:t xml:space="preserve">ст.преподаватель Бебишева </w:t>
      </w:r>
      <w:r w:rsidRPr="005905A7">
        <w:rPr>
          <w:sz w:val="28"/>
          <w:szCs w:val="28"/>
        </w:rPr>
        <w:t>Н.О.</w:t>
      </w: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D77347" w:rsidRPr="005905A7" w:rsidRDefault="00D7734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rPr>
          <w:sz w:val="28"/>
          <w:szCs w:val="28"/>
        </w:rPr>
      </w:pPr>
    </w:p>
    <w:p w:rsidR="009C7717" w:rsidRPr="005905A7" w:rsidRDefault="009C7717" w:rsidP="009C7717">
      <w:pPr>
        <w:tabs>
          <w:tab w:val="left" w:pos="5130"/>
        </w:tabs>
        <w:jc w:val="center"/>
        <w:rPr>
          <w:sz w:val="28"/>
          <w:szCs w:val="28"/>
        </w:rPr>
      </w:pPr>
      <w:r w:rsidRPr="005905A7">
        <w:rPr>
          <w:sz w:val="28"/>
          <w:szCs w:val="28"/>
        </w:rPr>
        <w:t>Хабаровск 2010</w:t>
      </w:r>
    </w:p>
    <w:p w:rsidR="009C7717" w:rsidRDefault="00164C64" w:rsidP="009C7717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D7CF3" w:rsidRPr="006853D5" w:rsidRDefault="001D7CF3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77347" w:rsidRPr="006853D5" w:rsidRDefault="00D77347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F676CE" w:rsidRDefault="00F676CE" w:rsidP="001D7CF3">
      <w:pPr>
        <w:tabs>
          <w:tab w:val="left" w:pos="513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 Понятие «центров ответственности», их 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F676CE" w:rsidRDefault="00F676CE" w:rsidP="001D7CF3">
      <w:pPr>
        <w:tabs>
          <w:tab w:val="left" w:pos="513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Тест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11</w:t>
      </w:r>
    </w:p>
    <w:p w:rsidR="00F676CE" w:rsidRPr="006853D5" w:rsidRDefault="00F676CE" w:rsidP="001D7CF3">
      <w:pPr>
        <w:tabs>
          <w:tab w:val="left" w:pos="513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 Список использованных источников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12</w:t>
      </w:r>
    </w:p>
    <w:p w:rsidR="00D77347" w:rsidRPr="006853D5" w:rsidRDefault="00D77347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77347" w:rsidRDefault="00D77347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D46D01" w:rsidRDefault="00D46D01" w:rsidP="00EB6945">
      <w:pPr>
        <w:tabs>
          <w:tab w:val="left" w:pos="5130"/>
        </w:tabs>
        <w:rPr>
          <w:sz w:val="28"/>
          <w:szCs w:val="28"/>
        </w:rPr>
      </w:pPr>
    </w:p>
    <w:p w:rsidR="00D46D01" w:rsidRDefault="00D46D01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876E0E" w:rsidRPr="004668E5" w:rsidRDefault="00876E0E" w:rsidP="0054320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47830">
        <w:rPr>
          <w:b/>
          <w:sz w:val="28"/>
          <w:szCs w:val="28"/>
        </w:rPr>
        <w:t>ПОН</w:t>
      </w:r>
      <w:r w:rsidR="0054320B">
        <w:rPr>
          <w:b/>
          <w:sz w:val="28"/>
          <w:szCs w:val="28"/>
        </w:rPr>
        <w:t>ЯТИЕ «ЦЕНТРОВ ОТВЕТСТВЕННОСТИ», ИХ </w:t>
      </w:r>
      <w:r w:rsidRPr="00547830">
        <w:rPr>
          <w:b/>
          <w:sz w:val="28"/>
          <w:szCs w:val="28"/>
        </w:rPr>
        <w:t>КВАЛИФИКАЦИЯ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Разработка качественной системы управления в настоящее время актуальна для многих предприятий. Исходная точка создания системы — персонификация ответственности за принятие решений и определение структуры центров ответственности на предприятии. Для каждого из последних определяются цели, составляются планы, ведется учет результатов, оценивается деятельность руководителей и сотрудников. </w:t>
      </w:r>
      <w:r w:rsidR="00E17D8E">
        <w:rPr>
          <w:sz w:val="28"/>
          <w:szCs w:val="28"/>
        </w:rPr>
        <w:t xml:space="preserve">Здесь </w:t>
      </w:r>
      <w:r w:rsidRPr="00E17D8E">
        <w:rPr>
          <w:sz w:val="28"/>
          <w:szCs w:val="28"/>
        </w:rPr>
        <w:t xml:space="preserve">дается общее определение центров ответственности, а также описание их разновидностей. </w:t>
      </w:r>
      <w:r w:rsidR="00E30287">
        <w:rPr>
          <w:sz w:val="28"/>
          <w:szCs w:val="28"/>
        </w:rPr>
        <w:t>Р</w:t>
      </w:r>
      <w:r w:rsidRPr="00E17D8E">
        <w:rPr>
          <w:sz w:val="28"/>
          <w:szCs w:val="28"/>
        </w:rPr>
        <w:t>ассматриваются две из них — центр доходов и центр затрат.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Определение и виды центров ответственности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Центр ответственности — это структурное подразделение компании, менеджер которого несет ответственность за его деятельность.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Любая компания представляет собой иерархию центров ответственности: на низшем уровне, как правило, находятся отделы, которые, в свою очередь, могут входить в состав управлений, управления — в состав департаментов, департаменты — в состав дирекций. Сама компания тоже является центром ответственности с генеральным директором во главе. Центр ответственности использует различные ресурсы (материальные, человеческие, финансовые), получая на входе и на выходе результат в виде продукции, работ или услуг, который берут на вооружение другие центры ответственности или внешнее окружение компании. Эффективность центра ответственности определяется двумя параметрами:</w:t>
      </w:r>
    </w:p>
    <w:p w:rsidR="00D46D01" w:rsidRPr="00E17D8E" w:rsidRDefault="008C3AAB" w:rsidP="00E17D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6D01" w:rsidRPr="00E17D8E">
        <w:rPr>
          <w:sz w:val="28"/>
          <w:szCs w:val="28"/>
        </w:rPr>
        <w:t xml:space="preserve">достижением поставленных целей (как финансовых, так и нефинансовых); </w:t>
      </w:r>
    </w:p>
    <w:p w:rsidR="00D46D01" w:rsidRPr="00E17D8E" w:rsidRDefault="008C3AAB" w:rsidP="008C3A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6D01" w:rsidRPr="00E17D8E">
        <w:rPr>
          <w:sz w:val="28"/>
          <w:szCs w:val="28"/>
        </w:rPr>
        <w:t>эффективностью использования ресурсов (соотношение выхода и входа).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При этом наиболее эффективным является центр ответственности, который выполнил поставленные перед ним цели, затратив минимальное количество ресурсов. Эффективность центров ответственности определяет эффективность компании в целом, что в конечном счете отражается на ее положении на рынке, способности создавать стоимость и повышать капитализацию.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зависимости от сферы влияния менеджера (руководителя) структурного подразделения различают четыре вида центров ответственности: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доходов — центр ответственности, менеджер которого контролирует доходы центра и несет за них ответственность.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затрат — центр ответственности, менеджер которого контролирует затраты центра и несет за них ответственность.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прибыли — центр ответственности, менеджер которого контролирует доходы, затраты и прибыль центра и несет за них ответственность.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Центр инвестиций — центр ответственности, менеджер которого контролирует прибыль центра и несет за нее ответственность, а также принимает решения о величине оборотного капитала и капитальных вложениях.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доходов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Руководитель центра доходов несет ответственность за доходы структурного подразделения. Классический пример центра доходов в компании — отдел сбыта, в задачи которого входят привлечение новых клиентов и увеличение объема реализации продукции. Отдел сбыта в то же время является и центром затрат: он несет затраты на заработную плату, представительские расходы, канцелярские принадлежности и т. д. Однако, поскольку сбытовая функция доминирует, отдел следует рассматривать прежде всего как центр доходов.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Планирование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Планирование в центре доходов осуществляется путем установления целевых показателей по реализации. В отраслях, где доля возвратов продукции значительна, используют целевые установки по чистой реализации (реализации за вычетом возвратов).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Если компания реализует свою продукцию потребителям, находящимся на разных географических рынках, используя различные каналы сбыта, планирование выручки осуществляется по каждому аналитическому срезу (например, оптовые продажи продукта 1 в регионе А, розничные продажи продукта 2 в регионе Б и т. д.).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Чаще всего планирование выручки осуществляет сам центр доходов, поскольку владеет всей необходимой для этого информацией: подробными данными о продажах прошлых периодов (в разрезе продуктов, каналов сбыта, регионов, потребителей и т. д.), прогнозом рынка сбыта, отраслевыми и макроэкономическими прогнозами, влиянием сезонности и т. п.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Такой подход несет в себе определенные риски: центр доходов будет стремиться занизить величину плановой выручки, чтобы фактическое исполнение бюджета превышало плановые показатели. Большинство российских предприятий решает эту проблему одним из двух способов: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Руководство компании директивно доводит до отдела сбыта целевую величину реализации на плановый период одной суммой или с минимальной расшифровкой. Отдел сбыта декомпозирует установленные цели по аналитическим срезам выручки. 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Планирование выручки осуществляет финансовая дирекция (например, планово-экономический отдел).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Достоинства первого способа заключаются в относительной простоте и оперативности планирования, недостатки — в отсутствии формального обоснования планов.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К достоинствам второго способа относится лучшее обоснование планов по сравнению с первым способом, к недостаткам — наличие потенциального конфликта между отделом сбыта и планово-экономическим отделом.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Оценка результатов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Система стимулирования руководителя центра доходов строится на основании сравнения плановых и фактических данных об объеме реализации. Широкое применение получили два подхода.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рамках первого подхода величина премии определяется через корректировку премиального фонда на процент выполнения плана. Если фактическая реализация оказалась меньше плановой, величина премии равна нулю, если больше — используется следующая формула: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Величина премии = Премиальный фонд * Фактическая реализация / Плановая реализация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Премиальный фонд устанавливается в процессе планирования и зависит от оклада сотрудника. Например, премиальный фонд на плановый месяц может составлять 50% от месячного оклада сотрудника.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рамках второго подхода величина премии определяется как процент от суммы перевыполнения плана. Если фактическая реализация оказалась меньше плановой, величина премии равна нулю, если больше — используется следующая формула: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Величина премии = (Фактическая реализация - Плановая реализация) * Коэффициент премирования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Коэффициент премирования представляет собой процентный показатель, устанавливаемый на плановый период. Например, если коэффициент премирования равен 10%, это означает, что размер премии составит 10% от общей суммы перевыполнения плана.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погоне за премией менеджеры центров доходов могут реализовывать продукцию неплатежеспособным покупателям, в результате чего рост выручки будет сопровождаться ростом безнадежной дебиторской задолженности.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Решить проблему могло бы установление плана по поступлениям денежных средств от продаж, однако в этом случае появляется угроза манипулирования выручкой: например, менеджер может попросить клиента произвести предоплату продукции. Наилучшим решением в данной ситуации представляется уменьшение фактической реализации на величину возросшей сомнительной дебиторской задолженности.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затрат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Руководитель центра затрат несет ответственность за затраты структурного подразделения. Различают два вида центров затрат: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нормируемых затрат;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центр ненормируемых затрат.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нормируемых затрат 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Примером центра нормируемых затрат являются производственные структурные подразделения (цеха основного и вспомогательного производства). В центре нормируемых затрат может быть установлено нормативное соотношение входа и выхода, т. е. для каждой единицы выпуска определяется требуемое количество материалов и работ. В производственных подразделениях такое соотношение задается технологическими нормативами расхода материала и выполнения работ для производства одной единицы продукции.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Зависимость выхода от входа позволяет руководителю центра нормируемых затрат контролировать и нести ответственность за вход и выход. Выход является производным от входа, денежная оценка выхода осуществляется на основании осуществленных затрат.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Например, если производственный цех затратил 100 руб. на материалы и 150 руб. на работы, произведя пять единиц продукции, то стоимость одной единицы составит 50 руб.: (100 + 150) / 5.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Выход не может рассматриваться как доход компании, поскольку оценивается по фактически понесенным затратам. Поэтому центр нормируемых затрат не является центром доходов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Планирование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Планирование в центре нормируемых затрат начинается с планирования выпуска в натуральном выражении — иными словами, выясняется, сколько единиц продукции необходимо произвести. На основании планового объема производства и нормативных коэффициентов определяют плановое количество потребляемых ресурсов. Плановые затраты центра рассчитывают как количество ресурсов, умноженное на их цену.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Система стимулирования в центре нормируемых затрат строится на основании сравнения фактических и плановых данных. Перед сравнением плановые данные пересчитываются под фактический выпуск продукции. Расчет величины премий осуществляется так же, как в центре доходов. Разница заключается в том, что в центре нормируемых затрат основанием для премирования служит сравнение фактических и плановых данных по затратам, пересчитанных под фактический выпуск, в то время как в центре доходов — сравнение фактических и плановых данных по реализации.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Центр ненормируемых затрат 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центре ненормируемых затрат не может быть установлена прямая зависимость выхода от входа. Как правило, затраты центра ненормируемых затрат являются постоянными по отношению к выпуску.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Центры ненормируемых затрат- это большинство структурных подразделений, выполняющих административные, представительские, финансовые, юридические функции, а также занимающиеся маркетингом, исследованиями и разработками. Основную часть расходов в этих подразделениях часто составляют расходы на персонал.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В центре ненормируемых затрат ключевую проблему представляет определение оптимального уровня затрат. При рассмотрении двух одинаковых по размеру компаний затраты финансовой дирекции в одной могут быть вдвое больше, чем в другой. При этом руководство обеих компаний может полагать, что затраты финансовых дирекций оптимальны и нельзя найти объективных свидетельств тому, что различия в уровне затрат обусловлены разной степенью эффективности работы. Особенно остро проблема определения оптимального уровня затрат стоит в структурных подразделениях, занимающихся исследованиями рынка (маркетинг), а также собственными исследованиями и разработками (НИОКР), поскольку результаты работы этих структурных подразделений чрезвычайно важны для компаний.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Планирование 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Чаще всего планирование в центрах ненормируемых затрат осуществляется на основании данных прошлых периодов с поправкой на инфляцию, сезонность, изменение объема работ и т. д. (incremental budgeting). На большинстве предприятий таким образом планируются расходы на финансовые службы, административный аппарат, юридические службы и другие подразделени</w:t>
      </w:r>
      <w:r w:rsidR="003D3845">
        <w:rPr>
          <w:sz w:val="28"/>
          <w:szCs w:val="28"/>
        </w:rPr>
        <w:t>я, занятые в обеспечивающих биз</w:t>
      </w:r>
      <w:r w:rsidRPr="00E17D8E">
        <w:rPr>
          <w:sz w:val="28"/>
          <w:szCs w:val="28"/>
        </w:rPr>
        <w:t>нес</w:t>
      </w:r>
      <w:r w:rsidR="003D3845">
        <w:rPr>
          <w:sz w:val="28"/>
          <w:szCs w:val="28"/>
        </w:rPr>
        <w:t>-</w:t>
      </w:r>
      <w:r w:rsidRPr="00E17D8E">
        <w:rPr>
          <w:sz w:val="28"/>
          <w:szCs w:val="28"/>
        </w:rPr>
        <w:t>процессах.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Это сравнительно простой и быстрый способ планирования, не требующий больших трудозатрат. Основной недостаток данного подхода заключается в том, что на вопрос, каков оптимальный уровень затрат для данного структурного подразделения, не дается ответа. Практика показывает, что системы планирования, построенные на основе корректировки прошлых периодов, приводят к медленному, но устойчивому росту затрат.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На многих российских предприятиях затраты центров ненормируемых затрат неоправданно высоки: после проведения реструктуризации уровень затрат, как правило, можно существенно сократить без ухудшения качества работы.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Альтернативный способ планирования — тщательный анализ и обоснование уровня плановых затрат по каждой операции, выполняемой структурным подразделением без оглядки на прошлые периоды (zero-based budgeting). Это более дорогой с точки зрения трудозатрат способ, позволяющий, однако, определить оптимальный уровень затрат центра ответственности.</w:t>
      </w:r>
    </w:p>
    <w:p w:rsidR="00D46D01" w:rsidRPr="00E17D8E" w:rsidRDefault="00D46D01" w:rsidP="0007680D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 xml:space="preserve">Оценка результатов </w:t>
      </w:r>
    </w:p>
    <w:p w:rsidR="00D46D01" w:rsidRPr="00E17D8E" w:rsidRDefault="00D46D01" w:rsidP="009A3ED2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Отсутствие четкой зависимости выхода от входа приводит к тому, что бюджет (план затрат) структурного подразделения характеризует только вход и никак не характеризует выход. Перерасход бюджета является результатом сравнения планового и фактического входа и не свидетельствует о неэффективности, так же как экономия бюджета не говорит об эффективности структурного подразделения. Если отдел НИОКР в течение месяца израсходовал средств на 10% больше выделенного бюджета, это не означает, что он оказался на 10% менее эффективным, чем должен был быть. Фактически проведенные исследования и осуществленные разработки могли иметь чрезвычайно важное значение для компании — или, наоборот, не иметь никакой ценности.</w:t>
      </w:r>
      <w:r w:rsidR="009A3ED2">
        <w:rPr>
          <w:sz w:val="28"/>
          <w:szCs w:val="28"/>
        </w:rPr>
        <w:t xml:space="preserve"> </w:t>
      </w:r>
      <w:r w:rsidRPr="00E17D8E">
        <w:rPr>
          <w:sz w:val="28"/>
          <w:szCs w:val="28"/>
        </w:rPr>
        <w:t>Эффективность центра ненормируемых затрат нельзя измерить только путем сопоставления плановых и фактических затрат. Такое сопоставление должно осуществляться только в привязке к выполнению показателей, характеризующих выход. Это, как правило, нефинансовые показатели, разработка которых требует знания отрасли и особенностей компании (организационной структуры, бизнес-процессов, корпоративной культуры и т. д.). Например, для отдела НИОКР таким показателем может быть количество реализованных на практике разработок, результатом которых стало повышение дохода, снижение затрат или достижение другого качественного экономического эффекта.</w:t>
      </w:r>
    </w:p>
    <w:p w:rsidR="00D46D01" w:rsidRPr="00E17D8E" w:rsidRDefault="00D46D01" w:rsidP="00E17D8E">
      <w:pPr>
        <w:spacing w:line="360" w:lineRule="auto"/>
        <w:ind w:firstLine="72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При разработке системы стимулирования для центров ненормируемых затрат основное внимание должно уделяться в первую очередь нефинансовым показателям и только потом выполнению плана по затратам. Оценка деятельности центра ненормируемых затрат всегда несет в себе элемент субъективности. Решения о премировании сотрудников принимаются, как правило, руководителем центра ответственности на основе его оценки деятельности каждого сотрудника.</w:t>
      </w:r>
    </w:p>
    <w:p w:rsidR="00D77347" w:rsidRDefault="00D46D01" w:rsidP="009A3ED2">
      <w:pPr>
        <w:spacing w:line="360" w:lineRule="auto"/>
        <w:ind w:firstLine="900"/>
        <w:jc w:val="both"/>
        <w:rPr>
          <w:sz w:val="28"/>
          <w:szCs w:val="28"/>
        </w:rPr>
      </w:pPr>
      <w:r w:rsidRPr="00E17D8E">
        <w:rPr>
          <w:sz w:val="28"/>
          <w:szCs w:val="28"/>
        </w:rPr>
        <w:t>Понимание функциональных различий между центрами ответственности и их правильная классификация помогут предприятию избежать многих ошибок при построении системы управления. Управление по центрам ответственности позволит персонифицировать ответственность за принятие управленческих решений, повысить качество планирования и привязать систему вознаграждения к результатам работы центра ответственности.</w:t>
      </w:r>
    </w:p>
    <w:p w:rsidR="006D7B5E" w:rsidRPr="006853D5" w:rsidRDefault="006D7B5E" w:rsidP="006D7B5E">
      <w:pPr>
        <w:tabs>
          <w:tab w:val="left" w:pos="5130"/>
        </w:tabs>
        <w:rPr>
          <w:sz w:val="28"/>
          <w:szCs w:val="28"/>
        </w:rPr>
      </w:pPr>
    </w:p>
    <w:p w:rsidR="00D77347" w:rsidRPr="006853D5" w:rsidRDefault="00155B07" w:rsidP="00D77347">
      <w:pPr>
        <w:tabs>
          <w:tab w:val="left" w:pos="51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D77347" w:rsidRPr="006853D5" w:rsidRDefault="00D77347" w:rsidP="00D77347">
      <w:pPr>
        <w:tabs>
          <w:tab w:val="left" w:pos="5130"/>
        </w:tabs>
        <w:spacing w:line="360" w:lineRule="auto"/>
        <w:jc w:val="center"/>
        <w:rPr>
          <w:sz w:val="28"/>
          <w:szCs w:val="28"/>
        </w:rPr>
      </w:pPr>
    </w:p>
    <w:p w:rsidR="009C7717" w:rsidRPr="006853D5" w:rsidRDefault="009C7717" w:rsidP="009C7717">
      <w:pPr>
        <w:tabs>
          <w:tab w:val="left" w:pos="5130"/>
        </w:tabs>
        <w:jc w:val="center"/>
        <w:rPr>
          <w:sz w:val="28"/>
          <w:szCs w:val="28"/>
        </w:rPr>
      </w:pPr>
    </w:p>
    <w:p w:rsidR="009C771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а, б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Pr="006853D5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в</w:t>
      </w:r>
    </w:p>
    <w:p w:rsidR="00D77347" w:rsidRDefault="00D77347" w:rsidP="00D77347">
      <w:pPr>
        <w:numPr>
          <w:ilvl w:val="0"/>
          <w:numId w:val="1"/>
        </w:numPr>
        <w:rPr>
          <w:sz w:val="28"/>
          <w:szCs w:val="28"/>
        </w:rPr>
      </w:pPr>
      <w:r w:rsidRPr="006853D5">
        <w:rPr>
          <w:sz w:val="28"/>
          <w:szCs w:val="28"/>
        </w:rPr>
        <w:t>г</w:t>
      </w:r>
    </w:p>
    <w:p w:rsidR="00164C64" w:rsidRDefault="00164C64" w:rsidP="00164C64">
      <w:pPr>
        <w:ind w:left="360"/>
        <w:rPr>
          <w:sz w:val="28"/>
          <w:szCs w:val="28"/>
        </w:rPr>
      </w:pPr>
    </w:p>
    <w:p w:rsidR="00164C64" w:rsidRDefault="00164C64" w:rsidP="00C479CF">
      <w:pPr>
        <w:spacing w:line="360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5C681B" w:rsidRPr="006853D5" w:rsidRDefault="005C681B" w:rsidP="00C479CF">
      <w:pPr>
        <w:spacing w:line="360" w:lineRule="auto"/>
        <w:ind w:left="357"/>
        <w:jc w:val="center"/>
        <w:rPr>
          <w:sz w:val="28"/>
          <w:szCs w:val="28"/>
        </w:rPr>
      </w:pP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>Вахрушина М.А. Бухгалтерский управленческий учет: Учебник для вузов. — М</w:t>
      </w:r>
      <w:r w:rsidR="001045DB">
        <w:rPr>
          <w:sz w:val="28"/>
          <w:szCs w:val="28"/>
        </w:rPr>
        <w:t>.</w:t>
      </w:r>
      <w:r w:rsidR="005C681B">
        <w:rPr>
          <w:sz w:val="28"/>
          <w:szCs w:val="28"/>
        </w:rPr>
        <w:t xml:space="preserve">, 1999. 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 xml:space="preserve">Ивашкевич В.Б. Организация управленческого учета по центрам ответственности и местам формирования затрат // Бухгалтерский </w:t>
      </w:r>
      <w:r w:rsidR="005C681B">
        <w:rPr>
          <w:sz w:val="28"/>
          <w:szCs w:val="28"/>
        </w:rPr>
        <w:t xml:space="preserve">учет. — 2000. 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>Каверина О.Д. Управленческий учет: системы, методы, процедуры. — М.: Финансы и</w:t>
      </w:r>
      <w:r w:rsidR="005C681B">
        <w:rPr>
          <w:sz w:val="28"/>
          <w:szCs w:val="28"/>
        </w:rPr>
        <w:t xml:space="preserve"> статистика, 2003.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>Карпова Т.П. Управленческий учет: Учебник для вузов. — М.: ЮНИТИ, 2002.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>Керимов В.Э. Управленческий учет: Учебник. — М.: 2005.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 xml:space="preserve">Мишин Ю.А. Управленческий учет: управление затратами и результатами хозяйственной деятельности. — М.: Дело и Сервис, 2002. 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 xml:space="preserve">Справочник финансиста предприятия. — 3-е изд., доп. и перераб. </w:t>
      </w:r>
      <w:r w:rsidR="005C681B">
        <w:rPr>
          <w:sz w:val="28"/>
          <w:szCs w:val="28"/>
        </w:rPr>
        <w:t>— М.: ИНФРА-М, 2001.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>Управленческий учет: Учебное пособие / Под ред. А.Д. Шеремета. — М.: ИД ФБК-ПРЕСС, 2000.</w:t>
      </w:r>
    </w:p>
    <w:p w:rsidR="006F0DD4" w:rsidRPr="005C681B" w:rsidRDefault="006F0DD4" w:rsidP="005C681B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C681B">
        <w:rPr>
          <w:sz w:val="28"/>
          <w:szCs w:val="28"/>
        </w:rPr>
        <w:t xml:space="preserve">Хруцкий В.Е., Сизова Т.В., Гамаюнов В.В. Внутрифирменное бюджетирование: Настольная книга по постановке финансового планирования. — </w:t>
      </w:r>
      <w:r w:rsidR="005C681B">
        <w:rPr>
          <w:sz w:val="28"/>
          <w:szCs w:val="28"/>
        </w:rPr>
        <w:t>М.: Финансы и статистика, 2002.</w:t>
      </w:r>
    </w:p>
    <w:p w:rsidR="00C479CF" w:rsidRDefault="00DD49DE" w:rsidP="001045DB">
      <w:pPr>
        <w:numPr>
          <w:ilvl w:val="0"/>
          <w:numId w:val="3"/>
        </w:numPr>
        <w:pBdr>
          <w:bottom w:val="double" w:sz="6" w:space="1" w:color="auto"/>
        </w:pBdr>
        <w:tabs>
          <w:tab w:val="clear" w:pos="1620"/>
        </w:tabs>
        <w:spacing w:line="360" w:lineRule="auto"/>
        <w:ind w:left="0" w:firstLine="900"/>
        <w:jc w:val="both"/>
        <w:rPr>
          <w:sz w:val="28"/>
          <w:szCs w:val="28"/>
        </w:rPr>
      </w:pPr>
      <w:hyperlink r:id="rId7" w:history="1">
        <w:r w:rsidR="006F0DD4" w:rsidRPr="005C681B">
          <w:rPr>
            <w:rStyle w:val="a5"/>
            <w:sz w:val="28"/>
            <w:szCs w:val="28"/>
          </w:rPr>
          <w:t>http://www.finman.ru/articles/2004/4/2303.html</w:t>
        </w:r>
      </w:hyperlink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Default="001045DB" w:rsidP="001045DB">
      <w:p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</w:p>
    <w:p w:rsidR="001045DB" w:rsidRPr="0054320B" w:rsidRDefault="001045DB" w:rsidP="0054320B">
      <w:pPr>
        <w:tabs>
          <w:tab w:val="left" w:pos="1305"/>
        </w:tabs>
        <w:rPr>
          <w:sz w:val="28"/>
          <w:szCs w:val="28"/>
        </w:rPr>
      </w:pPr>
      <w:bookmarkStart w:id="0" w:name="_GoBack"/>
      <w:bookmarkEnd w:id="0"/>
    </w:p>
    <w:sectPr w:rsidR="001045DB" w:rsidRPr="0054320B" w:rsidSect="00A11C2D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37" w:rsidRDefault="000A1D37">
      <w:r>
        <w:separator/>
      </w:r>
    </w:p>
  </w:endnote>
  <w:endnote w:type="continuationSeparator" w:id="0">
    <w:p w:rsidR="000A1D37" w:rsidRDefault="000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45" w:rsidRDefault="00EB6945" w:rsidP="000A1D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6945" w:rsidRDefault="00EB6945" w:rsidP="00A11C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45" w:rsidRDefault="00EB6945" w:rsidP="000A1D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2648">
      <w:rPr>
        <w:rStyle w:val="a4"/>
        <w:noProof/>
      </w:rPr>
      <w:t>2</w:t>
    </w:r>
    <w:r>
      <w:rPr>
        <w:rStyle w:val="a4"/>
      </w:rPr>
      <w:fldChar w:fldCharType="end"/>
    </w:r>
  </w:p>
  <w:p w:rsidR="00EB6945" w:rsidRDefault="00EB6945" w:rsidP="00A11C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37" w:rsidRDefault="000A1D37">
      <w:r>
        <w:separator/>
      </w:r>
    </w:p>
  </w:footnote>
  <w:footnote w:type="continuationSeparator" w:id="0">
    <w:p w:rsidR="000A1D37" w:rsidRDefault="000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F50"/>
    <w:multiLevelType w:val="hybridMultilevel"/>
    <w:tmpl w:val="C478A30C"/>
    <w:lvl w:ilvl="0" w:tplc="CE2CE3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2E053EA9"/>
    <w:multiLevelType w:val="hybridMultilevel"/>
    <w:tmpl w:val="3A2655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6C78057C"/>
    <w:multiLevelType w:val="hybridMultilevel"/>
    <w:tmpl w:val="81C8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717"/>
    <w:rsid w:val="0007680D"/>
    <w:rsid w:val="000A1D37"/>
    <w:rsid w:val="001045DB"/>
    <w:rsid w:val="00155B07"/>
    <w:rsid w:val="00164C64"/>
    <w:rsid w:val="001D7CF3"/>
    <w:rsid w:val="002010F3"/>
    <w:rsid w:val="003D3845"/>
    <w:rsid w:val="004668E5"/>
    <w:rsid w:val="0054320B"/>
    <w:rsid w:val="00547830"/>
    <w:rsid w:val="005905A7"/>
    <w:rsid w:val="005C681B"/>
    <w:rsid w:val="00615C7B"/>
    <w:rsid w:val="00672648"/>
    <w:rsid w:val="006853D5"/>
    <w:rsid w:val="006D7B5E"/>
    <w:rsid w:val="006F0DD4"/>
    <w:rsid w:val="00763851"/>
    <w:rsid w:val="00876E0E"/>
    <w:rsid w:val="008C3AAB"/>
    <w:rsid w:val="009174C1"/>
    <w:rsid w:val="009A3ED2"/>
    <w:rsid w:val="009C7717"/>
    <w:rsid w:val="00A11C2D"/>
    <w:rsid w:val="00AE409D"/>
    <w:rsid w:val="00C479CF"/>
    <w:rsid w:val="00D46D01"/>
    <w:rsid w:val="00D77347"/>
    <w:rsid w:val="00D85FA1"/>
    <w:rsid w:val="00DD49DE"/>
    <w:rsid w:val="00E17D8E"/>
    <w:rsid w:val="00E30287"/>
    <w:rsid w:val="00EB6945"/>
    <w:rsid w:val="00F676CE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7073-4D16-4A85-969A-2509E25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C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C2D"/>
  </w:style>
  <w:style w:type="character" w:styleId="a5">
    <w:name w:val="Hyperlink"/>
    <w:basedOn w:val="a0"/>
    <w:rsid w:val="006F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nman.ru/articles/2004/4/23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15926</CharactersWithSpaces>
  <SharedDoc>false</SharedDoc>
  <HLinks>
    <vt:vector size="6" baseType="variant"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http://www.finman.ru/articles/2004/4/2303.html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2014-04-22T19:31:00Z</dcterms:created>
  <dcterms:modified xsi:type="dcterms:W3CDTF">2014-04-22T19:31:00Z</dcterms:modified>
</cp:coreProperties>
</file>