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EA" w:rsidRPr="00F43CEA" w:rsidRDefault="00F43CEA" w:rsidP="00F43CEA">
      <w:pPr>
        <w:pStyle w:val="7"/>
        <w:jc w:val="center"/>
        <w:rPr>
          <w:sz w:val="32"/>
          <w:szCs w:val="32"/>
        </w:rPr>
      </w:pPr>
      <w:r w:rsidRPr="00F43CEA">
        <w:rPr>
          <w:sz w:val="32"/>
          <w:szCs w:val="32"/>
        </w:rPr>
        <w:t>Российская Федерация</w:t>
      </w:r>
    </w:p>
    <w:p w:rsidR="00F43CEA" w:rsidRPr="00F43CEA" w:rsidRDefault="00F43CEA" w:rsidP="00F43CEA">
      <w:pPr>
        <w:pStyle w:val="7"/>
        <w:jc w:val="center"/>
        <w:rPr>
          <w:sz w:val="32"/>
          <w:szCs w:val="32"/>
        </w:rPr>
      </w:pPr>
      <w:r w:rsidRPr="00F43CEA">
        <w:rPr>
          <w:sz w:val="32"/>
          <w:szCs w:val="32"/>
        </w:rPr>
        <w:t>Федеральный фонд обязательного медицинского страхования</w:t>
      </w:r>
    </w:p>
    <w:p w:rsidR="00F43CEA" w:rsidRDefault="00F43CEA" w:rsidP="00F43CEA">
      <w:pPr>
        <w:pStyle w:val="7"/>
        <w:jc w:val="center"/>
        <w:rPr>
          <w:sz w:val="32"/>
          <w:szCs w:val="32"/>
        </w:rPr>
      </w:pPr>
    </w:p>
    <w:p w:rsidR="00F43CEA" w:rsidRPr="00F43CEA" w:rsidRDefault="00F43CEA" w:rsidP="00F43CEA">
      <w:pPr>
        <w:pStyle w:val="7"/>
        <w:jc w:val="center"/>
        <w:rPr>
          <w:sz w:val="32"/>
          <w:szCs w:val="32"/>
        </w:rPr>
      </w:pPr>
      <w:r w:rsidRPr="00F43CEA">
        <w:rPr>
          <w:sz w:val="32"/>
          <w:szCs w:val="32"/>
        </w:rPr>
        <w:t>ООО «Комплексный медицинский консалтинг»</w:t>
      </w:r>
    </w:p>
    <w:p w:rsidR="00F43CEA" w:rsidRPr="00F43CEA" w:rsidRDefault="00F43CEA" w:rsidP="00F43CEA">
      <w:pPr>
        <w:pStyle w:val="7"/>
        <w:jc w:val="center"/>
      </w:pPr>
    </w:p>
    <w:p w:rsidR="00F43CEA" w:rsidRPr="00F43CEA" w:rsidRDefault="00F43CEA" w:rsidP="00F43CEA">
      <w:pPr>
        <w:pStyle w:val="7"/>
        <w:jc w:val="center"/>
      </w:pPr>
    </w:p>
    <w:p w:rsidR="00F43CEA" w:rsidRPr="00F43CEA" w:rsidRDefault="00F43CEA" w:rsidP="00F43CEA">
      <w:pPr>
        <w:pStyle w:val="7"/>
        <w:jc w:val="center"/>
        <w:rPr>
          <w:b/>
          <w:sz w:val="28"/>
          <w:szCs w:val="28"/>
        </w:rPr>
      </w:pPr>
      <w:r w:rsidRPr="00F43CEA">
        <w:rPr>
          <w:b/>
          <w:sz w:val="28"/>
          <w:szCs w:val="28"/>
        </w:rPr>
        <w:t>Государственный контракт от 12.11.2007 г. 193-26-4-2007</w:t>
      </w:r>
    </w:p>
    <w:p w:rsidR="00F43CEA" w:rsidRPr="00F43CEA" w:rsidRDefault="00F43CEA" w:rsidP="00F43CEA">
      <w:pPr>
        <w:pStyle w:val="7"/>
        <w:jc w:val="center"/>
      </w:pPr>
    </w:p>
    <w:p w:rsidR="00F43CEA" w:rsidRPr="00F43CEA" w:rsidRDefault="00F43CEA" w:rsidP="00F43CEA">
      <w:pPr>
        <w:pStyle w:val="7"/>
        <w:rPr>
          <w:b/>
          <w:smallCaps/>
          <w:sz w:val="28"/>
        </w:rPr>
      </w:pPr>
    </w:p>
    <w:p w:rsidR="00F43CEA" w:rsidRPr="00F43CEA" w:rsidRDefault="00F43CEA" w:rsidP="00F43CEA">
      <w:pPr>
        <w:pStyle w:val="7"/>
        <w:jc w:val="center"/>
        <w:rPr>
          <w:b/>
          <w:smallCaps/>
          <w:sz w:val="40"/>
          <w:szCs w:val="40"/>
        </w:rPr>
      </w:pPr>
      <w:r w:rsidRPr="00F43CEA">
        <w:rPr>
          <w:b/>
          <w:smallCaps/>
          <w:sz w:val="40"/>
          <w:szCs w:val="40"/>
        </w:rPr>
        <w:t>МЕТОДИЧЕСКИЕ РЕКОМЕНДАЦИИ</w:t>
      </w:r>
    </w:p>
    <w:p w:rsidR="00F43CEA" w:rsidRPr="00F43CEA" w:rsidRDefault="00F43CEA" w:rsidP="00F43CEA">
      <w:pPr>
        <w:pStyle w:val="7"/>
        <w:rPr>
          <w:b/>
          <w:smallCaps/>
          <w:sz w:val="28"/>
        </w:rPr>
      </w:pPr>
    </w:p>
    <w:p w:rsidR="00F43CEA" w:rsidRPr="00F43CEA" w:rsidRDefault="00F43CEA" w:rsidP="00F43CEA">
      <w:pPr>
        <w:pStyle w:val="7"/>
        <w:jc w:val="center"/>
        <w:rPr>
          <w:b/>
          <w:smallCaps/>
          <w:sz w:val="28"/>
        </w:rPr>
      </w:pPr>
    </w:p>
    <w:p w:rsidR="00F43CEA" w:rsidRPr="00F43CEA" w:rsidRDefault="00F43CEA" w:rsidP="00F43CEA">
      <w:pPr>
        <w:pStyle w:val="7"/>
        <w:jc w:val="center"/>
        <w:rPr>
          <w:b/>
          <w:sz w:val="32"/>
          <w:szCs w:val="32"/>
        </w:rPr>
      </w:pPr>
      <w:r w:rsidRPr="00F43CEA">
        <w:rPr>
          <w:b/>
          <w:sz w:val="32"/>
          <w:szCs w:val="32"/>
        </w:rPr>
        <w:t>по проведению клинико-фармакологического анализа использования лекарственных средств в программе ДЛО при помощи информационных систем</w:t>
      </w:r>
    </w:p>
    <w:p w:rsidR="00F43CEA" w:rsidRPr="00F43CEA" w:rsidRDefault="00F43CEA" w:rsidP="00F43CEA">
      <w:pPr>
        <w:pStyle w:val="7"/>
        <w:jc w:val="center"/>
        <w:rPr>
          <w:sz w:val="28"/>
        </w:rPr>
      </w:pPr>
    </w:p>
    <w:p w:rsidR="00F43CEA" w:rsidRPr="00F43CEA" w:rsidRDefault="00F43CEA" w:rsidP="00F43CEA">
      <w:pPr>
        <w:pStyle w:val="7"/>
        <w:jc w:val="center"/>
        <w:rPr>
          <w:sz w:val="28"/>
        </w:rPr>
      </w:pPr>
    </w:p>
    <w:p w:rsidR="00F43CEA" w:rsidRPr="00F43CEA" w:rsidRDefault="00F43CEA" w:rsidP="00F43CEA">
      <w:pPr>
        <w:pStyle w:val="7"/>
        <w:jc w:val="center"/>
      </w:pPr>
    </w:p>
    <w:p w:rsidR="00F43CEA" w:rsidRDefault="00F43CEA" w:rsidP="00F43CEA">
      <w:pPr>
        <w:pStyle w:val="7"/>
        <w:jc w:val="center"/>
      </w:pPr>
    </w:p>
    <w:p w:rsidR="00F43CEA" w:rsidRDefault="00F43CEA" w:rsidP="00F43CEA"/>
    <w:p w:rsidR="00F43CEA" w:rsidRDefault="00F43CEA" w:rsidP="00F43CEA">
      <w:pPr>
        <w:pStyle w:val="7"/>
        <w:jc w:val="center"/>
      </w:pPr>
    </w:p>
    <w:p w:rsidR="00F43CEA" w:rsidRPr="00F43CEA" w:rsidRDefault="00F43CEA" w:rsidP="00F43CEA"/>
    <w:p w:rsidR="00F43CEA" w:rsidRPr="00F43CEA" w:rsidRDefault="00F43CEA" w:rsidP="00F43CEA">
      <w:pPr>
        <w:pStyle w:val="7"/>
        <w:jc w:val="center"/>
        <w:rPr>
          <w:b/>
        </w:rPr>
      </w:pPr>
      <w:r w:rsidRPr="00F43CEA">
        <w:rPr>
          <w:b/>
        </w:rPr>
        <w:t>Москва</w:t>
      </w:r>
    </w:p>
    <w:p w:rsidR="00F43CEA" w:rsidRPr="00F43CEA" w:rsidRDefault="00F43CEA" w:rsidP="00F43CEA">
      <w:pPr>
        <w:pStyle w:val="7"/>
        <w:jc w:val="center"/>
        <w:rPr>
          <w:b/>
        </w:rPr>
      </w:pPr>
      <w:r w:rsidRPr="00F43CEA">
        <w:rPr>
          <w:b/>
        </w:rPr>
        <w:t>2007</w:t>
      </w:r>
    </w:p>
    <w:p w:rsidR="00F43CEA" w:rsidRPr="004E329B" w:rsidRDefault="00F43CEA" w:rsidP="00F43CEA">
      <w:pPr>
        <w:widowControl w:val="0"/>
        <w:shd w:val="clear" w:color="auto" w:fill="FFFFFF"/>
        <w:spacing w:before="34"/>
        <w:ind w:left="14"/>
        <w:rPr>
          <w:b/>
          <w:bCs/>
          <w:sz w:val="24"/>
          <w:szCs w:val="24"/>
        </w:rPr>
      </w:pPr>
    </w:p>
    <w:p w:rsidR="00F43CEA" w:rsidRDefault="00F43CEA" w:rsidP="00F43CE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ИСПОЛНИТЕЛЕЙ</w:t>
      </w:r>
    </w:p>
    <w:p w:rsidR="00F43CEA" w:rsidRDefault="00F43CEA" w:rsidP="00F43CE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43CEA" w:rsidRDefault="00F43CEA" w:rsidP="00F43CE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6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3"/>
        <w:gridCol w:w="5943"/>
      </w:tblGrid>
      <w:tr w:rsidR="00F43CEA" w:rsidRPr="0019095E">
        <w:trPr>
          <w:trHeight w:val="2512"/>
          <w:tblCellSpacing w:w="15" w:type="dxa"/>
          <w:jc w:val="center"/>
        </w:trPr>
        <w:tc>
          <w:tcPr>
            <w:tcW w:w="4478" w:type="dxa"/>
          </w:tcPr>
          <w:p w:rsidR="00F43CEA" w:rsidRPr="0019095E" w:rsidRDefault="00F43CEA" w:rsidP="00DF3535">
            <w:pPr>
              <w:spacing w:line="360" w:lineRule="auto"/>
              <w:ind w:left="245"/>
              <w:rPr>
                <w:rFonts w:ascii="Times New Roman" w:hAnsi="Times New Roman"/>
                <w:sz w:val="24"/>
                <w:szCs w:val="24"/>
              </w:rPr>
            </w:pPr>
            <w:r w:rsidRPr="006A76A9"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 темы</w:t>
            </w:r>
            <w:r w:rsidRPr="00190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3CEA" w:rsidRPr="0019095E" w:rsidRDefault="00F43CEA" w:rsidP="00DF3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5E">
              <w:rPr>
                <w:rFonts w:ascii="Times New Roman" w:hAnsi="Times New Roman"/>
                <w:sz w:val="24"/>
                <w:szCs w:val="24"/>
              </w:rPr>
              <w:t>д-р медиц. наук, профессор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78C5">
              <w:rPr>
                <w:rFonts w:ascii="Times New Roman" w:hAnsi="Times New Roman"/>
                <w:sz w:val="24"/>
                <w:szCs w:val="24"/>
              </w:rPr>
              <w:t>заведующая кафедрой клинической фармакологии и фармакотерапии Казанской государственной медицинской академии ГОУ ДПО Росздрава</w:t>
            </w:r>
            <w:r w:rsidRPr="00190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98" w:type="dxa"/>
          </w:tcPr>
          <w:p w:rsidR="00F43CEA" w:rsidRDefault="00F43CEA" w:rsidP="00DF3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3CEA" w:rsidRPr="0019095E" w:rsidRDefault="00F43CEA" w:rsidP="00DF3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Л.Е. Зиганшина</w:t>
            </w:r>
          </w:p>
        </w:tc>
      </w:tr>
      <w:tr w:rsidR="00F43CEA" w:rsidRPr="0019095E">
        <w:trPr>
          <w:trHeight w:val="1874"/>
          <w:tblCellSpacing w:w="15" w:type="dxa"/>
          <w:jc w:val="center"/>
        </w:trPr>
        <w:tc>
          <w:tcPr>
            <w:tcW w:w="4478" w:type="dxa"/>
            <w:vAlign w:val="center"/>
          </w:tcPr>
          <w:p w:rsidR="00F43CEA" w:rsidRPr="006A76A9" w:rsidRDefault="00F43CEA" w:rsidP="00DF353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76A9">
              <w:rPr>
                <w:rFonts w:ascii="Times New Roman" w:hAnsi="Times New Roman"/>
                <w:sz w:val="24"/>
                <w:szCs w:val="24"/>
                <w:u w:val="single"/>
              </w:rPr>
              <w:t>Исполнители темы</w:t>
            </w:r>
          </w:p>
          <w:p w:rsidR="00F43CEA" w:rsidRPr="0019095E" w:rsidRDefault="00F43CEA" w:rsidP="00DF3535">
            <w:pPr>
              <w:ind w:left="85"/>
              <w:rPr>
                <w:rFonts w:ascii="Times New Roman" w:hAnsi="Times New Roman"/>
                <w:sz w:val="24"/>
                <w:szCs w:val="24"/>
              </w:rPr>
            </w:pPr>
          </w:p>
          <w:p w:rsidR="00F43CEA" w:rsidRPr="0019095E" w:rsidRDefault="00F43CEA" w:rsidP="00DF3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канд. медиц. наук,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н</w:t>
            </w:r>
            <w:r w:rsidRPr="00023BC8">
              <w:rPr>
                <w:rFonts w:ascii="Times New Roman" w:hAnsi="Times New Roman"/>
                <w:spacing w:val="-6"/>
                <w:sz w:val="24"/>
                <w:szCs w:val="24"/>
              </w:rPr>
              <w:t>аучный</w:t>
            </w:r>
            <w:r w:rsidRPr="007A6EFE">
              <w:rPr>
                <w:spacing w:val="-6"/>
              </w:rPr>
              <w:t xml:space="preserve"> </w:t>
            </w:r>
            <w:r w:rsidRPr="00023BC8">
              <w:rPr>
                <w:rFonts w:ascii="Times New Roman" w:hAnsi="Times New Roman"/>
                <w:spacing w:val="-6"/>
                <w:sz w:val="24"/>
                <w:szCs w:val="24"/>
              </w:rPr>
              <w:t>сотрудник ООО «КМК»</w:t>
            </w:r>
          </w:p>
        </w:tc>
        <w:tc>
          <w:tcPr>
            <w:tcW w:w="5898" w:type="dxa"/>
            <w:vAlign w:val="center"/>
          </w:tcPr>
          <w:p w:rsidR="00F43CEA" w:rsidRPr="0019095E" w:rsidRDefault="00F43CEA" w:rsidP="00DF3535">
            <w:pPr>
              <w:spacing w:line="240" w:lineRule="auto"/>
              <w:ind w:left="129" w:hanging="4"/>
              <w:rPr>
                <w:rFonts w:ascii="Times New Roman" w:hAnsi="Times New Roman"/>
                <w:sz w:val="24"/>
                <w:szCs w:val="24"/>
              </w:rPr>
            </w:pPr>
          </w:p>
          <w:p w:rsidR="00F43CEA" w:rsidRDefault="00F43CEA" w:rsidP="00DF3535">
            <w:pPr>
              <w:spacing w:line="240" w:lineRule="auto"/>
              <w:rPr>
                <w:rFonts w:ascii="Times New Roman" w:hAnsi="Times New Roman"/>
                <w:w w:val="92"/>
                <w:sz w:val="24"/>
                <w:szCs w:val="24"/>
              </w:rPr>
            </w:pPr>
          </w:p>
          <w:p w:rsidR="00F43CEA" w:rsidRPr="0019095E" w:rsidRDefault="00F43CEA" w:rsidP="00DF353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EFB">
              <w:rPr>
                <w:rFonts w:ascii="Times New Roman" w:hAnsi="Times New Roman"/>
                <w:sz w:val="24"/>
                <w:szCs w:val="24"/>
              </w:rPr>
              <w:t>С.А. Маклецова</w:t>
            </w:r>
          </w:p>
        </w:tc>
      </w:tr>
      <w:tr w:rsidR="00F43CEA" w:rsidRPr="0019095E">
        <w:trPr>
          <w:trHeight w:val="625"/>
          <w:tblCellSpacing w:w="15" w:type="dxa"/>
          <w:jc w:val="center"/>
        </w:trPr>
        <w:tc>
          <w:tcPr>
            <w:tcW w:w="4478" w:type="dxa"/>
          </w:tcPr>
          <w:p w:rsidR="00F43CEA" w:rsidRPr="0019095E" w:rsidRDefault="00F43CEA" w:rsidP="00DF35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 автоматизации составления потребности, плана закупки и расходования лекарственных средств и медицинских изделий. ГУ МКДЦ МЗ РТ, г. Казань; интерн кафедры факультетской терапии Казанского государтсвенного медицинского университета ГОУ ВПО Росздрава</w:t>
            </w:r>
          </w:p>
        </w:tc>
        <w:tc>
          <w:tcPr>
            <w:tcW w:w="5898" w:type="dxa"/>
          </w:tcPr>
          <w:p w:rsidR="00F43CEA" w:rsidRPr="00FF4EFB" w:rsidRDefault="00F43CEA" w:rsidP="00DF3535">
            <w:pPr>
              <w:spacing w:line="240" w:lineRule="auto"/>
              <w:ind w:left="149"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EFB">
              <w:rPr>
                <w:rFonts w:ascii="Times New Roman" w:hAnsi="Times New Roman"/>
                <w:sz w:val="24"/>
                <w:szCs w:val="24"/>
              </w:rPr>
              <w:t>Р.Р. Ниязов</w:t>
            </w:r>
          </w:p>
        </w:tc>
      </w:tr>
      <w:tr w:rsidR="00F43CEA" w:rsidRPr="0019095E">
        <w:trPr>
          <w:trHeight w:val="625"/>
          <w:tblCellSpacing w:w="15" w:type="dxa"/>
          <w:jc w:val="center"/>
        </w:trPr>
        <w:tc>
          <w:tcPr>
            <w:tcW w:w="4478" w:type="dxa"/>
          </w:tcPr>
          <w:p w:rsidR="00F43CEA" w:rsidRPr="0019095E" w:rsidRDefault="00F43CEA" w:rsidP="00DF3535">
            <w:pPr>
              <w:rPr>
                <w:rFonts w:ascii="Times New Roman" w:hAnsi="Times New Roman"/>
                <w:sz w:val="24"/>
                <w:szCs w:val="24"/>
              </w:rPr>
            </w:pPr>
            <w:r w:rsidRPr="0019095E">
              <w:rPr>
                <w:rFonts w:ascii="Times New Roman" w:hAnsi="Times New Roman"/>
                <w:sz w:val="24"/>
                <w:szCs w:val="24"/>
              </w:rPr>
              <w:t>д-р медиц. наук, профессор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D6F">
              <w:rPr>
                <w:rFonts w:ascii="Times New Roman" w:hAnsi="Times New Roman"/>
                <w:sz w:val="24"/>
                <w:szCs w:val="24"/>
              </w:rPr>
              <w:t>кафедры управления в сфере здравоох</w:t>
            </w:r>
            <w:r w:rsidRPr="00A54D6F">
              <w:rPr>
                <w:rFonts w:ascii="Times New Roman" w:hAnsi="Times New Roman"/>
                <w:sz w:val="24"/>
                <w:szCs w:val="24"/>
              </w:rPr>
              <w:softHyphen/>
              <w:t xml:space="preserve">ранения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4D6F">
              <w:rPr>
                <w:rFonts w:ascii="Times New Roman" w:hAnsi="Times New Roman"/>
                <w:sz w:val="24"/>
                <w:szCs w:val="24"/>
              </w:rPr>
              <w:t>факультета государственного управле</w:t>
            </w:r>
            <w:r w:rsidRPr="00A54D6F">
              <w:rPr>
                <w:rFonts w:ascii="Times New Roman" w:hAnsi="Times New Roman"/>
                <w:sz w:val="24"/>
                <w:szCs w:val="24"/>
              </w:rPr>
              <w:softHyphen/>
              <w:t xml:space="preserve">ния МГУ им. М.В. Ломоносова, </w:t>
            </w: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Pr="00A54D6F">
              <w:rPr>
                <w:rFonts w:ascii="Times New Roman" w:hAnsi="Times New Roman"/>
                <w:sz w:val="24"/>
                <w:szCs w:val="24"/>
              </w:rPr>
              <w:t xml:space="preserve"> кафед</w:t>
            </w:r>
            <w:r w:rsidRPr="00A54D6F">
              <w:rPr>
                <w:rFonts w:ascii="Times New Roman" w:hAnsi="Times New Roman"/>
                <w:sz w:val="24"/>
                <w:szCs w:val="24"/>
              </w:rPr>
              <w:softHyphen/>
              <w:t>ры ревматологии РМАПО</w:t>
            </w:r>
          </w:p>
        </w:tc>
        <w:tc>
          <w:tcPr>
            <w:tcW w:w="5898" w:type="dxa"/>
          </w:tcPr>
          <w:p w:rsidR="00F43CEA" w:rsidRPr="00FF4EFB" w:rsidRDefault="00F43CEA" w:rsidP="00DF3535">
            <w:pPr>
              <w:spacing w:line="240" w:lineRule="auto"/>
              <w:ind w:left="186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5E">
              <w:rPr>
                <w:rFonts w:ascii="Times New Roman" w:hAnsi="Times New Roman"/>
                <w:sz w:val="24"/>
                <w:szCs w:val="24"/>
              </w:rPr>
              <w:t>Е.И. Полубенцева</w:t>
            </w:r>
          </w:p>
        </w:tc>
      </w:tr>
      <w:tr w:rsidR="00F43CEA" w:rsidRPr="0019095E">
        <w:trPr>
          <w:trHeight w:val="625"/>
          <w:tblCellSpacing w:w="15" w:type="dxa"/>
          <w:jc w:val="center"/>
        </w:trPr>
        <w:tc>
          <w:tcPr>
            <w:tcW w:w="4478" w:type="dxa"/>
          </w:tcPr>
          <w:p w:rsidR="00F43CEA" w:rsidRPr="0019095E" w:rsidRDefault="00F43CEA" w:rsidP="00DF35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E7C98">
              <w:rPr>
                <w:rFonts w:ascii="Times New Roman" w:hAnsi="Times New Roman"/>
                <w:sz w:val="24"/>
                <w:szCs w:val="24"/>
              </w:rPr>
              <w:t>едущий научный сотрудник ООО «КМК»</w:t>
            </w:r>
          </w:p>
        </w:tc>
        <w:tc>
          <w:tcPr>
            <w:tcW w:w="5898" w:type="dxa"/>
          </w:tcPr>
          <w:p w:rsidR="00F43CEA" w:rsidRPr="00FF4EFB" w:rsidRDefault="00F43CEA" w:rsidP="00DF3535">
            <w:pPr>
              <w:spacing w:line="360" w:lineRule="auto"/>
              <w:ind w:left="186" w:hanging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EFB">
              <w:rPr>
                <w:rFonts w:ascii="Times New Roman" w:hAnsi="Times New Roman"/>
                <w:sz w:val="24"/>
                <w:szCs w:val="24"/>
              </w:rPr>
              <w:t>К.И. Сайткулов</w:t>
            </w:r>
          </w:p>
        </w:tc>
      </w:tr>
    </w:tbl>
    <w:p w:rsidR="00F43CEA" w:rsidRPr="0019095E" w:rsidRDefault="00F43CEA" w:rsidP="00F43CEA">
      <w:pPr>
        <w:rPr>
          <w:rFonts w:ascii="Times New Roman" w:hAnsi="Times New Roman"/>
          <w:sz w:val="24"/>
          <w:szCs w:val="24"/>
        </w:rPr>
      </w:pPr>
    </w:p>
    <w:p w:rsidR="00F43CEA" w:rsidRPr="004E329B" w:rsidRDefault="00F43CEA" w:rsidP="00F43CEA">
      <w:pPr>
        <w:pStyle w:val="5"/>
        <w:widowControl w:val="0"/>
        <w:rPr>
          <w:sz w:val="24"/>
          <w:szCs w:val="24"/>
        </w:rPr>
      </w:pPr>
    </w:p>
    <w:p w:rsidR="006A4659" w:rsidRPr="000678C5" w:rsidRDefault="006A4659" w:rsidP="00E94F9D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A4659" w:rsidRPr="000678C5" w:rsidRDefault="006A4659" w:rsidP="00E94F9D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A4659" w:rsidRPr="000678C5" w:rsidRDefault="006A4659" w:rsidP="00E94F9D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94F9D" w:rsidRPr="000678C5" w:rsidRDefault="00E94F9D" w:rsidP="00F43CE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br w:type="page"/>
        <w:t>РЕФЕРАТ</w:t>
      </w:r>
    </w:p>
    <w:p w:rsidR="00DD0C76" w:rsidRPr="000678C5" w:rsidRDefault="00DD0C76" w:rsidP="00EF53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 w:rsidR="002420A7">
        <w:rPr>
          <w:rFonts w:ascii="Times New Roman" w:hAnsi="Times New Roman"/>
          <w:sz w:val="24"/>
          <w:szCs w:val="24"/>
        </w:rPr>
        <w:t>40</w:t>
      </w:r>
      <w:r w:rsidRPr="000678C5">
        <w:rPr>
          <w:rFonts w:ascii="Times New Roman" w:hAnsi="Times New Roman"/>
          <w:sz w:val="24"/>
          <w:szCs w:val="24"/>
        </w:rPr>
        <w:t xml:space="preserve"> с., 1 ч., </w:t>
      </w:r>
      <w:r w:rsidR="00BC6FAC">
        <w:rPr>
          <w:rFonts w:ascii="Times New Roman" w:hAnsi="Times New Roman"/>
          <w:sz w:val="24"/>
          <w:szCs w:val="24"/>
        </w:rPr>
        <w:t xml:space="preserve">1 табл., </w:t>
      </w:r>
      <w:r w:rsidR="00CD5944">
        <w:rPr>
          <w:rFonts w:ascii="Times New Roman" w:hAnsi="Times New Roman"/>
          <w:sz w:val="24"/>
          <w:szCs w:val="24"/>
        </w:rPr>
        <w:t>13</w:t>
      </w:r>
      <w:r w:rsidR="00CD5944" w:rsidRPr="000678C5">
        <w:rPr>
          <w:rFonts w:ascii="Times New Roman" w:hAnsi="Times New Roman"/>
          <w:sz w:val="24"/>
          <w:szCs w:val="24"/>
        </w:rPr>
        <w:t xml:space="preserve"> </w:t>
      </w:r>
      <w:r w:rsidRPr="000678C5">
        <w:rPr>
          <w:rFonts w:ascii="Times New Roman" w:hAnsi="Times New Roman"/>
          <w:sz w:val="24"/>
          <w:szCs w:val="24"/>
        </w:rPr>
        <w:t xml:space="preserve">источников, </w:t>
      </w:r>
      <w:r w:rsidR="000478CD">
        <w:rPr>
          <w:rFonts w:ascii="Times New Roman" w:hAnsi="Times New Roman"/>
          <w:sz w:val="24"/>
          <w:szCs w:val="24"/>
        </w:rPr>
        <w:t>7</w:t>
      </w:r>
      <w:r w:rsidRPr="000678C5">
        <w:rPr>
          <w:rFonts w:ascii="Times New Roman" w:hAnsi="Times New Roman"/>
          <w:sz w:val="24"/>
          <w:szCs w:val="24"/>
        </w:rPr>
        <w:t xml:space="preserve"> прил.</w:t>
      </w:r>
    </w:p>
    <w:p w:rsidR="00DD0C76" w:rsidRPr="000678C5" w:rsidRDefault="000478CD" w:rsidP="00EF53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АТС/DDD-анализ</w:t>
      </w:r>
      <w:r w:rsidR="00DD0C76" w:rsidRPr="000678C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индикаторный анализ</w:t>
      </w:r>
      <w:r w:rsidR="00DD0C76" w:rsidRPr="000678C5">
        <w:rPr>
          <w:rFonts w:ascii="Times New Roman" w:hAnsi="Times New Roman"/>
          <w:sz w:val="24"/>
          <w:szCs w:val="24"/>
        </w:rPr>
        <w:t xml:space="preserve">, фармако-эпидемиологический метод, </w:t>
      </w:r>
      <w:r>
        <w:rPr>
          <w:rFonts w:ascii="Times New Roman" w:hAnsi="Times New Roman"/>
          <w:sz w:val="24"/>
          <w:szCs w:val="24"/>
        </w:rPr>
        <w:t>а</w:t>
      </w:r>
      <w:r w:rsidRPr="000478CD">
        <w:rPr>
          <w:rFonts w:ascii="Times New Roman" w:hAnsi="Times New Roman"/>
          <w:sz w:val="24"/>
          <w:szCs w:val="24"/>
        </w:rPr>
        <w:t>нализ потребления отечественных/импортных лекарственных средств</w:t>
      </w:r>
      <w:r>
        <w:rPr>
          <w:rFonts w:ascii="Times New Roman" w:hAnsi="Times New Roman"/>
          <w:sz w:val="24"/>
          <w:szCs w:val="24"/>
        </w:rPr>
        <w:t>, анализ по Модельному списку ВОЗ,</w:t>
      </w:r>
      <w:r w:rsidRPr="000478CD">
        <w:rPr>
          <w:rFonts w:ascii="Times New Roman" w:hAnsi="Times New Roman"/>
          <w:sz w:val="24"/>
          <w:szCs w:val="24"/>
        </w:rPr>
        <w:t xml:space="preserve"> </w:t>
      </w:r>
      <w:r w:rsidR="00DD0C76" w:rsidRPr="000678C5">
        <w:rPr>
          <w:rFonts w:ascii="Times New Roman" w:hAnsi="Times New Roman"/>
          <w:sz w:val="24"/>
          <w:szCs w:val="24"/>
        </w:rPr>
        <w:t>Дополнительное ле</w:t>
      </w:r>
      <w:r>
        <w:rPr>
          <w:rFonts w:ascii="Times New Roman" w:hAnsi="Times New Roman"/>
          <w:sz w:val="24"/>
          <w:szCs w:val="24"/>
        </w:rPr>
        <w:t>карственное обеспечение</w:t>
      </w:r>
    </w:p>
    <w:p w:rsidR="00EF53B0" w:rsidRPr="000678C5" w:rsidRDefault="00EF53B0" w:rsidP="00EF53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Объектом исследования является </w:t>
      </w:r>
      <w:r w:rsidR="000F5B71">
        <w:rPr>
          <w:rFonts w:ascii="Times New Roman" w:hAnsi="Times New Roman"/>
          <w:sz w:val="24"/>
          <w:szCs w:val="24"/>
        </w:rPr>
        <w:t xml:space="preserve">использование лекарственных средств в системе Дополнительного лекарственного обеспечения и </w:t>
      </w:r>
      <w:r w:rsidR="000F5B71" w:rsidRPr="000678C5">
        <w:rPr>
          <w:rFonts w:ascii="Times New Roman" w:hAnsi="Times New Roman"/>
          <w:sz w:val="24"/>
          <w:szCs w:val="24"/>
        </w:rPr>
        <w:t>структура</w:t>
      </w:r>
      <w:r w:rsidR="000F5B71" w:rsidRPr="000F5B71">
        <w:rPr>
          <w:rFonts w:ascii="Times New Roman" w:hAnsi="Times New Roman"/>
          <w:sz w:val="24"/>
          <w:szCs w:val="24"/>
        </w:rPr>
        <w:t xml:space="preserve"> </w:t>
      </w:r>
      <w:r w:rsidRPr="000678C5">
        <w:rPr>
          <w:rFonts w:ascii="Times New Roman" w:hAnsi="Times New Roman"/>
          <w:sz w:val="24"/>
          <w:szCs w:val="24"/>
        </w:rPr>
        <w:t>расходов бюджетных средств на Дополнительное лекарственное обеспечение.</w:t>
      </w:r>
    </w:p>
    <w:p w:rsidR="00EF53B0" w:rsidRPr="000678C5" w:rsidRDefault="00EF53B0" w:rsidP="00EF53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Цель работы — разработка методологии анализа </w:t>
      </w:r>
      <w:r w:rsidR="000F5B71">
        <w:rPr>
          <w:rFonts w:ascii="Times New Roman" w:hAnsi="Times New Roman"/>
          <w:sz w:val="24"/>
          <w:szCs w:val="24"/>
        </w:rPr>
        <w:t xml:space="preserve">использования лекарственных средств различных фармакологических групп в системе Дополнительного лекарственного обеспечения и </w:t>
      </w:r>
      <w:r w:rsidRPr="000678C5">
        <w:rPr>
          <w:rFonts w:ascii="Times New Roman" w:hAnsi="Times New Roman"/>
          <w:sz w:val="24"/>
          <w:szCs w:val="24"/>
        </w:rPr>
        <w:t xml:space="preserve">расходов </w:t>
      </w:r>
      <w:r w:rsidR="000F5B71">
        <w:rPr>
          <w:rFonts w:ascii="Times New Roman" w:hAnsi="Times New Roman"/>
          <w:sz w:val="24"/>
          <w:szCs w:val="24"/>
        </w:rPr>
        <w:t xml:space="preserve">финансовых </w:t>
      </w:r>
      <w:r w:rsidRPr="000678C5">
        <w:rPr>
          <w:rFonts w:ascii="Times New Roman" w:hAnsi="Times New Roman"/>
          <w:sz w:val="24"/>
          <w:szCs w:val="24"/>
        </w:rPr>
        <w:t xml:space="preserve">средств на </w:t>
      </w:r>
      <w:r w:rsidR="000F5B71">
        <w:rPr>
          <w:rFonts w:ascii="Times New Roman" w:hAnsi="Times New Roman"/>
          <w:sz w:val="24"/>
          <w:szCs w:val="24"/>
        </w:rPr>
        <w:t>них</w:t>
      </w:r>
      <w:r w:rsidRPr="000678C5">
        <w:rPr>
          <w:rFonts w:ascii="Times New Roman" w:hAnsi="Times New Roman"/>
          <w:sz w:val="24"/>
          <w:szCs w:val="24"/>
        </w:rPr>
        <w:t xml:space="preserve"> в информационно-аналитической системе ФФОМС.</w:t>
      </w:r>
    </w:p>
    <w:p w:rsidR="00EF53B0" w:rsidRPr="000678C5" w:rsidRDefault="00EF53B0" w:rsidP="00EF53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В процессе работы проводился обзор литературы по методологии анализа </w:t>
      </w:r>
      <w:r w:rsidR="000F5B71">
        <w:rPr>
          <w:rFonts w:ascii="Times New Roman" w:hAnsi="Times New Roman"/>
          <w:sz w:val="24"/>
          <w:szCs w:val="24"/>
        </w:rPr>
        <w:t xml:space="preserve">использования лекарственных средств и </w:t>
      </w:r>
      <w:r w:rsidRPr="000678C5">
        <w:rPr>
          <w:rFonts w:ascii="Times New Roman" w:hAnsi="Times New Roman"/>
          <w:sz w:val="24"/>
          <w:szCs w:val="24"/>
        </w:rPr>
        <w:t xml:space="preserve">расходов средств </w:t>
      </w:r>
      <w:r w:rsidR="000F5B71">
        <w:rPr>
          <w:rFonts w:ascii="Times New Roman" w:hAnsi="Times New Roman"/>
          <w:sz w:val="24"/>
          <w:szCs w:val="24"/>
        </w:rPr>
        <w:t xml:space="preserve">государственного бюджета </w:t>
      </w:r>
      <w:r w:rsidRPr="000678C5">
        <w:rPr>
          <w:rFonts w:ascii="Times New Roman" w:hAnsi="Times New Roman"/>
          <w:sz w:val="24"/>
          <w:szCs w:val="24"/>
        </w:rPr>
        <w:t>на лекарственное обеспечение, разработка необходимой справочной информации для информационно-аналитической системы ФФОМС.</w:t>
      </w:r>
    </w:p>
    <w:p w:rsidR="00EF53B0" w:rsidRPr="000678C5" w:rsidRDefault="00EF53B0" w:rsidP="00EF53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В результате работы впервые были присвоены </w:t>
      </w:r>
      <w:r w:rsidR="000478CD">
        <w:rPr>
          <w:rFonts w:ascii="Times New Roman" w:hAnsi="Times New Roman"/>
          <w:sz w:val="24"/>
          <w:szCs w:val="24"/>
        </w:rPr>
        <w:t>АТС-коды, DDD, страна производитель, принадлежность к Модельному списку ВОЗ, основные индикаторы ВОЗ</w:t>
      </w:r>
      <w:r w:rsidRPr="000678C5">
        <w:rPr>
          <w:rFonts w:ascii="Times New Roman" w:hAnsi="Times New Roman"/>
          <w:sz w:val="24"/>
          <w:szCs w:val="24"/>
        </w:rPr>
        <w:t xml:space="preserve"> всему перечню лекарственных средств, включенных в перечень ДЛО, проведены </w:t>
      </w:r>
      <w:r w:rsidR="000478CD">
        <w:rPr>
          <w:rFonts w:ascii="Times New Roman" w:hAnsi="Times New Roman"/>
          <w:sz w:val="24"/>
          <w:szCs w:val="24"/>
        </w:rPr>
        <w:t>АТС/DDD-анализ</w:t>
      </w:r>
      <w:r w:rsidR="000478CD" w:rsidRPr="000678C5">
        <w:rPr>
          <w:rFonts w:ascii="Times New Roman" w:hAnsi="Times New Roman"/>
          <w:sz w:val="24"/>
          <w:szCs w:val="24"/>
        </w:rPr>
        <w:t xml:space="preserve">, </w:t>
      </w:r>
      <w:r w:rsidR="000478CD">
        <w:rPr>
          <w:rFonts w:ascii="Times New Roman" w:hAnsi="Times New Roman"/>
          <w:sz w:val="24"/>
          <w:szCs w:val="24"/>
        </w:rPr>
        <w:t>индикаторный анализ</w:t>
      </w:r>
      <w:r w:rsidR="000478CD" w:rsidRPr="000678C5">
        <w:rPr>
          <w:rFonts w:ascii="Times New Roman" w:hAnsi="Times New Roman"/>
          <w:sz w:val="24"/>
          <w:szCs w:val="24"/>
        </w:rPr>
        <w:t xml:space="preserve">, </w:t>
      </w:r>
      <w:r w:rsidR="000478CD">
        <w:rPr>
          <w:rFonts w:ascii="Times New Roman" w:hAnsi="Times New Roman"/>
          <w:sz w:val="24"/>
          <w:szCs w:val="24"/>
        </w:rPr>
        <w:t>а</w:t>
      </w:r>
      <w:r w:rsidR="000478CD" w:rsidRPr="000478CD">
        <w:rPr>
          <w:rFonts w:ascii="Times New Roman" w:hAnsi="Times New Roman"/>
          <w:sz w:val="24"/>
          <w:szCs w:val="24"/>
        </w:rPr>
        <w:t>нализ потребления отечественных/импортных лекарственных средств</w:t>
      </w:r>
      <w:r w:rsidR="000478CD">
        <w:rPr>
          <w:rFonts w:ascii="Times New Roman" w:hAnsi="Times New Roman"/>
          <w:sz w:val="24"/>
          <w:szCs w:val="24"/>
        </w:rPr>
        <w:t>, анализ по принадлежности Модельному списку ВОЗ</w:t>
      </w:r>
      <w:r w:rsidRPr="000678C5">
        <w:rPr>
          <w:rFonts w:ascii="Times New Roman" w:hAnsi="Times New Roman"/>
          <w:sz w:val="24"/>
          <w:szCs w:val="24"/>
        </w:rPr>
        <w:t xml:space="preserve"> для определения структуры расходов на лекарственные средства в рамках всей страны в системе Дополнительного лекарственного обеспечения.</w:t>
      </w:r>
    </w:p>
    <w:p w:rsidR="00EF53B0" w:rsidRPr="000678C5" w:rsidRDefault="00EF53B0" w:rsidP="00EF53B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Эффективность </w:t>
      </w:r>
      <w:r w:rsidR="000F5B71">
        <w:rPr>
          <w:rFonts w:ascii="Times New Roman" w:hAnsi="Times New Roman"/>
          <w:sz w:val="24"/>
          <w:szCs w:val="24"/>
        </w:rPr>
        <w:t xml:space="preserve">разработанной методологии </w:t>
      </w:r>
      <w:r w:rsidRPr="000678C5">
        <w:rPr>
          <w:rFonts w:ascii="Times New Roman" w:hAnsi="Times New Roman"/>
          <w:sz w:val="24"/>
          <w:szCs w:val="24"/>
        </w:rPr>
        <w:t>определяется высокой информативностью, что в дальнейшем позволит оптимизировать перечень лекарственных средств в системе ДЛО для повышения качества оказываемой лекарственной помощи и одновременного снижения затрат на нее, экономичностью.</w:t>
      </w:r>
    </w:p>
    <w:p w:rsidR="00E94F9D" w:rsidRPr="000678C5" w:rsidRDefault="00E94F9D" w:rsidP="000678C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br w:type="page"/>
        <w:t>СОДЕРЖАНИЕ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28"/>
        <w:gridCol w:w="643"/>
      </w:tblGrid>
      <w:tr w:rsidR="00DB7C2C" w:rsidRPr="000678C5">
        <w:tc>
          <w:tcPr>
            <w:tcW w:w="8928" w:type="dxa"/>
          </w:tcPr>
          <w:p w:rsidR="00DB7C2C" w:rsidRPr="000678C5" w:rsidRDefault="00DB7C2C" w:rsidP="00E94F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Список исполнителей</w:t>
            </w:r>
          </w:p>
        </w:tc>
        <w:tc>
          <w:tcPr>
            <w:tcW w:w="643" w:type="dxa"/>
          </w:tcPr>
          <w:p w:rsidR="00DB7C2C" w:rsidRPr="000678C5" w:rsidRDefault="00DB7C2C" w:rsidP="00DB7C2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7C2C" w:rsidRPr="000678C5">
        <w:tc>
          <w:tcPr>
            <w:tcW w:w="8928" w:type="dxa"/>
          </w:tcPr>
          <w:p w:rsidR="00DB7C2C" w:rsidRPr="000678C5" w:rsidRDefault="00DB7C2C" w:rsidP="00E94F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643" w:type="dxa"/>
          </w:tcPr>
          <w:p w:rsidR="00DB7C2C" w:rsidRPr="000678C5" w:rsidRDefault="00DB7C2C" w:rsidP="00DB7C2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7C2C" w:rsidRPr="000678C5">
        <w:tc>
          <w:tcPr>
            <w:tcW w:w="8928" w:type="dxa"/>
          </w:tcPr>
          <w:p w:rsidR="00DB7C2C" w:rsidRPr="000678C5" w:rsidRDefault="00DB7C2C" w:rsidP="00E94F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43" w:type="dxa"/>
          </w:tcPr>
          <w:p w:rsidR="00DB7C2C" w:rsidRPr="000678C5" w:rsidRDefault="00DB7C2C" w:rsidP="00DB7C2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7C2C" w:rsidRPr="000678C5">
        <w:tc>
          <w:tcPr>
            <w:tcW w:w="8928" w:type="dxa"/>
          </w:tcPr>
          <w:p w:rsidR="00DB7C2C" w:rsidRPr="000678C5" w:rsidRDefault="00DB7C2C" w:rsidP="00E94F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Определения, обозначения и сокращения</w:t>
            </w:r>
          </w:p>
        </w:tc>
        <w:tc>
          <w:tcPr>
            <w:tcW w:w="643" w:type="dxa"/>
          </w:tcPr>
          <w:p w:rsidR="00DB7C2C" w:rsidRPr="000678C5" w:rsidRDefault="00DB7C2C" w:rsidP="00DB7C2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B7C2C" w:rsidRPr="000678C5">
        <w:tc>
          <w:tcPr>
            <w:tcW w:w="8928" w:type="dxa"/>
          </w:tcPr>
          <w:p w:rsidR="00DB7C2C" w:rsidRPr="000678C5" w:rsidRDefault="00DB7C2C" w:rsidP="00E94F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643" w:type="dxa"/>
          </w:tcPr>
          <w:p w:rsidR="00DB7C2C" w:rsidRPr="000678C5" w:rsidRDefault="00DB7C2C" w:rsidP="00DB7C2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7C2C" w:rsidRPr="000678C5">
        <w:tc>
          <w:tcPr>
            <w:tcW w:w="8928" w:type="dxa"/>
          </w:tcPr>
          <w:p w:rsidR="00DB7C2C" w:rsidRPr="000678C5" w:rsidRDefault="00DB7C2C" w:rsidP="00E94F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Основная часть</w:t>
            </w:r>
          </w:p>
        </w:tc>
        <w:tc>
          <w:tcPr>
            <w:tcW w:w="643" w:type="dxa"/>
          </w:tcPr>
          <w:p w:rsidR="00DB7C2C" w:rsidRPr="000678C5" w:rsidRDefault="000478CD" w:rsidP="00DB7C2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D0C76" w:rsidRPr="000678C5">
        <w:tc>
          <w:tcPr>
            <w:tcW w:w="8928" w:type="dxa"/>
          </w:tcPr>
          <w:p w:rsidR="00DD0C76" w:rsidRPr="000678C5" w:rsidRDefault="00DD0C76" w:rsidP="00E94F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643" w:type="dxa"/>
          </w:tcPr>
          <w:p w:rsidR="00DD0C76" w:rsidRPr="006834DB" w:rsidRDefault="00CD5944" w:rsidP="00DB7C2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D0C76" w:rsidRPr="000678C5">
        <w:tc>
          <w:tcPr>
            <w:tcW w:w="8928" w:type="dxa"/>
          </w:tcPr>
          <w:p w:rsidR="00DD0C76" w:rsidRPr="000678C5" w:rsidRDefault="00DD0C76" w:rsidP="00E94F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643" w:type="dxa"/>
          </w:tcPr>
          <w:p w:rsidR="00DD0C76" w:rsidRPr="006834DB" w:rsidRDefault="00CD5944" w:rsidP="00DB7C2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78C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3FD8" w:rsidRPr="000678C5">
        <w:tc>
          <w:tcPr>
            <w:tcW w:w="8928" w:type="dxa"/>
          </w:tcPr>
          <w:p w:rsidR="00B63FD8" w:rsidRPr="000678C5" w:rsidRDefault="00B63FD8" w:rsidP="00E94F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56AEF">
              <w:rPr>
                <w:rFonts w:ascii="Times New Roman" w:hAnsi="Times New Roman"/>
                <w:sz w:val="24"/>
                <w:szCs w:val="24"/>
              </w:rPr>
              <w:t>Приложени</w:t>
            </w:r>
            <w:r w:rsidR="00AE5739" w:rsidRPr="00356AEF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43" w:type="dxa"/>
          </w:tcPr>
          <w:p w:rsidR="00B63FD8" w:rsidRPr="000678C5" w:rsidRDefault="00356AEF" w:rsidP="00DB7C2C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E94F9D" w:rsidRPr="000678C5" w:rsidRDefault="00E94F9D" w:rsidP="000678C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br w:type="page"/>
        <w:t>ОПРЕДЕЛЕНИЯ, ОБОЗНАЧЕНИЯ И СОКРАЩЕНИЯ</w:t>
      </w:r>
    </w:p>
    <w:p w:rsidR="00DB7C2C" w:rsidRPr="000678C5" w:rsidRDefault="000478CD" w:rsidP="00E94F9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ATC</w:t>
      </w:r>
      <w:r w:rsidR="00DB7C2C" w:rsidRPr="000678C5">
        <w:rPr>
          <w:rFonts w:ascii="Times New Roman" w:hAnsi="Times New Roman"/>
          <w:sz w:val="24"/>
          <w:szCs w:val="24"/>
        </w:rPr>
        <w:t xml:space="preserve"> —</w:t>
      </w:r>
      <w:r>
        <w:rPr>
          <w:rFonts w:ascii="Times New Roman" w:hAnsi="Times New Roman"/>
          <w:sz w:val="24"/>
          <w:szCs w:val="24"/>
        </w:rPr>
        <w:t xml:space="preserve"> Anatomical, Therapeutical Chemical, Анатом</w:t>
      </w:r>
      <w:r w:rsidR="00407947">
        <w:rPr>
          <w:rFonts w:ascii="Times New Roman" w:hAnsi="Times New Roman"/>
          <w:sz w:val="24"/>
          <w:szCs w:val="24"/>
        </w:rPr>
        <w:t>ическая</w:t>
      </w:r>
      <w:r>
        <w:rPr>
          <w:rFonts w:ascii="Times New Roman" w:hAnsi="Times New Roman"/>
          <w:sz w:val="24"/>
          <w:szCs w:val="24"/>
        </w:rPr>
        <w:t>-терапевтическая химическая классификация</w:t>
      </w:r>
      <w:r w:rsidR="00DB7C2C" w:rsidRPr="000678C5">
        <w:rPr>
          <w:rFonts w:ascii="Times New Roman" w:hAnsi="Times New Roman"/>
          <w:sz w:val="24"/>
          <w:szCs w:val="24"/>
        </w:rPr>
        <w:t>.</w:t>
      </w:r>
    </w:p>
    <w:p w:rsidR="00DB7C2C" w:rsidRPr="000678C5" w:rsidRDefault="000478CD" w:rsidP="00E94F9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DDD</w:t>
      </w:r>
      <w:r w:rsidRPr="00047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— defined daily dose</w:t>
      </w:r>
      <w:r w:rsidR="00DB7C2C" w:rsidRPr="000678C5">
        <w:rPr>
          <w:rFonts w:ascii="Times New Roman" w:hAnsi="Times New Roman"/>
          <w:sz w:val="24"/>
          <w:szCs w:val="24"/>
        </w:rPr>
        <w:t>.</w:t>
      </w:r>
    </w:p>
    <w:p w:rsidR="00DB7C2C" w:rsidRPr="000678C5" w:rsidRDefault="00DB7C2C" w:rsidP="00E94F9D">
      <w:pPr>
        <w:spacing w:line="360" w:lineRule="auto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ВОЗ — Всемирная Организация Здравоохранения</w:t>
      </w:r>
    </w:p>
    <w:p w:rsidR="00DB7C2C" w:rsidRPr="000678C5" w:rsidRDefault="00DB7C2C" w:rsidP="00E94F9D">
      <w:pPr>
        <w:spacing w:line="360" w:lineRule="auto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ДЛО — Дополнительное лекарственное обеспечение</w:t>
      </w:r>
    </w:p>
    <w:p w:rsidR="005A194E" w:rsidRPr="000678C5" w:rsidRDefault="005A194E" w:rsidP="005A194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ЛС </w:t>
      </w:r>
      <w:r w:rsidR="0042480A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 xml:space="preserve"> лекарственное средство</w:t>
      </w:r>
    </w:p>
    <w:p w:rsidR="00DB7C2C" w:rsidRPr="000678C5" w:rsidRDefault="00DB7C2C" w:rsidP="00E94F9D">
      <w:pPr>
        <w:spacing w:line="360" w:lineRule="auto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МНН — Международное непатентованное на</w:t>
      </w:r>
      <w:r w:rsidR="00407947">
        <w:rPr>
          <w:rFonts w:ascii="Times New Roman" w:hAnsi="Times New Roman"/>
          <w:sz w:val="24"/>
          <w:szCs w:val="24"/>
        </w:rPr>
        <w:t>именов</w:t>
      </w:r>
      <w:r w:rsidRPr="000678C5">
        <w:rPr>
          <w:rFonts w:ascii="Times New Roman" w:hAnsi="Times New Roman"/>
          <w:sz w:val="24"/>
          <w:szCs w:val="24"/>
        </w:rPr>
        <w:t>ание</w:t>
      </w:r>
    </w:p>
    <w:p w:rsidR="00EF53B0" w:rsidRPr="000678C5" w:rsidRDefault="00EF53B0" w:rsidP="00E94F9D">
      <w:pPr>
        <w:spacing w:line="360" w:lineRule="auto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ОМС — обязательное медицинское страхование</w:t>
      </w:r>
    </w:p>
    <w:p w:rsidR="00DB7C2C" w:rsidRPr="000678C5" w:rsidRDefault="00DB7C2C" w:rsidP="00E94F9D">
      <w:pPr>
        <w:spacing w:line="360" w:lineRule="auto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ТН — Торговое название</w:t>
      </w:r>
    </w:p>
    <w:p w:rsidR="00EF53B0" w:rsidRDefault="00EF53B0" w:rsidP="00E94F9D">
      <w:pPr>
        <w:spacing w:line="360" w:lineRule="auto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ФФОМС — Федеральный фонд обязательного медицинского страхования</w:t>
      </w:r>
    </w:p>
    <w:p w:rsidR="006A4659" w:rsidRPr="000678C5" w:rsidRDefault="00E94F9D" w:rsidP="000678C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br w:type="page"/>
      </w:r>
      <w:r w:rsidR="006A4659" w:rsidRPr="000678C5">
        <w:rPr>
          <w:rFonts w:ascii="Times New Roman" w:hAnsi="Times New Roman"/>
          <w:sz w:val="24"/>
          <w:szCs w:val="24"/>
        </w:rPr>
        <w:t>В</w:t>
      </w:r>
      <w:r w:rsidRPr="000678C5">
        <w:rPr>
          <w:rFonts w:ascii="Times New Roman" w:hAnsi="Times New Roman"/>
          <w:sz w:val="24"/>
          <w:szCs w:val="24"/>
        </w:rPr>
        <w:t>ВЕДЕНИЕ</w:t>
      </w:r>
    </w:p>
    <w:p w:rsidR="00D97DD4" w:rsidRPr="000678C5" w:rsidRDefault="00D97DD4" w:rsidP="00D97DD4">
      <w:pPr>
        <w:pStyle w:val="5"/>
        <w:spacing w:line="360" w:lineRule="auto"/>
        <w:ind w:firstLine="72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 xml:space="preserve">Программа ДЛО, вступившая в силу с </w:t>
      </w:r>
      <w:smartTag w:uri="urn:schemas-microsoft-com:office:smarttags" w:element="metricconverter">
        <w:smartTagPr>
          <w:attr w:name="ProductID" w:val="2005 г"/>
        </w:smartTagPr>
        <w:r w:rsidRPr="000678C5">
          <w:rPr>
            <w:color w:val="auto"/>
            <w:sz w:val="24"/>
            <w:szCs w:val="24"/>
          </w:rPr>
          <w:t>2005 г</w:t>
        </w:r>
      </w:smartTag>
      <w:r w:rsidRPr="000678C5">
        <w:rPr>
          <w:color w:val="auto"/>
          <w:sz w:val="24"/>
          <w:szCs w:val="24"/>
        </w:rPr>
        <w:t>., является важнейшим социально значимым государственным проектом, основная цель которого – снижение заболеваемости и смертности, повышение качества жизни людей и улучшение социального климата в обществе.</w:t>
      </w:r>
    </w:p>
    <w:p w:rsidR="00D97DD4" w:rsidRPr="000678C5" w:rsidRDefault="00D97DD4" w:rsidP="00D97DD4">
      <w:pPr>
        <w:pStyle w:val="5"/>
        <w:spacing w:line="360" w:lineRule="auto"/>
        <w:ind w:firstLine="72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 xml:space="preserve">В силу ряда обстоятельств, в выполнении программы в </w:t>
      </w:r>
      <w:smartTag w:uri="urn:schemas-microsoft-com:office:smarttags" w:element="metricconverter">
        <w:smartTagPr>
          <w:attr w:name="ProductID" w:val="2006 г"/>
        </w:smartTagPr>
        <w:r w:rsidRPr="000678C5">
          <w:rPr>
            <w:color w:val="auto"/>
            <w:sz w:val="24"/>
            <w:szCs w:val="24"/>
          </w:rPr>
          <w:t>2006 г</w:t>
        </w:r>
      </w:smartTag>
      <w:r w:rsidRPr="000678C5">
        <w:rPr>
          <w:color w:val="auto"/>
          <w:sz w:val="24"/>
          <w:szCs w:val="24"/>
        </w:rPr>
        <w:t>. произошел дефицит финансовых средств и выполнение программы было поставлено под угрозу. Бесперебойное функционирование программы критически важно, поскольку благодаря ней миллионы российских граждан получают доступ к лекарствам для лечения хронических заболеваний, требующих непрерывного использования лекарств.</w:t>
      </w:r>
    </w:p>
    <w:p w:rsidR="00D97DD4" w:rsidRPr="000678C5" w:rsidRDefault="00D97DD4" w:rsidP="00D97DD4">
      <w:pPr>
        <w:pStyle w:val="5"/>
        <w:spacing w:line="360" w:lineRule="auto"/>
        <w:ind w:firstLine="72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>Для оптимизации финансовых затрат на реализацию программы ДЛО необходимо добиться, чтобы лекарственные средства выписывались врачами строго по показаниям в соответствии с современными стандартами медицинской помощи (клиническими рекомендациями профессиональных медицинских обществ), а также с учетом федеральных стандартов медицинской помощи. При этом диагноз заболевания, для лечения которого бесплатно выписываются лекарства, должен быть достоверно установлен путем минимального необходимого объема диагностических мероприятий,</w:t>
      </w:r>
      <w:r w:rsidR="00E47315">
        <w:rPr>
          <w:color w:val="auto"/>
          <w:sz w:val="24"/>
          <w:szCs w:val="24"/>
        </w:rPr>
        <w:t xml:space="preserve"> </w:t>
      </w:r>
      <w:r w:rsidRPr="000678C5">
        <w:rPr>
          <w:color w:val="auto"/>
          <w:sz w:val="24"/>
          <w:szCs w:val="24"/>
        </w:rPr>
        <w:t>также регламентируемого медицинскими стандартами и клиническими рекомендациями. Для контроля правильност</w:t>
      </w:r>
      <w:r w:rsidR="00E47315">
        <w:rPr>
          <w:color w:val="auto"/>
          <w:sz w:val="24"/>
          <w:szCs w:val="24"/>
        </w:rPr>
        <w:t>и</w:t>
      </w:r>
      <w:r w:rsidRPr="000678C5">
        <w:rPr>
          <w:color w:val="auto"/>
          <w:sz w:val="24"/>
          <w:szCs w:val="24"/>
        </w:rPr>
        <w:t xml:space="preserve"> назначения лекарственных средств в программе ДЛО необходимо разработать и внедрить единую </w:t>
      </w:r>
      <w:r w:rsidR="00E47315" w:rsidRPr="000678C5">
        <w:rPr>
          <w:color w:val="auto"/>
          <w:sz w:val="24"/>
          <w:szCs w:val="24"/>
        </w:rPr>
        <w:t>метод</w:t>
      </w:r>
      <w:r w:rsidR="00E47315">
        <w:rPr>
          <w:color w:val="auto"/>
          <w:sz w:val="24"/>
          <w:szCs w:val="24"/>
        </w:rPr>
        <w:t>ологию комплексного клинико-фармакологического</w:t>
      </w:r>
      <w:r w:rsidR="00F24C22">
        <w:rPr>
          <w:color w:val="auto"/>
          <w:sz w:val="24"/>
          <w:szCs w:val="24"/>
        </w:rPr>
        <w:t xml:space="preserve"> (фармакоэпидемиологического)</w:t>
      </w:r>
      <w:r w:rsidR="00E47315">
        <w:rPr>
          <w:color w:val="auto"/>
          <w:sz w:val="24"/>
          <w:szCs w:val="24"/>
        </w:rPr>
        <w:t xml:space="preserve"> анализа и</w:t>
      </w:r>
      <w:r w:rsidR="00E47315" w:rsidRPr="000678C5">
        <w:rPr>
          <w:color w:val="auto"/>
          <w:sz w:val="24"/>
          <w:szCs w:val="24"/>
        </w:rPr>
        <w:t xml:space="preserve"> </w:t>
      </w:r>
      <w:r w:rsidR="00407947">
        <w:rPr>
          <w:color w:val="auto"/>
          <w:sz w:val="24"/>
          <w:szCs w:val="24"/>
        </w:rPr>
        <w:t>фармако</w:t>
      </w:r>
      <w:r w:rsidRPr="000678C5">
        <w:rPr>
          <w:color w:val="auto"/>
          <w:sz w:val="24"/>
          <w:szCs w:val="24"/>
        </w:rPr>
        <w:t xml:space="preserve">-экономической экспертизы качества </w:t>
      </w:r>
      <w:r w:rsidR="00E47315">
        <w:rPr>
          <w:color w:val="auto"/>
          <w:sz w:val="24"/>
          <w:szCs w:val="24"/>
        </w:rPr>
        <w:t>фармако</w:t>
      </w:r>
      <w:r w:rsidRPr="000678C5">
        <w:rPr>
          <w:color w:val="auto"/>
          <w:sz w:val="24"/>
          <w:szCs w:val="24"/>
        </w:rPr>
        <w:t>терапии заболеваний у лиц, имеющих право на получение государственной социальной помощи.</w:t>
      </w:r>
    </w:p>
    <w:p w:rsidR="00D97DD4" w:rsidRPr="000678C5" w:rsidRDefault="00D97DD4" w:rsidP="00D97DD4">
      <w:pPr>
        <w:pStyle w:val="5"/>
        <w:spacing w:line="360" w:lineRule="auto"/>
        <w:ind w:firstLine="72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 xml:space="preserve">Для ретроспективной оценки расходования ресурсов, выделяемых на лекарственное обеспечение, могут быть использованы следующие методы </w:t>
      </w:r>
      <w:r w:rsidR="00E47315">
        <w:rPr>
          <w:color w:val="auto"/>
          <w:sz w:val="24"/>
          <w:szCs w:val="24"/>
        </w:rPr>
        <w:t>клинико-фармакологического</w:t>
      </w:r>
      <w:r w:rsidR="00F24C22">
        <w:rPr>
          <w:color w:val="auto"/>
          <w:sz w:val="24"/>
          <w:szCs w:val="24"/>
        </w:rPr>
        <w:t xml:space="preserve"> (фармакоэпидемиологического)</w:t>
      </w:r>
      <w:r w:rsidR="00E47315">
        <w:rPr>
          <w:color w:val="auto"/>
          <w:sz w:val="24"/>
          <w:szCs w:val="24"/>
        </w:rPr>
        <w:t xml:space="preserve"> </w:t>
      </w:r>
      <w:r w:rsidRPr="000678C5">
        <w:rPr>
          <w:color w:val="auto"/>
          <w:sz w:val="24"/>
          <w:szCs w:val="24"/>
        </w:rPr>
        <w:t>анализа использования лекарственных средств: ATC/DDD-анализ, индикаторный анализ, рекомендованный Всемирной Организацией Здравоохранения, анализ потребления отечественных и импортных лекарственных средств</w:t>
      </w:r>
      <w:r w:rsidR="00E47315">
        <w:rPr>
          <w:color w:val="auto"/>
          <w:sz w:val="24"/>
          <w:szCs w:val="24"/>
        </w:rPr>
        <w:t xml:space="preserve"> с расчетом затрат</w:t>
      </w:r>
      <w:r w:rsidRPr="000678C5">
        <w:rPr>
          <w:color w:val="auto"/>
          <w:sz w:val="24"/>
          <w:szCs w:val="24"/>
        </w:rPr>
        <w:t xml:space="preserve">. Эти же разновидности </w:t>
      </w:r>
      <w:r w:rsidR="00E47315">
        <w:rPr>
          <w:color w:val="auto"/>
          <w:sz w:val="24"/>
          <w:szCs w:val="24"/>
        </w:rPr>
        <w:t xml:space="preserve">клинико-фармакологического </w:t>
      </w:r>
      <w:r w:rsidRPr="000678C5">
        <w:rPr>
          <w:color w:val="auto"/>
          <w:sz w:val="24"/>
          <w:szCs w:val="24"/>
        </w:rPr>
        <w:t>анализа могут быть использованы для расчета потребности в финансовых средствах.</w:t>
      </w:r>
    </w:p>
    <w:p w:rsidR="00D97DD4" w:rsidRPr="000678C5" w:rsidRDefault="00D97DD4" w:rsidP="00D97DD4">
      <w:pPr>
        <w:pStyle w:val="5"/>
        <w:spacing w:line="360" w:lineRule="auto"/>
        <w:ind w:firstLine="72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 xml:space="preserve">ATC/DDD-анализ </w:t>
      </w:r>
      <w:r w:rsidR="00AF6792">
        <w:rPr>
          <w:color w:val="auto"/>
          <w:sz w:val="24"/>
          <w:szCs w:val="24"/>
        </w:rPr>
        <w:t>—</w:t>
      </w:r>
      <w:r w:rsidR="00AF6792" w:rsidRPr="000678C5">
        <w:rPr>
          <w:color w:val="auto"/>
          <w:sz w:val="24"/>
          <w:szCs w:val="24"/>
        </w:rPr>
        <w:t xml:space="preserve"> </w:t>
      </w:r>
      <w:r w:rsidRPr="000678C5">
        <w:rPr>
          <w:color w:val="auto"/>
          <w:sz w:val="24"/>
          <w:szCs w:val="24"/>
        </w:rPr>
        <w:t>инструмент для проведения и представления результатов исследований, направленных на:</w:t>
      </w:r>
    </w:p>
    <w:p w:rsidR="00D97DD4" w:rsidRPr="000678C5" w:rsidRDefault="00D97DD4" w:rsidP="00D97DD4">
      <w:pPr>
        <w:pStyle w:val="5"/>
        <w:numPr>
          <w:ilvl w:val="0"/>
          <w:numId w:val="23"/>
        </w:numPr>
        <w:spacing w:line="360" w:lineRule="auto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>Оценку использования лекарственных средств</w:t>
      </w:r>
      <w:r w:rsidR="00407947">
        <w:rPr>
          <w:color w:val="auto"/>
          <w:sz w:val="24"/>
          <w:szCs w:val="24"/>
        </w:rPr>
        <w:t xml:space="preserve"> (ЛС)</w:t>
      </w:r>
    </w:p>
    <w:p w:rsidR="00D97DD4" w:rsidRPr="000678C5" w:rsidRDefault="00D97DD4" w:rsidP="00D97DD4">
      <w:pPr>
        <w:pStyle w:val="5"/>
        <w:numPr>
          <w:ilvl w:val="0"/>
          <w:numId w:val="23"/>
        </w:numPr>
        <w:tabs>
          <w:tab w:val="clear" w:pos="1440"/>
          <w:tab w:val="num" w:pos="1980"/>
        </w:tabs>
        <w:spacing w:line="360" w:lineRule="auto"/>
        <w:ind w:left="198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>На различных уровнях (стационар, регион, страна) и для различных пользователей (фармацевтические компании, регулирующие органы, клиницисты)</w:t>
      </w:r>
    </w:p>
    <w:p w:rsidR="00D97DD4" w:rsidRPr="000678C5" w:rsidRDefault="00D97DD4" w:rsidP="00D97DD4">
      <w:pPr>
        <w:pStyle w:val="5"/>
        <w:numPr>
          <w:ilvl w:val="0"/>
          <w:numId w:val="23"/>
        </w:numPr>
        <w:spacing w:line="360" w:lineRule="auto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>Улучшение качества использования</w:t>
      </w:r>
      <w:r w:rsidR="00407947">
        <w:rPr>
          <w:color w:val="auto"/>
          <w:sz w:val="24"/>
          <w:szCs w:val="24"/>
        </w:rPr>
        <w:t xml:space="preserve"> лекарственных средств</w:t>
      </w:r>
    </w:p>
    <w:p w:rsidR="00D97DD4" w:rsidRPr="000678C5" w:rsidRDefault="00407947" w:rsidP="00D97DD4">
      <w:pPr>
        <w:pStyle w:val="5"/>
        <w:numPr>
          <w:ilvl w:val="0"/>
          <w:numId w:val="23"/>
        </w:numPr>
        <w:tabs>
          <w:tab w:val="clear" w:pos="1440"/>
          <w:tab w:val="num" w:pos="1980"/>
        </w:tabs>
        <w:spacing w:line="360" w:lineRule="auto"/>
        <w:ind w:left="19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Посредством выявления п</w:t>
      </w:r>
      <w:r w:rsidR="00D97DD4" w:rsidRPr="000678C5">
        <w:rPr>
          <w:color w:val="auto"/>
          <w:sz w:val="24"/>
          <w:szCs w:val="24"/>
        </w:rPr>
        <w:t>роблем, связанны</w:t>
      </w:r>
      <w:r>
        <w:rPr>
          <w:color w:val="auto"/>
          <w:sz w:val="24"/>
          <w:szCs w:val="24"/>
        </w:rPr>
        <w:t>х</w:t>
      </w:r>
      <w:r w:rsidR="00D97DD4" w:rsidRPr="000678C5">
        <w:rPr>
          <w:color w:val="auto"/>
          <w:sz w:val="24"/>
          <w:szCs w:val="24"/>
        </w:rPr>
        <w:t xml:space="preserve"> с чрезмерным или недостаточным использованием</w:t>
      </w:r>
      <w:r>
        <w:rPr>
          <w:color w:val="auto"/>
          <w:sz w:val="24"/>
          <w:szCs w:val="24"/>
        </w:rPr>
        <w:t xml:space="preserve"> лекарств</w:t>
      </w:r>
      <w:r w:rsidR="00D97DD4" w:rsidRPr="000678C5">
        <w:rPr>
          <w:color w:val="auto"/>
          <w:sz w:val="24"/>
          <w:szCs w:val="24"/>
        </w:rPr>
        <w:t xml:space="preserve"> </w:t>
      </w:r>
    </w:p>
    <w:p w:rsidR="00D97DD4" w:rsidRPr="000678C5" w:rsidRDefault="00D97DD4" w:rsidP="00D97DD4">
      <w:pPr>
        <w:pStyle w:val="5"/>
        <w:numPr>
          <w:ilvl w:val="0"/>
          <w:numId w:val="23"/>
        </w:numPr>
        <w:spacing w:line="360" w:lineRule="auto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>Оценку безопасности ЛС</w:t>
      </w:r>
    </w:p>
    <w:p w:rsidR="00D97DD4" w:rsidRPr="000678C5" w:rsidRDefault="00D97DD4" w:rsidP="00D97DD4">
      <w:pPr>
        <w:pStyle w:val="5"/>
        <w:numPr>
          <w:ilvl w:val="0"/>
          <w:numId w:val="23"/>
        </w:numPr>
        <w:tabs>
          <w:tab w:val="clear" w:pos="1440"/>
          <w:tab w:val="num" w:pos="1980"/>
        </w:tabs>
        <w:spacing w:line="360" w:lineRule="auto"/>
        <w:ind w:left="198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>Сопоставление данных о потреблении и информации о НЛР позволяет оценить частоту их регистрации</w:t>
      </w:r>
    </w:p>
    <w:p w:rsidR="00D97DD4" w:rsidRPr="000678C5" w:rsidRDefault="00D97DD4" w:rsidP="00D97DD4">
      <w:pPr>
        <w:pStyle w:val="5"/>
        <w:spacing w:line="360" w:lineRule="auto"/>
        <w:ind w:firstLine="72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 xml:space="preserve">Индикаторный анализ позволит получить агрегированные сведения о рациональности использования лекарственных средств в амбулаторном лечении самых распространенных и наиболее затратных заболеваний. </w:t>
      </w:r>
    </w:p>
    <w:p w:rsidR="00902907" w:rsidRPr="000678C5" w:rsidRDefault="00D97DD4" w:rsidP="00D97DD4">
      <w:pPr>
        <w:pStyle w:val="5"/>
        <w:spacing w:line="360" w:lineRule="auto"/>
        <w:ind w:firstLine="72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>Анализ потребления отечественных и импортных лекарственных средств позвол</w:t>
      </w:r>
      <w:r w:rsidR="00F24C22">
        <w:rPr>
          <w:color w:val="auto"/>
          <w:sz w:val="24"/>
          <w:szCs w:val="24"/>
        </w:rPr>
        <w:t>ит</w:t>
      </w:r>
      <w:r w:rsidRPr="000678C5">
        <w:rPr>
          <w:color w:val="auto"/>
          <w:sz w:val="24"/>
          <w:szCs w:val="24"/>
        </w:rPr>
        <w:t xml:space="preserve"> учесть затраты на отечественные и импортные лекарственные средства.</w:t>
      </w:r>
    </w:p>
    <w:p w:rsidR="00D97DD4" w:rsidRPr="000678C5" w:rsidRDefault="00D97DD4" w:rsidP="00D97DD4">
      <w:pPr>
        <w:pStyle w:val="5"/>
        <w:spacing w:line="360" w:lineRule="auto"/>
        <w:ind w:firstLine="720"/>
        <w:rPr>
          <w:color w:val="auto"/>
          <w:sz w:val="24"/>
          <w:szCs w:val="24"/>
        </w:rPr>
      </w:pPr>
      <w:r w:rsidRPr="000678C5">
        <w:rPr>
          <w:color w:val="auto"/>
          <w:sz w:val="24"/>
          <w:szCs w:val="24"/>
        </w:rPr>
        <w:t xml:space="preserve">Анализ потребления лекарственных средств согласно Модельному списку Всемирной Организации Здравоохранения </w:t>
      </w:r>
      <w:r w:rsidR="00F24C22" w:rsidRPr="000678C5">
        <w:rPr>
          <w:color w:val="auto"/>
          <w:sz w:val="24"/>
          <w:szCs w:val="24"/>
        </w:rPr>
        <w:t>позвол</w:t>
      </w:r>
      <w:r w:rsidR="00F24C22">
        <w:rPr>
          <w:color w:val="auto"/>
          <w:sz w:val="24"/>
          <w:szCs w:val="24"/>
        </w:rPr>
        <w:t>ит</w:t>
      </w:r>
      <w:r w:rsidR="00F24C22" w:rsidRPr="000678C5">
        <w:rPr>
          <w:color w:val="auto"/>
          <w:sz w:val="24"/>
          <w:szCs w:val="24"/>
        </w:rPr>
        <w:t xml:space="preserve"> </w:t>
      </w:r>
      <w:r w:rsidR="00F24C22">
        <w:rPr>
          <w:color w:val="auto"/>
          <w:sz w:val="24"/>
          <w:szCs w:val="24"/>
        </w:rPr>
        <w:t>оценить</w:t>
      </w:r>
      <w:r w:rsidR="00F24C22" w:rsidRPr="000678C5">
        <w:rPr>
          <w:color w:val="auto"/>
          <w:sz w:val="24"/>
          <w:szCs w:val="24"/>
        </w:rPr>
        <w:t xml:space="preserve"> </w:t>
      </w:r>
      <w:r w:rsidRPr="000678C5">
        <w:rPr>
          <w:color w:val="auto"/>
          <w:sz w:val="24"/>
          <w:szCs w:val="24"/>
        </w:rPr>
        <w:t>потребление лекарственных средств, согласно рекомендациям ВОЗ.</w:t>
      </w:r>
    </w:p>
    <w:p w:rsidR="00E94F9D" w:rsidRPr="0040608E" w:rsidRDefault="00E94F9D" w:rsidP="00DB7C2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br w:type="page"/>
      </w:r>
      <w:r w:rsidRPr="0040608E">
        <w:rPr>
          <w:rFonts w:ascii="Times New Roman" w:hAnsi="Times New Roman"/>
          <w:b/>
          <w:sz w:val="24"/>
          <w:szCs w:val="24"/>
        </w:rPr>
        <w:t>ОСНОВНАЯ ЧАСТЬ</w:t>
      </w:r>
    </w:p>
    <w:p w:rsidR="0042480A" w:rsidRPr="0040608E" w:rsidRDefault="0042480A" w:rsidP="0042480A">
      <w:pPr>
        <w:pStyle w:val="5"/>
        <w:spacing w:line="360" w:lineRule="auto"/>
        <w:jc w:val="center"/>
        <w:rPr>
          <w:sz w:val="24"/>
          <w:szCs w:val="24"/>
        </w:rPr>
      </w:pPr>
      <w:r w:rsidRPr="0040608E">
        <w:rPr>
          <w:sz w:val="24"/>
          <w:szCs w:val="24"/>
        </w:rPr>
        <w:t>ФАРМАКОЭПИДЕМИОЛОГИЯ</w:t>
      </w:r>
    </w:p>
    <w:p w:rsidR="0042480A" w:rsidRDefault="0042480A" w:rsidP="0042480A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Фармакоэпидемиология — это наука, изучающая</w:t>
      </w:r>
      <w:r w:rsidRPr="0042480A"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>е</w:t>
      </w:r>
      <w:r w:rsidRPr="0042480A">
        <w:rPr>
          <w:sz w:val="24"/>
          <w:szCs w:val="24"/>
        </w:rPr>
        <w:t xml:space="preserve"> и эффективност</w:t>
      </w:r>
      <w:r>
        <w:rPr>
          <w:sz w:val="24"/>
          <w:szCs w:val="24"/>
        </w:rPr>
        <w:t>ь</w:t>
      </w:r>
      <w:r w:rsidRPr="0042480A">
        <w:rPr>
          <w:sz w:val="24"/>
          <w:szCs w:val="24"/>
        </w:rPr>
        <w:t xml:space="preserve"> лекарств</w:t>
      </w:r>
      <w:r>
        <w:rPr>
          <w:sz w:val="24"/>
          <w:szCs w:val="24"/>
        </w:rPr>
        <w:t xml:space="preserve">енных средств на больших выборках людей </w:t>
      </w:r>
      <w:r w:rsidRPr="0042480A">
        <w:rPr>
          <w:sz w:val="24"/>
          <w:szCs w:val="24"/>
        </w:rPr>
        <w:t>с целью обеспечения рационального использования лекарств и достижения (посредством этого) затратно-эффективного и безопасного применения лекарств в популяции.</w:t>
      </w:r>
    </w:p>
    <w:p w:rsidR="00AF4DF8" w:rsidRDefault="00AF4DF8" w:rsidP="00AF4DF8">
      <w:pPr>
        <w:pStyle w:val="5"/>
        <w:spacing w:line="360" w:lineRule="auto"/>
        <w:rPr>
          <w:sz w:val="24"/>
          <w:szCs w:val="24"/>
        </w:rPr>
      </w:pPr>
      <w:r w:rsidRPr="00AF4DF8">
        <w:rPr>
          <w:b/>
          <w:sz w:val="24"/>
          <w:szCs w:val="24"/>
        </w:rPr>
        <w:t>История</w:t>
      </w:r>
      <w:r>
        <w:rPr>
          <w:sz w:val="24"/>
          <w:szCs w:val="24"/>
        </w:rPr>
        <w:t xml:space="preserve">. </w:t>
      </w:r>
      <w:r w:rsidR="00A16AEB">
        <w:rPr>
          <w:sz w:val="24"/>
          <w:szCs w:val="24"/>
        </w:rPr>
        <w:t>Ш</w:t>
      </w:r>
      <w:r>
        <w:rPr>
          <w:sz w:val="24"/>
          <w:szCs w:val="24"/>
        </w:rPr>
        <w:t>ироко известная</w:t>
      </w:r>
      <w:r w:rsidRPr="00AF4DF8">
        <w:rPr>
          <w:sz w:val="24"/>
          <w:szCs w:val="24"/>
        </w:rPr>
        <w:t xml:space="preserve"> «талидомидовая» трагедия</w:t>
      </w:r>
      <w:r w:rsidR="00A16AEB">
        <w:rPr>
          <w:sz w:val="24"/>
          <w:szCs w:val="24"/>
        </w:rPr>
        <w:t xml:space="preserve"> 1969 года</w:t>
      </w:r>
      <w:r w:rsidR="00CD5944">
        <w:rPr>
          <w:sz w:val="24"/>
          <w:szCs w:val="24"/>
        </w:rPr>
        <w:t xml:space="preserve">, послужила </w:t>
      </w:r>
      <w:r w:rsidR="00A16AEB">
        <w:rPr>
          <w:sz w:val="24"/>
          <w:szCs w:val="24"/>
        </w:rPr>
        <w:t>толчком</w:t>
      </w:r>
      <w:r w:rsidR="00CD5944">
        <w:rPr>
          <w:sz w:val="24"/>
          <w:szCs w:val="24"/>
        </w:rPr>
        <w:t xml:space="preserve"> </w:t>
      </w:r>
      <w:r w:rsidR="00A16AEB">
        <w:rPr>
          <w:sz w:val="24"/>
          <w:szCs w:val="24"/>
        </w:rPr>
        <w:t xml:space="preserve">для начала исследований использования лекарств и </w:t>
      </w:r>
      <w:r w:rsidR="00CD5944">
        <w:rPr>
          <w:sz w:val="24"/>
          <w:szCs w:val="24"/>
        </w:rPr>
        <w:t>изучения влияния лекарственных средств на уровне популяции</w:t>
      </w:r>
      <w:r w:rsidR="004C32CB">
        <w:rPr>
          <w:sz w:val="24"/>
          <w:szCs w:val="24"/>
        </w:rPr>
        <w:t xml:space="preserve"> (фармакоэпидемиологии)</w:t>
      </w:r>
      <w:r w:rsidR="00CD5944">
        <w:rPr>
          <w:sz w:val="24"/>
          <w:szCs w:val="24"/>
        </w:rPr>
        <w:t>.</w:t>
      </w:r>
      <w:r>
        <w:rPr>
          <w:sz w:val="24"/>
          <w:szCs w:val="24"/>
        </w:rPr>
        <w:t xml:space="preserve"> В </w:t>
      </w:r>
      <w:r w:rsidRPr="00AF4DF8">
        <w:rPr>
          <w:sz w:val="24"/>
          <w:szCs w:val="24"/>
        </w:rPr>
        <w:t xml:space="preserve">1969 </w:t>
      </w:r>
      <w:r>
        <w:rPr>
          <w:sz w:val="24"/>
          <w:szCs w:val="24"/>
        </w:rPr>
        <w:t xml:space="preserve">году состоялся </w:t>
      </w:r>
      <w:r w:rsidRPr="00AF4DF8">
        <w:rPr>
          <w:sz w:val="24"/>
          <w:szCs w:val="24"/>
        </w:rPr>
        <w:t>симпозиум в Осло «Потребление лекарств»</w:t>
      </w:r>
      <w:r>
        <w:rPr>
          <w:sz w:val="24"/>
          <w:szCs w:val="24"/>
        </w:rPr>
        <w:t xml:space="preserve">, на котором была принята </w:t>
      </w:r>
      <w:r w:rsidRPr="00AF4DF8">
        <w:rPr>
          <w:sz w:val="24"/>
          <w:szCs w:val="24"/>
        </w:rPr>
        <w:t>международная классификационная система дл</w:t>
      </w:r>
      <w:r>
        <w:rPr>
          <w:sz w:val="24"/>
          <w:szCs w:val="24"/>
        </w:rPr>
        <w:t xml:space="preserve">я изучения потребления лекарств и сформирована </w:t>
      </w:r>
      <w:r w:rsidRPr="00AF4DF8">
        <w:rPr>
          <w:sz w:val="24"/>
          <w:szCs w:val="24"/>
        </w:rPr>
        <w:t>исследовательская группа по изучению использования лекарств</w:t>
      </w:r>
      <w:r>
        <w:rPr>
          <w:sz w:val="24"/>
          <w:szCs w:val="24"/>
        </w:rPr>
        <w:t xml:space="preserve"> (DURG). В </w:t>
      </w:r>
      <w:r w:rsidRPr="00AF4DF8">
        <w:rPr>
          <w:sz w:val="24"/>
          <w:szCs w:val="24"/>
        </w:rPr>
        <w:t xml:space="preserve">1972 </w:t>
      </w:r>
      <w:r>
        <w:rPr>
          <w:sz w:val="24"/>
          <w:szCs w:val="24"/>
        </w:rPr>
        <w:t>открыт</w:t>
      </w:r>
      <w:r w:rsidRPr="00AF4DF8">
        <w:rPr>
          <w:sz w:val="24"/>
          <w:szCs w:val="24"/>
        </w:rPr>
        <w:t xml:space="preserve"> Департамент клинической фармакологии в больнице Осло </w:t>
      </w:r>
      <w:r>
        <w:rPr>
          <w:sz w:val="24"/>
          <w:szCs w:val="24"/>
        </w:rPr>
        <w:t xml:space="preserve">на </w:t>
      </w:r>
      <w:r w:rsidRPr="00AF4DF8">
        <w:rPr>
          <w:sz w:val="24"/>
          <w:szCs w:val="24"/>
        </w:rPr>
        <w:t>1200 коек</w:t>
      </w:r>
      <w:r>
        <w:rPr>
          <w:sz w:val="24"/>
          <w:szCs w:val="24"/>
        </w:rPr>
        <w:t xml:space="preserve">. В </w:t>
      </w:r>
      <w:r w:rsidRPr="00AF4DF8">
        <w:rPr>
          <w:sz w:val="24"/>
          <w:szCs w:val="24"/>
        </w:rPr>
        <w:t xml:space="preserve">1981 </w:t>
      </w:r>
      <w:r>
        <w:rPr>
          <w:sz w:val="24"/>
          <w:szCs w:val="24"/>
        </w:rPr>
        <w:t>году созданы первые</w:t>
      </w:r>
      <w:r w:rsidRPr="00AF4DF8">
        <w:rPr>
          <w:sz w:val="24"/>
          <w:szCs w:val="24"/>
        </w:rPr>
        <w:t xml:space="preserve"> Рекомендации ВОЗ к международному использованию ATC/DDD методологии</w:t>
      </w:r>
      <w:r>
        <w:rPr>
          <w:sz w:val="24"/>
          <w:szCs w:val="24"/>
        </w:rPr>
        <w:t xml:space="preserve">, а в 1982 году в Осло начал работу </w:t>
      </w:r>
      <w:r w:rsidRPr="00AF4DF8">
        <w:rPr>
          <w:sz w:val="24"/>
          <w:szCs w:val="24"/>
        </w:rPr>
        <w:t xml:space="preserve">Сотрудничающий Центр ВОЗ по методологии статистики </w:t>
      </w:r>
      <w:r>
        <w:rPr>
          <w:sz w:val="24"/>
          <w:szCs w:val="24"/>
        </w:rPr>
        <w:t xml:space="preserve">в области лекарственных средств. С 1996 года началась </w:t>
      </w:r>
      <w:r w:rsidRPr="00AF4DF8">
        <w:rPr>
          <w:sz w:val="24"/>
          <w:szCs w:val="24"/>
        </w:rPr>
        <w:t>глобализация использования ATC/DDD системы</w:t>
      </w:r>
      <w:r>
        <w:rPr>
          <w:sz w:val="24"/>
          <w:szCs w:val="24"/>
        </w:rPr>
        <w:t>.</w:t>
      </w:r>
    </w:p>
    <w:p w:rsidR="00AF4DF8" w:rsidRPr="00AF4DF8" w:rsidRDefault="00AF4DF8" w:rsidP="00AF4DF8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 сегодняшний день </w:t>
      </w:r>
      <w:r w:rsidRPr="00AF4DF8">
        <w:rPr>
          <w:sz w:val="24"/>
          <w:szCs w:val="24"/>
        </w:rPr>
        <w:t>ATC/DDD</w:t>
      </w:r>
      <w:r>
        <w:rPr>
          <w:sz w:val="24"/>
          <w:szCs w:val="24"/>
        </w:rPr>
        <w:t>-</w:t>
      </w:r>
      <w:r w:rsidRPr="00AF4DF8">
        <w:rPr>
          <w:sz w:val="24"/>
          <w:szCs w:val="24"/>
        </w:rPr>
        <w:t>систем</w:t>
      </w:r>
      <w:r>
        <w:rPr>
          <w:sz w:val="24"/>
          <w:szCs w:val="24"/>
        </w:rPr>
        <w:t>а используется во многих странах мира для оценки потребления лекарственных средств, в том числе в странах Западной Европы.</w:t>
      </w:r>
    </w:p>
    <w:p w:rsidR="0042480A" w:rsidRDefault="0042480A" w:rsidP="0042480A">
      <w:pPr>
        <w:pStyle w:val="5"/>
        <w:spacing w:line="360" w:lineRule="auto"/>
        <w:rPr>
          <w:sz w:val="24"/>
          <w:szCs w:val="24"/>
        </w:rPr>
      </w:pPr>
      <w:r w:rsidRPr="0042480A">
        <w:rPr>
          <w:sz w:val="24"/>
          <w:szCs w:val="24"/>
        </w:rPr>
        <w:t>Фармакоэпидемиология</w:t>
      </w:r>
      <w:r w:rsidR="0040608E">
        <w:rPr>
          <w:sz w:val="24"/>
          <w:szCs w:val="24"/>
        </w:rPr>
        <w:t xml:space="preserve"> </w:t>
      </w:r>
      <w:r w:rsidR="00F24C22">
        <w:rPr>
          <w:sz w:val="24"/>
          <w:szCs w:val="24"/>
        </w:rPr>
        <w:t xml:space="preserve">позволяет полнее изучить </w:t>
      </w:r>
      <w:r w:rsidRPr="0042480A">
        <w:rPr>
          <w:sz w:val="24"/>
          <w:szCs w:val="24"/>
        </w:rPr>
        <w:t>новое лекарственное средство на рынке;</w:t>
      </w:r>
      <w:r w:rsidR="0040608E">
        <w:rPr>
          <w:sz w:val="24"/>
          <w:szCs w:val="24"/>
        </w:rPr>
        <w:t xml:space="preserve"> </w:t>
      </w:r>
      <w:r w:rsidRPr="0042480A">
        <w:rPr>
          <w:sz w:val="24"/>
          <w:szCs w:val="24"/>
        </w:rPr>
        <w:t>дополн</w:t>
      </w:r>
      <w:r w:rsidR="0040608E">
        <w:rPr>
          <w:sz w:val="24"/>
          <w:szCs w:val="24"/>
        </w:rPr>
        <w:t>яет информацию, полученную из</w:t>
      </w:r>
      <w:r w:rsidRPr="0042480A">
        <w:rPr>
          <w:sz w:val="24"/>
          <w:szCs w:val="24"/>
        </w:rPr>
        <w:t xml:space="preserve"> результатов рандомизированных клинических испытаний (РКИ) новыми сведениями из реальной </w:t>
      </w:r>
      <w:r w:rsidR="00F24C22">
        <w:rPr>
          <w:sz w:val="24"/>
          <w:szCs w:val="24"/>
        </w:rPr>
        <w:t>практики</w:t>
      </w:r>
      <w:r w:rsidRPr="0042480A">
        <w:rPr>
          <w:sz w:val="24"/>
          <w:szCs w:val="24"/>
        </w:rPr>
        <w:t>;</w:t>
      </w:r>
      <w:r w:rsidR="0040608E">
        <w:rPr>
          <w:sz w:val="24"/>
          <w:szCs w:val="24"/>
        </w:rPr>
        <w:t xml:space="preserve"> проводит </w:t>
      </w:r>
      <w:r w:rsidRPr="0042480A">
        <w:rPr>
          <w:sz w:val="24"/>
          <w:szCs w:val="24"/>
        </w:rPr>
        <w:t>количественн</w:t>
      </w:r>
      <w:r w:rsidR="0040608E">
        <w:rPr>
          <w:sz w:val="24"/>
          <w:szCs w:val="24"/>
        </w:rPr>
        <w:t>ую</w:t>
      </w:r>
      <w:r w:rsidRPr="0042480A">
        <w:rPr>
          <w:sz w:val="24"/>
          <w:szCs w:val="24"/>
        </w:rPr>
        <w:t xml:space="preserve"> оценк</w:t>
      </w:r>
      <w:r w:rsidR="0040608E">
        <w:rPr>
          <w:sz w:val="24"/>
          <w:szCs w:val="24"/>
        </w:rPr>
        <w:t>у</w:t>
      </w:r>
      <w:r w:rsidRPr="0042480A">
        <w:rPr>
          <w:sz w:val="24"/>
          <w:szCs w:val="24"/>
        </w:rPr>
        <w:t xml:space="preserve"> известных побочных реакций (ПР) и терапевтических эффектов.</w:t>
      </w:r>
    </w:p>
    <w:p w:rsidR="0040608E" w:rsidRDefault="0040608E" w:rsidP="0042480A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Преимуществами ее являются </w:t>
      </w:r>
      <w:r w:rsidRPr="0040608E">
        <w:rPr>
          <w:sz w:val="24"/>
          <w:szCs w:val="24"/>
        </w:rPr>
        <w:t>большая точность</w:t>
      </w:r>
      <w:r>
        <w:rPr>
          <w:sz w:val="24"/>
          <w:szCs w:val="24"/>
        </w:rPr>
        <w:t xml:space="preserve">, изучение отдельных групп населения: </w:t>
      </w:r>
      <w:r w:rsidRPr="0040608E">
        <w:rPr>
          <w:sz w:val="24"/>
          <w:szCs w:val="24"/>
        </w:rPr>
        <w:t xml:space="preserve">пожилые, дети, беременные, </w:t>
      </w:r>
      <w:r>
        <w:rPr>
          <w:sz w:val="24"/>
          <w:szCs w:val="24"/>
        </w:rPr>
        <w:t>кормящие матери.</w:t>
      </w:r>
    </w:p>
    <w:p w:rsidR="0040608E" w:rsidRDefault="00F24C22" w:rsidP="0040608E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Основными социально-значимыми эффектами фармакоэпидемиологических исследований являются</w:t>
      </w:r>
      <w:r w:rsidR="0040608E">
        <w:rPr>
          <w:sz w:val="24"/>
          <w:szCs w:val="24"/>
        </w:rPr>
        <w:t xml:space="preserve">: </w:t>
      </w:r>
      <w:r w:rsidR="0040608E" w:rsidRPr="0040608E">
        <w:rPr>
          <w:sz w:val="24"/>
          <w:szCs w:val="24"/>
        </w:rPr>
        <w:t xml:space="preserve">повышение уверенности в степени безопасности </w:t>
      </w:r>
      <w:r>
        <w:rPr>
          <w:sz w:val="24"/>
          <w:szCs w:val="24"/>
        </w:rPr>
        <w:t xml:space="preserve">и эффективности </w:t>
      </w:r>
      <w:r w:rsidR="0040608E" w:rsidRPr="0040608E">
        <w:rPr>
          <w:sz w:val="24"/>
          <w:szCs w:val="24"/>
        </w:rPr>
        <w:t>ЛС</w:t>
      </w:r>
      <w:r>
        <w:rPr>
          <w:sz w:val="24"/>
          <w:szCs w:val="24"/>
        </w:rPr>
        <w:t xml:space="preserve"> и внедрение </w:t>
      </w:r>
      <w:r w:rsidRPr="0040608E">
        <w:rPr>
          <w:sz w:val="24"/>
          <w:szCs w:val="24"/>
        </w:rPr>
        <w:t>этически</w:t>
      </w:r>
      <w:r>
        <w:rPr>
          <w:sz w:val="24"/>
          <w:szCs w:val="24"/>
        </w:rPr>
        <w:t>х</w:t>
      </w:r>
      <w:r w:rsidRPr="0040608E">
        <w:rPr>
          <w:sz w:val="24"/>
          <w:szCs w:val="24"/>
        </w:rPr>
        <w:t xml:space="preserve"> принцип</w:t>
      </w:r>
      <w:r>
        <w:rPr>
          <w:sz w:val="24"/>
          <w:szCs w:val="24"/>
        </w:rPr>
        <w:t>ов для</w:t>
      </w:r>
      <w:r w:rsidR="0040608E" w:rsidRPr="0040608E">
        <w:rPr>
          <w:sz w:val="24"/>
          <w:szCs w:val="24"/>
        </w:rPr>
        <w:t xml:space="preserve"> </w:t>
      </w:r>
      <w:r w:rsidRPr="0040608E">
        <w:rPr>
          <w:sz w:val="24"/>
          <w:szCs w:val="24"/>
        </w:rPr>
        <w:t>официально</w:t>
      </w:r>
      <w:r>
        <w:rPr>
          <w:sz w:val="24"/>
          <w:szCs w:val="24"/>
        </w:rPr>
        <w:t>го</w:t>
      </w:r>
      <w:r w:rsidRPr="0040608E">
        <w:rPr>
          <w:sz w:val="24"/>
          <w:szCs w:val="24"/>
        </w:rPr>
        <w:t xml:space="preserve"> одобрени</w:t>
      </w:r>
      <w:r>
        <w:rPr>
          <w:sz w:val="24"/>
          <w:szCs w:val="24"/>
        </w:rPr>
        <w:t>я</w:t>
      </w:r>
      <w:r w:rsidRPr="0040608E">
        <w:rPr>
          <w:sz w:val="24"/>
          <w:szCs w:val="24"/>
        </w:rPr>
        <w:t xml:space="preserve"> </w:t>
      </w:r>
      <w:r w:rsidR="0040608E" w:rsidRPr="0040608E">
        <w:rPr>
          <w:sz w:val="24"/>
          <w:szCs w:val="24"/>
        </w:rPr>
        <w:t>новых показаний к применению.</w:t>
      </w:r>
    </w:p>
    <w:p w:rsidR="00AF4DF8" w:rsidRPr="00CD5424" w:rsidRDefault="00AF4DF8" w:rsidP="0040608E">
      <w:pPr>
        <w:pStyle w:val="5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рамках изучения потребления лекарственных средств была создана </w:t>
      </w:r>
      <w:r w:rsidRPr="00AF4DF8">
        <w:rPr>
          <w:b/>
          <w:sz w:val="24"/>
          <w:szCs w:val="24"/>
        </w:rPr>
        <w:t>Международная рабочая группа ВОЗ по методологии лекарственной статистики</w:t>
      </w:r>
      <w:r w:rsidR="00CD5424">
        <w:rPr>
          <w:sz w:val="24"/>
          <w:szCs w:val="24"/>
        </w:rPr>
        <w:t xml:space="preserve">, в которую входят </w:t>
      </w:r>
      <w:r w:rsidR="00CD5424" w:rsidRPr="00CD5424">
        <w:rPr>
          <w:sz w:val="24"/>
          <w:szCs w:val="24"/>
        </w:rPr>
        <w:t>12 экспертов</w:t>
      </w:r>
      <w:r w:rsidR="00CD5424">
        <w:rPr>
          <w:sz w:val="24"/>
          <w:szCs w:val="24"/>
        </w:rPr>
        <w:t>-</w:t>
      </w:r>
      <w:r w:rsidR="00CD5424" w:rsidRPr="00CD5424">
        <w:rPr>
          <w:sz w:val="24"/>
          <w:szCs w:val="24"/>
        </w:rPr>
        <w:t xml:space="preserve">специалистов в области </w:t>
      </w:r>
      <w:r w:rsidR="00CD5424">
        <w:rPr>
          <w:sz w:val="24"/>
          <w:szCs w:val="24"/>
        </w:rPr>
        <w:t>клинической фармакологии</w:t>
      </w:r>
      <w:r w:rsidR="00CD5424" w:rsidRPr="00CD5424">
        <w:rPr>
          <w:sz w:val="24"/>
          <w:szCs w:val="24"/>
        </w:rPr>
        <w:t xml:space="preserve">, использования лекарств, регулирования обращения лекарств и медицинской статистики </w:t>
      </w:r>
      <w:r w:rsidR="00CD5424">
        <w:rPr>
          <w:sz w:val="24"/>
          <w:szCs w:val="24"/>
        </w:rPr>
        <w:t>и</w:t>
      </w:r>
      <w:r w:rsidR="00CD5424" w:rsidRPr="00CD5424">
        <w:rPr>
          <w:sz w:val="24"/>
          <w:szCs w:val="24"/>
        </w:rPr>
        <w:t xml:space="preserve"> представляют 6 основных регионов ВОЗ.</w:t>
      </w:r>
    </w:p>
    <w:p w:rsidR="00CD5424" w:rsidRDefault="00CD5424" w:rsidP="00CD5424">
      <w:pPr>
        <w:pStyle w:val="5"/>
        <w:spacing w:line="360" w:lineRule="auto"/>
        <w:rPr>
          <w:sz w:val="24"/>
          <w:szCs w:val="24"/>
        </w:rPr>
      </w:pPr>
      <w:r w:rsidRPr="00CD5424">
        <w:rPr>
          <w:sz w:val="24"/>
          <w:szCs w:val="24"/>
        </w:rPr>
        <w:t>Основны</w:t>
      </w:r>
      <w:r>
        <w:rPr>
          <w:sz w:val="24"/>
          <w:szCs w:val="24"/>
        </w:rPr>
        <w:t>ми</w:t>
      </w:r>
      <w:r w:rsidRPr="00CD5424">
        <w:rPr>
          <w:sz w:val="24"/>
          <w:szCs w:val="24"/>
        </w:rPr>
        <w:t xml:space="preserve"> цел</w:t>
      </w:r>
      <w:r>
        <w:rPr>
          <w:sz w:val="24"/>
          <w:szCs w:val="24"/>
        </w:rPr>
        <w:t>ям</w:t>
      </w:r>
      <w:r w:rsidRPr="00CD5424">
        <w:rPr>
          <w:sz w:val="24"/>
          <w:szCs w:val="24"/>
        </w:rPr>
        <w:t>и и задач</w:t>
      </w:r>
      <w:r>
        <w:rPr>
          <w:sz w:val="24"/>
          <w:szCs w:val="24"/>
        </w:rPr>
        <w:t>ам</w:t>
      </w:r>
      <w:r w:rsidRPr="00CD5424">
        <w:rPr>
          <w:sz w:val="24"/>
          <w:szCs w:val="24"/>
        </w:rPr>
        <w:t>и</w:t>
      </w:r>
      <w:r>
        <w:rPr>
          <w:sz w:val="24"/>
          <w:szCs w:val="24"/>
        </w:rPr>
        <w:t xml:space="preserve"> экспертов являются:</w:t>
      </w:r>
    </w:p>
    <w:p w:rsidR="00CD5424" w:rsidRDefault="00CD5424" w:rsidP="00CD5424">
      <w:pPr>
        <w:pStyle w:val="5"/>
        <w:numPr>
          <w:ilvl w:val="0"/>
          <w:numId w:val="4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CD5424">
        <w:rPr>
          <w:sz w:val="24"/>
          <w:szCs w:val="24"/>
        </w:rPr>
        <w:t>родолж</w:t>
      </w:r>
      <w:r>
        <w:rPr>
          <w:sz w:val="24"/>
          <w:szCs w:val="24"/>
        </w:rPr>
        <w:t>ение</w:t>
      </w:r>
      <w:r w:rsidRPr="00CD5424">
        <w:rPr>
          <w:sz w:val="24"/>
          <w:szCs w:val="24"/>
        </w:rPr>
        <w:t xml:space="preserve"> научно</w:t>
      </w:r>
      <w:r>
        <w:rPr>
          <w:sz w:val="24"/>
          <w:szCs w:val="24"/>
        </w:rPr>
        <w:t>го</w:t>
      </w:r>
      <w:r w:rsidRPr="00CD5424">
        <w:rPr>
          <w:sz w:val="24"/>
          <w:szCs w:val="24"/>
        </w:rPr>
        <w:t xml:space="preserve"> развити</w:t>
      </w:r>
      <w:r>
        <w:rPr>
          <w:sz w:val="24"/>
          <w:szCs w:val="24"/>
        </w:rPr>
        <w:t>я системы ATC/DDD;</w:t>
      </w:r>
    </w:p>
    <w:p w:rsidR="00CD5424" w:rsidRDefault="00CD5424" w:rsidP="00CD5424">
      <w:pPr>
        <w:pStyle w:val="5"/>
        <w:numPr>
          <w:ilvl w:val="0"/>
          <w:numId w:val="4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CD5424">
        <w:rPr>
          <w:sz w:val="24"/>
          <w:szCs w:val="24"/>
        </w:rPr>
        <w:t>бсужд</w:t>
      </w:r>
      <w:r>
        <w:rPr>
          <w:sz w:val="24"/>
          <w:szCs w:val="24"/>
        </w:rPr>
        <w:t>ение</w:t>
      </w:r>
      <w:r w:rsidRPr="00CD5424">
        <w:rPr>
          <w:sz w:val="24"/>
          <w:szCs w:val="24"/>
        </w:rPr>
        <w:t xml:space="preserve"> и ввод новы</w:t>
      </w:r>
      <w:r>
        <w:rPr>
          <w:sz w:val="24"/>
          <w:szCs w:val="24"/>
        </w:rPr>
        <w:t>х</w:t>
      </w:r>
      <w:r w:rsidRPr="00CD5424">
        <w:rPr>
          <w:sz w:val="24"/>
          <w:szCs w:val="24"/>
        </w:rPr>
        <w:t xml:space="preserve"> ATC код</w:t>
      </w:r>
      <w:r>
        <w:rPr>
          <w:sz w:val="24"/>
          <w:szCs w:val="24"/>
        </w:rPr>
        <w:t>ов</w:t>
      </w:r>
      <w:r w:rsidRPr="00CD5424">
        <w:rPr>
          <w:sz w:val="24"/>
          <w:szCs w:val="24"/>
        </w:rPr>
        <w:t>, величин DDD и их изменения</w:t>
      </w:r>
      <w:r>
        <w:rPr>
          <w:sz w:val="24"/>
          <w:szCs w:val="24"/>
        </w:rPr>
        <w:t>;</w:t>
      </w:r>
    </w:p>
    <w:p w:rsidR="00AF4DF8" w:rsidRDefault="00CD5424" w:rsidP="00CD5424">
      <w:pPr>
        <w:pStyle w:val="5"/>
        <w:numPr>
          <w:ilvl w:val="0"/>
          <w:numId w:val="4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</w:t>
      </w:r>
      <w:r w:rsidRPr="00CD5424">
        <w:rPr>
          <w:sz w:val="24"/>
          <w:szCs w:val="24"/>
        </w:rPr>
        <w:t>азвит</w:t>
      </w:r>
      <w:r>
        <w:rPr>
          <w:sz w:val="24"/>
          <w:szCs w:val="24"/>
        </w:rPr>
        <w:t>ие</w:t>
      </w:r>
      <w:r w:rsidRPr="00CD5424">
        <w:rPr>
          <w:sz w:val="24"/>
          <w:szCs w:val="24"/>
        </w:rPr>
        <w:t xml:space="preserve"> использовани</w:t>
      </w:r>
      <w:r>
        <w:rPr>
          <w:sz w:val="24"/>
          <w:szCs w:val="24"/>
        </w:rPr>
        <w:t>я</w:t>
      </w:r>
      <w:r w:rsidRPr="00CD5424">
        <w:rPr>
          <w:sz w:val="24"/>
          <w:szCs w:val="24"/>
        </w:rPr>
        <w:t xml:space="preserve"> системы ATC/DDD как международного стандарта в исследованиях использования лекарств</w:t>
      </w:r>
      <w:r>
        <w:rPr>
          <w:sz w:val="24"/>
          <w:szCs w:val="24"/>
        </w:rPr>
        <w:t>;</w:t>
      </w:r>
    </w:p>
    <w:p w:rsidR="00CD5424" w:rsidRPr="00CD5424" w:rsidRDefault="00CD5424" w:rsidP="00CD5424">
      <w:pPr>
        <w:pStyle w:val="5"/>
        <w:numPr>
          <w:ilvl w:val="0"/>
          <w:numId w:val="4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CD5424">
        <w:rPr>
          <w:sz w:val="24"/>
          <w:szCs w:val="24"/>
        </w:rPr>
        <w:t>ересм</w:t>
      </w:r>
      <w:r>
        <w:rPr>
          <w:sz w:val="24"/>
          <w:szCs w:val="24"/>
        </w:rPr>
        <w:t>о</w:t>
      </w:r>
      <w:r w:rsidRPr="00CD5424">
        <w:rPr>
          <w:sz w:val="24"/>
          <w:szCs w:val="24"/>
        </w:rPr>
        <w:t>тр по мере необходимости руководства по изменению кодов ATC и величин DDD</w:t>
      </w:r>
      <w:r>
        <w:rPr>
          <w:sz w:val="24"/>
          <w:szCs w:val="24"/>
        </w:rPr>
        <w:t>;</w:t>
      </w:r>
    </w:p>
    <w:p w:rsidR="00CD5424" w:rsidRPr="00CD5424" w:rsidRDefault="00CD5424" w:rsidP="00CD5424">
      <w:pPr>
        <w:pStyle w:val="5"/>
        <w:numPr>
          <w:ilvl w:val="0"/>
          <w:numId w:val="4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Pr="00CD5424">
        <w:rPr>
          <w:sz w:val="24"/>
          <w:szCs w:val="24"/>
        </w:rPr>
        <w:t>ересм</w:t>
      </w:r>
      <w:r>
        <w:rPr>
          <w:sz w:val="24"/>
          <w:szCs w:val="24"/>
        </w:rPr>
        <w:t>о</w:t>
      </w:r>
      <w:r w:rsidRPr="00CD5424">
        <w:rPr>
          <w:sz w:val="24"/>
          <w:szCs w:val="24"/>
        </w:rPr>
        <w:t>тр по мере необходимости процедур</w:t>
      </w:r>
      <w:r>
        <w:rPr>
          <w:sz w:val="24"/>
          <w:szCs w:val="24"/>
        </w:rPr>
        <w:t>ы</w:t>
      </w:r>
      <w:r w:rsidRPr="00CD5424">
        <w:rPr>
          <w:sz w:val="24"/>
          <w:szCs w:val="24"/>
        </w:rPr>
        <w:t xml:space="preserve"> представления заявок по </w:t>
      </w:r>
      <w:r>
        <w:rPr>
          <w:sz w:val="24"/>
          <w:szCs w:val="24"/>
        </w:rPr>
        <w:t>обновлению</w:t>
      </w:r>
      <w:r w:rsidRPr="00CD5424">
        <w:rPr>
          <w:sz w:val="24"/>
          <w:szCs w:val="24"/>
        </w:rPr>
        <w:t xml:space="preserve"> и изменению кодов ATC и величин DDD для гарантии ее последовательности и прозрачности.</w:t>
      </w:r>
    </w:p>
    <w:p w:rsidR="00CD5424" w:rsidRDefault="00CD5424" w:rsidP="00CD5424">
      <w:pPr>
        <w:pStyle w:val="5"/>
        <w:numPr>
          <w:ilvl w:val="0"/>
          <w:numId w:val="4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CD5424">
        <w:rPr>
          <w:sz w:val="24"/>
          <w:szCs w:val="24"/>
        </w:rPr>
        <w:t>цен</w:t>
      </w:r>
      <w:r>
        <w:rPr>
          <w:sz w:val="24"/>
          <w:szCs w:val="24"/>
        </w:rPr>
        <w:t>ка</w:t>
      </w:r>
      <w:r w:rsidRPr="00CD5424">
        <w:rPr>
          <w:sz w:val="24"/>
          <w:szCs w:val="24"/>
        </w:rPr>
        <w:t xml:space="preserve"> источник</w:t>
      </w:r>
      <w:r>
        <w:rPr>
          <w:sz w:val="24"/>
          <w:szCs w:val="24"/>
        </w:rPr>
        <w:t>ов</w:t>
      </w:r>
      <w:r w:rsidRPr="00CD5424">
        <w:rPr>
          <w:sz w:val="24"/>
          <w:szCs w:val="24"/>
        </w:rPr>
        <w:t xml:space="preserve"> и доступност</w:t>
      </w:r>
      <w:r>
        <w:rPr>
          <w:sz w:val="24"/>
          <w:szCs w:val="24"/>
        </w:rPr>
        <w:t>и</w:t>
      </w:r>
      <w:r w:rsidRPr="00CD5424">
        <w:rPr>
          <w:sz w:val="24"/>
          <w:szCs w:val="24"/>
        </w:rPr>
        <w:t xml:space="preserve"> статистики по использованию лекарств в международном масштабе и способствова</w:t>
      </w:r>
      <w:r>
        <w:rPr>
          <w:sz w:val="24"/>
          <w:szCs w:val="24"/>
        </w:rPr>
        <w:t>ние</w:t>
      </w:r>
      <w:r w:rsidRPr="00CD5424">
        <w:rPr>
          <w:sz w:val="24"/>
          <w:szCs w:val="24"/>
        </w:rPr>
        <w:t xml:space="preserve"> систематическому сбору полноценной информации во всех странах и регионах по использованию системы ATC/DDD в качестве международного стандарта</w:t>
      </w:r>
      <w:r>
        <w:rPr>
          <w:sz w:val="24"/>
          <w:szCs w:val="24"/>
        </w:rPr>
        <w:t>;</w:t>
      </w:r>
    </w:p>
    <w:p w:rsidR="00CD5424" w:rsidRDefault="00CD5424" w:rsidP="00CD5424">
      <w:pPr>
        <w:pStyle w:val="5"/>
        <w:numPr>
          <w:ilvl w:val="0"/>
          <w:numId w:val="4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</w:t>
      </w:r>
      <w:r w:rsidRPr="00CD5424">
        <w:rPr>
          <w:sz w:val="24"/>
          <w:szCs w:val="24"/>
        </w:rPr>
        <w:t>азработ</w:t>
      </w:r>
      <w:r>
        <w:rPr>
          <w:sz w:val="24"/>
          <w:szCs w:val="24"/>
        </w:rPr>
        <w:t>ка</w:t>
      </w:r>
      <w:r w:rsidRPr="00CD5424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ов</w:t>
      </w:r>
      <w:r w:rsidRPr="00CD5424">
        <w:rPr>
          <w:sz w:val="24"/>
          <w:szCs w:val="24"/>
        </w:rPr>
        <w:t xml:space="preserve"> и руководства для практического применения и использования системы ATC/DDD в исследованиях по использованию лекарств в различных странах и учреждениях, в особенности в развивающихся странах</w:t>
      </w:r>
      <w:r>
        <w:rPr>
          <w:sz w:val="24"/>
          <w:szCs w:val="24"/>
        </w:rPr>
        <w:t>;</w:t>
      </w:r>
    </w:p>
    <w:p w:rsidR="00CD5424" w:rsidRDefault="00CD5424" w:rsidP="00CD5424">
      <w:pPr>
        <w:pStyle w:val="5"/>
        <w:numPr>
          <w:ilvl w:val="0"/>
          <w:numId w:val="4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</w:t>
      </w:r>
      <w:r w:rsidRPr="00CD5424">
        <w:rPr>
          <w:sz w:val="24"/>
          <w:szCs w:val="24"/>
        </w:rPr>
        <w:t>абота с группами, инициирующими рациональное использование лекарств, для интегрирования методов измерения использования лекарств для оценки необходимости и результатов интервенций (образовательных) с целью повышения качества использования лекарств.</w:t>
      </w:r>
    </w:p>
    <w:p w:rsidR="00DD0C76" w:rsidRPr="000678C5" w:rsidRDefault="00CD5424" w:rsidP="00CD5424">
      <w:pPr>
        <w:pStyle w:val="5"/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DD0C76" w:rsidRPr="000678C5">
        <w:rPr>
          <w:b/>
          <w:sz w:val="24"/>
          <w:szCs w:val="24"/>
        </w:rPr>
        <w:t>Описание методов</w:t>
      </w:r>
    </w:p>
    <w:p w:rsidR="00D97DD4" w:rsidRPr="000478CD" w:rsidRDefault="00D97DD4" w:rsidP="00D97DD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  <w:lang w:val="en-US"/>
        </w:rPr>
        <w:t>ATC</w:t>
      </w:r>
      <w:r w:rsidRPr="000678C5">
        <w:rPr>
          <w:rFonts w:ascii="Times New Roman" w:hAnsi="Times New Roman"/>
          <w:sz w:val="24"/>
          <w:szCs w:val="24"/>
        </w:rPr>
        <w:t>/</w:t>
      </w:r>
      <w:r w:rsidRPr="000678C5">
        <w:rPr>
          <w:rFonts w:ascii="Times New Roman" w:hAnsi="Times New Roman"/>
          <w:sz w:val="24"/>
          <w:szCs w:val="24"/>
          <w:lang w:val="en-US"/>
        </w:rPr>
        <w:t>DDD</w:t>
      </w:r>
      <w:r w:rsidR="000478CD">
        <w:rPr>
          <w:rFonts w:ascii="Times New Roman" w:hAnsi="Times New Roman"/>
          <w:sz w:val="24"/>
          <w:szCs w:val="24"/>
        </w:rPr>
        <w:t>-анализ</w:t>
      </w:r>
    </w:p>
    <w:p w:rsidR="00D97DD4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b/>
          <w:sz w:val="24"/>
          <w:szCs w:val="24"/>
        </w:rPr>
        <w:t>Целью</w:t>
      </w:r>
      <w:r w:rsidRPr="000678C5">
        <w:rPr>
          <w:rFonts w:ascii="Times New Roman" w:hAnsi="Times New Roman"/>
          <w:sz w:val="24"/>
          <w:szCs w:val="24"/>
        </w:rPr>
        <w:t xml:space="preserve"> </w:t>
      </w:r>
      <w:r w:rsidRPr="000678C5">
        <w:rPr>
          <w:rFonts w:ascii="Times New Roman" w:hAnsi="Times New Roman"/>
          <w:sz w:val="24"/>
          <w:szCs w:val="24"/>
          <w:lang w:val="en-US"/>
        </w:rPr>
        <w:t>ATC</w:t>
      </w:r>
      <w:r w:rsidRPr="000678C5">
        <w:rPr>
          <w:rFonts w:ascii="Times New Roman" w:hAnsi="Times New Roman"/>
          <w:sz w:val="24"/>
          <w:szCs w:val="24"/>
        </w:rPr>
        <w:t>/</w:t>
      </w:r>
      <w:r w:rsidRPr="000678C5">
        <w:rPr>
          <w:rFonts w:ascii="Times New Roman" w:hAnsi="Times New Roman"/>
          <w:sz w:val="24"/>
          <w:szCs w:val="24"/>
          <w:lang w:val="en-US"/>
        </w:rPr>
        <w:t>DDD</w:t>
      </w:r>
      <w:r w:rsidRPr="000678C5">
        <w:rPr>
          <w:rFonts w:ascii="Times New Roman" w:hAnsi="Times New Roman"/>
          <w:sz w:val="24"/>
          <w:szCs w:val="24"/>
        </w:rPr>
        <w:t xml:space="preserve"> системы является исследование использования лекарственных средств </w:t>
      </w:r>
      <w:r w:rsidR="00407947">
        <w:rPr>
          <w:rFonts w:ascii="Times New Roman" w:hAnsi="Times New Roman"/>
          <w:sz w:val="24"/>
          <w:szCs w:val="24"/>
        </w:rPr>
        <w:t xml:space="preserve">(лекарственная статистика) </w:t>
      </w:r>
      <w:r w:rsidRPr="000678C5">
        <w:rPr>
          <w:rFonts w:ascii="Times New Roman" w:hAnsi="Times New Roman"/>
          <w:sz w:val="24"/>
          <w:szCs w:val="24"/>
        </w:rPr>
        <w:t>с целью улучшения их потребления.</w:t>
      </w:r>
    </w:p>
    <w:p w:rsidR="00BC6FAC" w:rsidRPr="00BC6FAC" w:rsidRDefault="00BC6FAC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АТС-код — это у</w:t>
      </w:r>
      <w:r w:rsidRPr="00BC6FAC">
        <w:rPr>
          <w:rFonts w:ascii="Times New Roman" w:hAnsi="Times New Roman"/>
          <w:sz w:val="24"/>
          <w:szCs w:val="24"/>
        </w:rPr>
        <w:t>никальный код для каждого ЛС, содержащего одинаковые компоненты с одинаковой активностью в определенной лекарственной форме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C6FAC">
        <w:rPr>
          <w:rFonts w:ascii="Times New Roman" w:hAnsi="Times New Roman"/>
          <w:sz w:val="24"/>
          <w:szCs w:val="24"/>
        </w:rPr>
        <w:t xml:space="preserve">Приоритет </w:t>
      </w:r>
      <w:r>
        <w:rPr>
          <w:rFonts w:ascii="Times New Roman" w:hAnsi="Times New Roman"/>
          <w:sz w:val="24"/>
          <w:szCs w:val="24"/>
        </w:rPr>
        <w:t xml:space="preserve">отдается </w:t>
      </w:r>
      <w:r w:rsidRPr="00BC6FAC">
        <w:rPr>
          <w:rFonts w:ascii="Times New Roman" w:hAnsi="Times New Roman"/>
          <w:sz w:val="24"/>
          <w:szCs w:val="24"/>
        </w:rPr>
        <w:t>монокомпонентным ЛС</w:t>
      </w:r>
      <w:r>
        <w:rPr>
          <w:rFonts w:ascii="Times New Roman" w:hAnsi="Times New Roman"/>
          <w:sz w:val="24"/>
          <w:szCs w:val="24"/>
        </w:rPr>
        <w:t>. Для некоторых ЛС существуют н</w:t>
      </w:r>
      <w:r w:rsidRPr="00BC6FAC">
        <w:rPr>
          <w:rFonts w:ascii="Times New Roman" w:hAnsi="Times New Roman"/>
          <w:sz w:val="24"/>
          <w:szCs w:val="24"/>
        </w:rPr>
        <w:t>есколько АТС</w:t>
      </w:r>
      <w:r>
        <w:rPr>
          <w:rFonts w:ascii="Times New Roman" w:hAnsi="Times New Roman"/>
          <w:sz w:val="24"/>
          <w:szCs w:val="24"/>
        </w:rPr>
        <w:t>-</w:t>
      </w:r>
      <w:r w:rsidRPr="00BC6FAC">
        <w:rPr>
          <w:rFonts w:ascii="Times New Roman" w:hAnsi="Times New Roman"/>
          <w:sz w:val="24"/>
          <w:szCs w:val="24"/>
        </w:rPr>
        <w:t>кодов, выпускающихся в различных лекарственных формах с разной активностью и показаниями к применению</w:t>
      </w:r>
      <w:r>
        <w:rPr>
          <w:rFonts w:ascii="Times New Roman" w:hAnsi="Times New Roman"/>
          <w:sz w:val="24"/>
          <w:szCs w:val="24"/>
        </w:rPr>
        <w:t>.</w:t>
      </w:r>
    </w:p>
    <w:p w:rsidR="00D97DD4" w:rsidRPr="000678C5" w:rsidRDefault="00D97DD4" w:rsidP="00D97DD4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АТС-код </w:t>
      </w:r>
      <w:r w:rsidR="00BC6FAC">
        <w:rPr>
          <w:rFonts w:ascii="Times New Roman" w:hAnsi="Times New Roman"/>
          <w:sz w:val="24"/>
          <w:szCs w:val="24"/>
        </w:rPr>
        <w:t>и</w:t>
      </w:r>
      <w:r w:rsidRPr="000678C5">
        <w:rPr>
          <w:rFonts w:ascii="Times New Roman" w:hAnsi="Times New Roman"/>
          <w:sz w:val="24"/>
          <w:szCs w:val="24"/>
        </w:rPr>
        <w:t>меет 5-уровневую структуру:</w:t>
      </w:r>
    </w:p>
    <w:p w:rsidR="00D97DD4" w:rsidRPr="000678C5" w:rsidRDefault="00D97DD4" w:rsidP="00D97DD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  <w:lang w:val="en-US"/>
        </w:rPr>
        <w:t>I</w:t>
      </w:r>
      <w:r w:rsidRPr="000678C5">
        <w:rPr>
          <w:rFonts w:ascii="Times New Roman" w:hAnsi="Times New Roman"/>
          <w:sz w:val="24"/>
          <w:szCs w:val="24"/>
        </w:rPr>
        <w:t xml:space="preserve"> уровень обозначает анатомическую систему организма, на котор</w:t>
      </w:r>
      <w:r w:rsidR="00407947">
        <w:rPr>
          <w:rFonts w:ascii="Times New Roman" w:hAnsi="Times New Roman"/>
          <w:sz w:val="24"/>
          <w:szCs w:val="24"/>
        </w:rPr>
        <w:t>ую</w:t>
      </w:r>
      <w:r w:rsidRPr="000678C5">
        <w:rPr>
          <w:rFonts w:ascii="Times New Roman" w:hAnsi="Times New Roman"/>
          <w:sz w:val="24"/>
          <w:szCs w:val="24"/>
        </w:rPr>
        <w:t xml:space="preserve"> влияет лекарство, например, А – лекарственные средства, влияющие на пищеварительную систему и обмен веществ. </w:t>
      </w:r>
      <w:r w:rsidRPr="000678C5">
        <w:rPr>
          <w:rFonts w:ascii="Times New Roman" w:hAnsi="Times New Roman"/>
          <w:sz w:val="24"/>
          <w:szCs w:val="24"/>
          <w:lang w:val="en-US"/>
        </w:rPr>
        <w:t>I</w:t>
      </w:r>
      <w:r w:rsidRPr="000678C5">
        <w:rPr>
          <w:rFonts w:ascii="Times New Roman" w:hAnsi="Times New Roman"/>
          <w:sz w:val="24"/>
          <w:szCs w:val="24"/>
        </w:rPr>
        <w:t xml:space="preserve"> уровень состоит из одной буквы латинского алфавита и может принимать следующие значения: A, B, C, D, G, H, J, L, N, P, R, S, V (14 значений)</w:t>
      </w:r>
    </w:p>
    <w:p w:rsidR="00D97DD4" w:rsidRPr="000678C5" w:rsidRDefault="00D97DD4" w:rsidP="00D97DD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  <w:lang w:val="en-US"/>
        </w:rPr>
        <w:t>II</w:t>
      </w:r>
      <w:r w:rsidRPr="000678C5">
        <w:rPr>
          <w:rFonts w:ascii="Times New Roman" w:hAnsi="Times New Roman"/>
          <w:sz w:val="24"/>
          <w:szCs w:val="24"/>
        </w:rPr>
        <w:t xml:space="preserve"> уровень обозначает терапевтическую направленность лекарственного средства. Неразрывно связан с I уровнем и в отдельности рассматриваться не может. Например, С09 – средства, влияющие на ангиотензин-рениновую систему. Теоретически может принимать значение от 01 до 99, практически – 01-16</w:t>
      </w:r>
    </w:p>
    <w:p w:rsidR="00D97DD4" w:rsidRPr="000678C5" w:rsidRDefault="00D97DD4" w:rsidP="00D97DD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  <w:lang w:val="en-US"/>
        </w:rPr>
        <w:t>III</w:t>
      </w:r>
      <w:r w:rsidRPr="000678C5">
        <w:rPr>
          <w:rFonts w:ascii="Times New Roman" w:hAnsi="Times New Roman"/>
          <w:sz w:val="24"/>
          <w:szCs w:val="24"/>
        </w:rPr>
        <w:t xml:space="preserve"> уровень обозначает фармакологическую группу, к которой относится рассматриваемое лекарственное средство. Неразрывно связан с I и II уровнями АТС-кода. Например, С05А – антигеморроидальные препараты для местного применения. </w:t>
      </w:r>
      <w:r w:rsidRPr="000678C5">
        <w:rPr>
          <w:rFonts w:ascii="Times New Roman" w:hAnsi="Times New Roman"/>
          <w:sz w:val="24"/>
          <w:szCs w:val="24"/>
          <w:lang w:val="en-US"/>
        </w:rPr>
        <w:t>III</w:t>
      </w:r>
      <w:r w:rsidRPr="000678C5">
        <w:rPr>
          <w:rFonts w:ascii="Times New Roman" w:hAnsi="Times New Roman"/>
          <w:sz w:val="24"/>
          <w:szCs w:val="24"/>
        </w:rPr>
        <w:t xml:space="preserve"> уровень состоит из одной буквы латинского алфавита и может принимать значения A-M + X (14 значений).</w:t>
      </w:r>
    </w:p>
    <w:p w:rsidR="00D97DD4" w:rsidRPr="000678C5" w:rsidRDefault="00D97DD4" w:rsidP="00D97DD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  <w:lang w:val="en-US"/>
        </w:rPr>
        <w:t>IV</w:t>
      </w:r>
      <w:r w:rsidRPr="000678C5">
        <w:rPr>
          <w:rFonts w:ascii="Times New Roman" w:hAnsi="Times New Roman"/>
          <w:sz w:val="24"/>
          <w:szCs w:val="24"/>
        </w:rPr>
        <w:t xml:space="preserve"> уровень обозначает химическую группу, к которой принадлежит рассматриваемое лекарственное средство. Неразрывно связан с  I, II и III уровнями АТС-кода. Например, A10BA – бигуаниды. </w:t>
      </w:r>
      <w:r w:rsidRPr="000678C5">
        <w:rPr>
          <w:rFonts w:ascii="Times New Roman" w:hAnsi="Times New Roman"/>
          <w:sz w:val="24"/>
          <w:szCs w:val="24"/>
          <w:lang w:val="en-US"/>
        </w:rPr>
        <w:t>IV</w:t>
      </w:r>
      <w:r w:rsidRPr="000678C5">
        <w:rPr>
          <w:rFonts w:ascii="Times New Roman" w:hAnsi="Times New Roman"/>
          <w:sz w:val="24"/>
          <w:szCs w:val="24"/>
        </w:rPr>
        <w:t xml:space="preserve"> уровень состоит из одной буквы латинского алфавита и может принимать значения A-… + X.</w:t>
      </w:r>
    </w:p>
    <w:p w:rsidR="00D97DD4" w:rsidRPr="000678C5" w:rsidRDefault="00D97DD4" w:rsidP="00D97DD4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  <w:lang w:val="en-US"/>
        </w:rPr>
        <w:t>V</w:t>
      </w:r>
      <w:r w:rsidRPr="000678C5">
        <w:rPr>
          <w:rFonts w:ascii="Times New Roman" w:hAnsi="Times New Roman"/>
          <w:sz w:val="24"/>
          <w:szCs w:val="24"/>
        </w:rPr>
        <w:t xml:space="preserve"> уровень обозначает непосредственно химическое соединение (комбинацию соединений). Неразрывно связан со всеми четырьмя предыдущими уровнями АТС-кода. Может принимать значения 01-99 + X</w:t>
      </w:r>
      <w:r w:rsidR="00172B58">
        <w:rPr>
          <w:rFonts w:ascii="Times New Roman" w:hAnsi="Times New Roman"/>
          <w:sz w:val="24"/>
          <w:szCs w:val="24"/>
        </w:rPr>
        <w:t xml:space="preserve"> + X*</w:t>
      </w:r>
      <w:r w:rsidR="00CD5944">
        <w:rPr>
          <w:rFonts w:ascii="Times New Roman" w:hAnsi="Times New Roman"/>
          <w:sz w:val="24"/>
          <w:szCs w:val="24"/>
        </w:rPr>
        <w:t>.</w:t>
      </w:r>
      <w:r w:rsidR="00172B58">
        <w:rPr>
          <w:rFonts w:ascii="Times New Roman" w:hAnsi="Times New Roman"/>
          <w:sz w:val="24"/>
          <w:szCs w:val="24"/>
        </w:rPr>
        <w:t xml:space="preserve"> Лекарственным средствам, как отечественным, так и импортным, которые никогда не заявлялись в Экспертный Комитет ВОЗ для присвоения АТС-кодов, учитывая их показания к применению и фармакологические свойства, следуя общей методологии присвоения АТС-кода ВОЗ был добавлен знак «*». Например, азапентацену (Квинакс) присвоен код </w:t>
      </w:r>
      <w:r w:rsidR="00172B58" w:rsidRPr="00172B58">
        <w:rPr>
          <w:rFonts w:ascii="Times New Roman" w:hAnsi="Times New Roman"/>
          <w:sz w:val="24"/>
          <w:szCs w:val="24"/>
        </w:rPr>
        <w:t>S01XA0X*</w:t>
      </w:r>
      <w:r w:rsidR="00172B58">
        <w:rPr>
          <w:rFonts w:ascii="Times New Roman" w:hAnsi="Times New Roman"/>
          <w:sz w:val="24"/>
          <w:szCs w:val="24"/>
        </w:rPr>
        <w:t xml:space="preserve"> — офтальмологическое средство; г</w:t>
      </w:r>
      <w:r w:rsidR="00172B58" w:rsidRPr="00172B58">
        <w:rPr>
          <w:rFonts w:ascii="Times New Roman" w:hAnsi="Times New Roman"/>
          <w:sz w:val="24"/>
          <w:szCs w:val="24"/>
        </w:rPr>
        <w:t>амма-амино-бета-фенилмасляной кислоты гидрохлорид</w:t>
      </w:r>
      <w:r w:rsidR="00172B58">
        <w:rPr>
          <w:rFonts w:ascii="Times New Roman" w:hAnsi="Times New Roman"/>
          <w:sz w:val="24"/>
          <w:szCs w:val="24"/>
        </w:rPr>
        <w:t xml:space="preserve">у (Фенибут) присвоен код </w:t>
      </w:r>
      <w:r w:rsidR="00172B58" w:rsidRPr="00172B58">
        <w:rPr>
          <w:rFonts w:ascii="Times New Roman" w:hAnsi="Times New Roman"/>
          <w:sz w:val="24"/>
          <w:szCs w:val="24"/>
        </w:rPr>
        <w:t>N06BХ0X*</w:t>
      </w:r>
      <w:r w:rsidR="00172B58">
        <w:rPr>
          <w:rFonts w:ascii="Times New Roman" w:hAnsi="Times New Roman"/>
          <w:sz w:val="24"/>
          <w:szCs w:val="24"/>
        </w:rPr>
        <w:t xml:space="preserve"> — средство, влияющее на нервную систему (психостимуляторы другие и ноотропы.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b/>
          <w:sz w:val="24"/>
          <w:szCs w:val="24"/>
          <w:lang w:val="en-US"/>
        </w:rPr>
        <w:t>DDD</w:t>
      </w:r>
      <w:r w:rsidRPr="000678C5">
        <w:rPr>
          <w:rFonts w:ascii="Times New Roman" w:hAnsi="Times New Roman"/>
          <w:sz w:val="24"/>
          <w:szCs w:val="24"/>
        </w:rPr>
        <w:t xml:space="preserve"> (defined daily dose) — </w:t>
      </w:r>
      <w:r w:rsidR="00E2613F">
        <w:rPr>
          <w:rFonts w:ascii="Times New Roman" w:hAnsi="Times New Roman"/>
          <w:sz w:val="24"/>
          <w:szCs w:val="24"/>
        </w:rPr>
        <w:t xml:space="preserve">установленная суточная доза (УСД) </w:t>
      </w:r>
      <w:r w:rsidR="00E2613F" w:rsidRPr="000678C5">
        <w:rPr>
          <w:rFonts w:ascii="Times New Roman" w:hAnsi="Times New Roman"/>
          <w:sz w:val="24"/>
          <w:szCs w:val="24"/>
        </w:rPr>
        <w:t>лекарственного средства</w:t>
      </w:r>
      <w:r w:rsidR="00E2613F">
        <w:rPr>
          <w:rFonts w:ascii="Times New Roman" w:hAnsi="Times New Roman"/>
          <w:sz w:val="24"/>
          <w:szCs w:val="24"/>
        </w:rPr>
        <w:t xml:space="preserve">, ориентировочно приближенная к </w:t>
      </w:r>
      <w:r w:rsidRPr="000678C5">
        <w:rPr>
          <w:rFonts w:ascii="Times New Roman" w:hAnsi="Times New Roman"/>
          <w:sz w:val="24"/>
          <w:szCs w:val="24"/>
        </w:rPr>
        <w:t>средн</w:t>
      </w:r>
      <w:r w:rsidR="00E2613F">
        <w:rPr>
          <w:rFonts w:ascii="Times New Roman" w:hAnsi="Times New Roman"/>
          <w:sz w:val="24"/>
          <w:szCs w:val="24"/>
        </w:rPr>
        <w:t>ей</w:t>
      </w:r>
      <w:r w:rsidRPr="000678C5">
        <w:rPr>
          <w:rFonts w:ascii="Times New Roman" w:hAnsi="Times New Roman"/>
          <w:sz w:val="24"/>
          <w:szCs w:val="24"/>
        </w:rPr>
        <w:t xml:space="preserve"> поддерживающ</w:t>
      </w:r>
      <w:r w:rsidR="00E2613F">
        <w:rPr>
          <w:rFonts w:ascii="Times New Roman" w:hAnsi="Times New Roman"/>
          <w:sz w:val="24"/>
          <w:szCs w:val="24"/>
        </w:rPr>
        <w:t>ей</w:t>
      </w:r>
      <w:r w:rsidRPr="000678C5">
        <w:rPr>
          <w:rFonts w:ascii="Times New Roman" w:hAnsi="Times New Roman"/>
          <w:sz w:val="24"/>
          <w:szCs w:val="24"/>
        </w:rPr>
        <w:t xml:space="preserve"> доз</w:t>
      </w:r>
      <w:r w:rsidR="00E2613F">
        <w:rPr>
          <w:rFonts w:ascii="Times New Roman" w:hAnsi="Times New Roman"/>
          <w:sz w:val="24"/>
          <w:szCs w:val="24"/>
        </w:rPr>
        <w:t>е при</w:t>
      </w:r>
      <w:r w:rsidRPr="000678C5">
        <w:rPr>
          <w:rFonts w:ascii="Times New Roman" w:hAnsi="Times New Roman"/>
          <w:sz w:val="24"/>
          <w:szCs w:val="24"/>
        </w:rPr>
        <w:t xml:space="preserve"> использо</w:t>
      </w:r>
      <w:r w:rsidR="00E2613F">
        <w:rPr>
          <w:rFonts w:ascii="Times New Roman" w:hAnsi="Times New Roman"/>
          <w:sz w:val="24"/>
          <w:szCs w:val="24"/>
        </w:rPr>
        <w:t>вании ЛС</w:t>
      </w:r>
      <w:r w:rsidRPr="000678C5">
        <w:rPr>
          <w:rFonts w:ascii="Times New Roman" w:hAnsi="Times New Roman"/>
          <w:sz w:val="24"/>
          <w:szCs w:val="24"/>
        </w:rPr>
        <w:t xml:space="preserve"> по его </w:t>
      </w:r>
      <w:r w:rsidR="00E2613F">
        <w:rPr>
          <w:rFonts w:ascii="Times New Roman" w:hAnsi="Times New Roman"/>
          <w:sz w:val="24"/>
          <w:szCs w:val="24"/>
        </w:rPr>
        <w:t>основному</w:t>
      </w:r>
      <w:r w:rsidRPr="000678C5">
        <w:rPr>
          <w:rFonts w:ascii="Times New Roman" w:hAnsi="Times New Roman"/>
          <w:sz w:val="24"/>
          <w:szCs w:val="24"/>
        </w:rPr>
        <w:t xml:space="preserve"> показанию у взрослых.</w:t>
      </w:r>
    </w:p>
    <w:p w:rsidR="00F24C22" w:rsidRDefault="00D97DD4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54D1">
        <w:rPr>
          <w:rFonts w:ascii="Times New Roman" w:hAnsi="Times New Roman"/>
          <w:b/>
          <w:sz w:val="24"/>
          <w:szCs w:val="24"/>
          <w:lang w:val="en-US"/>
        </w:rPr>
        <w:t>N</w:t>
      </w:r>
      <w:r w:rsidRPr="003054D1">
        <w:rPr>
          <w:rFonts w:ascii="Times New Roman" w:hAnsi="Times New Roman"/>
          <w:b/>
          <w:sz w:val="24"/>
          <w:szCs w:val="24"/>
        </w:rPr>
        <w:t>.</w:t>
      </w:r>
      <w:r w:rsidRPr="003054D1">
        <w:rPr>
          <w:rFonts w:ascii="Times New Roman" w:hAnsi="Times New Roman"/>
          <w:b/>
          <w:sz w:val="24"/>
          <w:szCs w:val="24"/>
          <w:lang w:val="en-US"/>
        </w:rPr>
        <w:t>B</w:t>
      </w:r>
      <w:r w:rsidRPr="003054D1">
        <w:rPr>
          <w:rFonts w:ascii="Times New Roman" w:hAnsi="Times New Roman"/>
          <w:b/>
          <w:sz w:val="24"/>
          <w:szCs w:val="24"/>
        </w:rPr>
        <w:t>.</w:t>
      </w:r>
      <w:r w:rsidR="003054D1" w:rsidRPr="003054D1">
        <w:rPr>
          <w:rFonts w:ascii="Times New Roman" w:hAnsi="Times New Roman"/>
          <w:b/>
          <w:sz w:val="24"/>
          <w:szCs w:val="24"/>
        </w:rPr>
        <w:t>!</w:t>
      </w:r>
      <w:r w:rsidRPr="000678C5">
        <w:rPr>
          <w:rFonts w:ascii="Times New Roman" w:hAnsi="Times New Roman"/>
          <w:sz w:val="24"/>
          <w:szCs w:val="24"/>
        </w:rPr>
        <w:t xml:space="preserve"> </w:t>
      </w:r>
      <w:r w:rsidRPr="000678C5">
        <w:rPr>
          <w:rFonts w:ascii="Times New Roman" w:hAnsi="Times New Roman"/>
          <w:sz w:val="24"/>
          <w:szCs w:val="24"/>
          <w:lang w:val="en-US"/>
        </w:rPr>
        <w:t>DDD</w:t>
      </w:r>
      <w:r w:rsidRPr="000678C5">
        <w:rPr>
          <w:rFonts w:ascii="Times New Roman" w:hAnsi="Times New Roman"/>
          <w:sz w:val="24"/>
          <w:szCs w:val="24"/>
        </w:rPr>
        <w:t xml:space="preserve"> </w:t>
      </w:r>
      <w:r w:rsidRPr="000678C5">
        <w:rPr>
          <w:rFonts w:ascii="Times New Roman" w:hAnsi="Times New Roman"/>
          <w:b/>
          <w:sz w:val="24"/>
          <w:szCs w:val="24"/>
        </w:rPr>
        <w:t>не является</w:t>
      </w:r>
      <w:r w:rsidRPr="000678C5">
        <w:rPr>
          <w:rFonts w:ascii="Times New Roman" w:hAnsi="Times New Roman"/>
          <w:sz w:val="24"/>
          <w:szCs w:val="24"/>
        </w:rPr>
        <w:t xml:space="preserve"> </w:t>
      </w:r>
      <w:r w:rsidR="00E2613F">
        <w:rPr>
          <w:rFonts w:ascii="Times New Roman" w:hAnsi="Times New Roman"/>
          <w:sz w:val="24"/>
          <w:szCs w:val="24"/>
        </w:rPr>
        <w:t>рекомендуемой</w:t>
      </w:r>
      <w:r w:rsidRPr="000678C5">
        <w:rPr>
          <w:rFonts w:ascii="Times New Roman" w:hAnsi="Times New Roman"/>
          <w:sz w:val="24"/>
          <w:szCs w:val="24"/>
        </w:rPr>
        <w:t xml:space="preserve"> дозой</w:t>
      </w:r>
      <w:r w:rsidR="00E2613F">
        <w:rPr>
          <w:rFonts w:ascii="Times New Roman" w:hAnsi="Times New Roman"/>
          <w:sz w:val="24"/>
          <w:szCs w:val="24"/>
        </w:rPr>
        <w:t>. Смыс</w:t>
      </w:r>
      <w:r w:rsidR="00F24C22">
        <w:rPr>
          <w:rFonts w:ascii="Times New Roman" w:hAnsi="Times New Roman"/>
          <w:sz w:val="24"/>
          <w:szCs w:val="24"/>
        </w:rPr>
        <w:t>л</w:t>
      </w:r>
      <w:r w:rsidR="00E2613F">
        <w:rPr>
          <w:rFonts w:ascii="Times New Roman" w:hAnsi="Times New Roman"/>
          <w:sz w:val="24"/>
          <w:szCs w:val="24"/>
        </w:rPr>
        <w:t xml:space="preserve"> </w:t>
      </w:r>
      <w:r w:rsidR="00E2613F">
        <w:rPr>
          <w:rFonts w:ascii="Times New Roman" w:hAnsi="Times New Roman"/>
          <w:sz w:val="24"/>
          <w:szCs w:val="24"/>
          <w:lang w:val="en-US"/>
        </w:rPr>
        <w:t>DDD</w:t>
      </w:r>
      <w:r w:rsidR="00E2613F">
        <w:rPr>
          <w:rFonts w:ascii="Times New Roman" w:hAnsi="Times New Roman"/>
          <w:sz w:val="24"/>
          <w:szCs w:val="24"/>
        </w:rPr>
        <w:t xml:space="preserve"> в </w:t>
      </w:r>
      <w:r w:rsidRPr="000678C5">
        <w:rPr>
          <w:rFonts w:ascii="Times New Roman" w:hAnsi="Times New Roman"/>
          <w:sz w:val="24"/>
          <w:szCs w:val="24"/>
        </w:rPr>
        <w:t>оценк</w:t>
      </w:r>
      <w:r w:rsidR="00E2613F">
        <w:rPr>
          <w:rFonts w:ascii="Times New Roman" w:hAnsi="Times New Roman"/>
          <w:sz w:val="24"/>
          <w:szCs w:val="24"/>
        </w:rPr>
        <w:t>е</w:t>
      </w:r>
      <w:r w:rsidRPr="000678C5">
        <w:rPr>
          <w:rFonts w:ascii="Times New Roman" w:hAnsi="Times New Roman"/>
          <w:sz w:val="24"/>
          <w:szCs w:val="24"/>
        </w:rPr>
        <w:t xml:space="preserve"> потребления лекарственных средств в целом, а не </w:t>
      </w:r>
      <w:r w:rsidR="00E2613F">
        <w:rPr>
          <w:rFonts w:ascii="Times New Roman" w:hAnsi="Times New Roman"/>
          <w:sz w:val="24"/>
          <w:szCs w:val="24"/>
        </w:rPr>
        <w:t xml:space="preserve">анализ </w:t>
      </w:r>
      <w:r w:rsidRPr="000678C5">
        <w:rPr>
          <w:rFonts w:ascii="Times New Roman" w:hAnsi="Times New Roman"/>
          <w:sz w:val="24"/>
          <w:szCs w:val="24"/>
        </w:rPr>
        <w:t xml:space="preserve">качества назначения </w:t>
      </w:r>
      <w:r w:rsidR="00E2613F">
        <w:rPr>
          <w:rFonts w:ascii="Times New Roman" w:hAnsi="Times New Roman"/>
          <w:sz w:val="24"/>
          <w:szCs w:val="24"/>
        </w:rPr>
        <w:t xml:space="preserve">лекарств </w:t>
      </w:r>
      <w:r w:rsidRPr="000678C5">
        <w:rPr>
          <w:rFonts w:ascii="Times New Roman" w:hAnsi="Times New Roman"/>
          <w:sz w:val="24"/>
          <w:szCs w:val="24"/>
        </w:rPr>
        <w:t>в каждом конкретном случае (</w:t>
      </w:r>
      <w:r w:rsidRPr="000678C5">
        <w:rPr>
          <w:rFonts w:ascii="Times New Roman" w:hAnsi="Times New Roman"/>
          <w:sz w:val="24"/>
          <w:szCs w:val="24"/>
          <w:lang w:val="en-US"/>
        </w:rPr>
        <w:t>DDD</w:t>
      </w:r>
      <w:r w:rsidRPr="000678C5">
        <w:rPr>
          <w:rFonts w:ascii="Times New Roman" w:hAnsi="Times New Roman"/>
          <w:sz w:val="24"/>
          <w:szCs w:val="24"/>
        </w:rPr>
        <w:t xml:space="preserve"> редко соответствует назначаемой дозе лекарственного средства, т.к. является усредненным значением между различными часто назначаемыми дозами).</w:t>
      </w:r>
      <w:r w:rsidR="00E2613F">
        <w:rPr>
          <w:rFonts w:ascii="Times New Roman" w:hAnsi="Times New Roman"/>
          <w:sz w:val="24"/>
          <w:szCs w:val="24"/>
        </w:rPr>
        <w:t xml:space="preserve"> Установленная суточная доза (</w:t>
      </w:r>
      <w:r w:rsidR="00E2613F">
        <w:rPr>
          <w:rFonts w:ascii="Times New Roman" w:hAnsi="Times New Roman"/>
          <w:sz w:val="24"/>
          <w:szCs w:val="24"/>
          <w:lang w:val="en-US"/>
        </w:rPr>
        <w:t>DDD</w:t>
      </w:r>
      <w:r w:rsidR="00E2613F">
        <w:rPr>
          <w:rFonts w:ascii="Times New Roman" w:hAnsi="Times New Roman"/>
          <w:sz w:val="24"/>
          <w:szCs w:val="24"/>
        </w:rPr>
        <w:t xml:space="preserve">, УСД) является иструментом для проведения исследований использования лекарственных средств. </w:t>
      </w:r>
    </w:p>
    <w:p w:rsidR="00D97DD4" w:rsidRPr="00BC6FAC" w:rsidRDefault="00E2613F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Установленная суточная доза (</w:t>
      </w:r>
      <w:r>
        <w:rPr>
          <w:rFonts w:ascii="Times New Roman" w:hAnsi="Times New Roman"/>
          <w:sz w:val="24"/>
          <w:szCs w:val="24"/>
          <w:lang w:val="en-US"/>
        </w:rPr>
        <w:t>DDD</w:t>
      </w:r>
      <w:r>
        <w:rPr>
          <w:rFonts w:ascii="Times New Roman" w:hAnsi="Times New Roman"/>
          <w:sz w:val="24"/>
          <w:szCs w:val="24"/>
        </w:rPr>
        <w:t>, УСД) представляет собой техническую характеристику для</w:t>
      </w:r>
      <w:r w:rsidRPr="00E26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лекарственной статистики, иными словами является «мерой дозы».</w:t>
      </w:r>
      <w:r w:rsidR="00BC6FAC">
        <w:rPr>
          <w:rFonts w:ascii="Times New Roman" w:hAnsi="Times New Roman"/>
          <w:sz w:val="24"/>
          <w:szCs w:val="24"/>
        </w:rPr>
        <w:t xml:space="preserve"> </w:t>
      </w:r>
      <w:r w:rsidR="00BC6FAC" w:rsidRPr="00BC6FAC">
        <w:rPr>
          <w:rFonts w:ascii="Times New Roman" w:hAnsi="Times New Roman"/>
          <w:sz w:val="24"/>
          <w:szCs w:val="24"/>
        </w:rPr>
        <w:t>Трудно оценить потребление ЛС у детей, т.к. для большинства ЛС детские DDD отсутствуют</w:t>
      </w:r>
      <w:r w:rsidR="00BC6FAC">
        <w:rPr>
          <w:rFonts w:ascii="Times New Roman" w:hAnsi="Times New Roman"/>
          <w:sz w:val="24"/>
          <w:szCs w:val="24"/>
        </w:rPr>
        <w:t xml:space="preserve">. </w:t>
      </w:r>
      <w:r w:rsidR="00BC6FAC" w:rsidRPr="00BC6FAC">
        <w:rPr>
          <w:rFonts w:ascii="Times New Roman" w:hAnsi="Times New Roman"/>
          <w:sz w:val="24"/>
          <w:szCs w:val="24"/>
        </w:rPr>
        <w:t xml:space="preserve">Не учитывается комплаентность пациентов и ее влияние на потребление </w:t>
      </w:r>
      <w:r w:rsidR="0042480A">
        <w:rPr>
          <w:rFonts w:ascii="Times New Roman" w:hAnsi="Times New Roman"/>
          <w:sz w:val="24"/>
          <w:szCs w:val="24"/>
        </w:rPr>
        <w:t>лекарственных средств.</w:t>
      </w:r>
    </w:p>
    <w:p w:rsidR="00D97DD4" w:rsidRPr="000678C5" w:rsidRDefault="00E2613F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Установленная суточная доза (</w:t>
      </w:r>
      <w:r>
        <w:rPr>
          <w:rFonts w:ascii="Times New Roman" w:hAnsi="Times New Roman"/>
          <w:sz w:val="24"/>
          <w:szCs w:val="24"/>
          <w:lang w:val="en-US"/>
        </w:rPr>
        <w:t>DDD</w:t>
      </w:r>
      <w:r>
        <w:rPr>
          <w:rFonts w:ascii="Times New Roman" w:hAnsi="Times New Roman"/>
          <w:sz w:val="24"/>
          <w:szCs w:val="24"/>
        </w:rPr>
        <w:t>, УСД)</w:t>
      </w:r>
      <w:r w:rsidR="00D97DD4" w:rsidRPr="000678C5">
        <w:rPr>
          <w:rFonts w:ascii="Times New Roman" w:hAnsi="Times New Roman"/>
          <w:sz w:val="24"/>
          <w:szCs w:val="24"/>
        </w:rPr>
        <w:t xml:space="preserve"> не зависит от цены, дозы </w:t>
      </w:r>
      <w:r>
        <w:rPr>
          <w:rFonts w:ascii="Times New Roman" w:hAnsi="Times New Roman"/>
          <w:sz w:val="24"/>
          <w:szCs w:val="24"/>
        </w:rPr>
        <w:t xml:space="preserve">в </w:t>
      </w:r>
      <w:r w:rsidR="00D97DD4" w:rsidRPr="000678C5">
        <w:rPr>
          <w:rFonts w:ascii="Times New Roman" w:hAnsi="Times New Roman"/>
          <w:sz w:val="24"/>
          <w:szCs w:val="24"/>
        </w:rPr>
        <w:t>конкретной лекарственной форм</w:t>
      </w:r>
      <w:r>
        <w:rPr>
          <w:rFonts w:ascii="Times New Roman" w:hAnsi="Times New Roman"/>
          <w:sz w:val="24"/>
          <w:szCs w:val="24"/>
        </w:rPr>
        <w:t>е</w:t>
      </w:r>
      <w:r w:rsidR="00D97DD4" w:rsidRPr="000678C5">
        <w:rPr>
          <w:rFonts w:ascii="Times New Roman" w:hAnsi="Times New Roman"/>
          <w:sz w:val="24"/>
          <w:szCs w:val="24"/>
        </w:rPr>
        <w:t xml:space="preserve"> и лекарственного препарата, что позволяет сравнивать потребление лекарственного средства среди различных групп населения.</w:t>
      </w:r>
    </w:p>
    <w:p w:rsidR="00D97DD4" w:rsidRPr="000678C5" w:rsidRDefault="00E2613F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Установленная суточная доза (</w:t>
      </w:r>
      <w:r>
        <w:rPr>
          <w:rFonts w:ascii="Times New Roman" w:hAnsi="Times New Roman"/>
          <w:sz w:val="24"/>
          <w:szCs w:val="24"/>
          <w:lang w:val="en-US"/>
        </w:rPr>
        <w:t>DDD</w:t>
      </w:r>
      <w:r>
        <w:rPr>
          <w:rFonts w:ascii="Times New Roman" w:hAnsi="Times New Roman"/>
          <w:sz w:val="24"/>
          <w:szCs w:val="24"/>
        </w:rPr>
        <w:t>, УСД)</w:t>
      </w:r>
      <w:r w:rsidR="00D97DD4" w:rsidRPr="000678C5">
        <w:rPr>
          <w:rFonts w:ascii="Times New Roman" w:hAnsi="Times New Roman"/>
          <w:sz w:val="24"/>
          <w:szCs w:val="24"/>
        </w:rPr>
        <w:t xml:space="preserve"> не устанавливается </w:t>
      </w:r>
      <w:r w:rsidR="00E95CA9">
        <w:rPr>
          <w:rFonts w:ascii="Times New Roman" w:hAnsi="Times New Roman"/>
          <w:sz w:val="24"/>
          <w:szCs w:val="24"/>
        </w:rPr>
        <w:t xml:space="preserve">экспертами </w:t>
      </w:r>
      <w:r w:rsidR="00D97DD4" w:rsidRPr="000678C5">
        <w:rPr>
          <w:rFonts w:ascii="Times New Roman" w:hAnsi="Times New Roman"/>
          <w:sz w:val="24"/>
          <w:szCs w:val="24"/>
        </w:rPr>
        <w:t xml:space="preserve">для лекарственных средств местного </w:t>
      </w:r>
      <w:r w:rsidR="00E95CA9">
        <w:rPr>
          <w:rFonts w:ascii="Times New Roman" w:hAnsi="Times New Roman"/>
          <w:sz w:val="24"/>
          <w:szCs w:val="24"/>
        </w:rPr>
        <w:t>действия</w:t>
      </w:r>
      <w:r w:rsidR="00D97DD4" w:rsidRPr="000678C5">
        <w:rPr>
          <w:rFonts w:ascii="Times New Roman" w:hAnsi="Times New Roman"/>
          <w:sz w:val="24"/>
          <w:szCs w:val="24"/>
        </w:rPr>
        <w:t xml:space="preserve">, </w:t>
      </w:r>
      <w:r w:rsidR="00E95CA9">
        <w:rPr>
          <w:rFonts w:ascii="Times New Roman" w:hAnsi="Times New Roman"/>
          <w:sz w:val="24"/>
          <w:szCs w:val="24"/>
        </w:rPr>
        <w:t>например, наружного применения,</w:t>
      </w:r>
      <w:r w:rsidR="00E95CA9" w:rsidRPr="000678C5">
        <w:rPr>
          <w:rFonts w:ascii="Times New Roman" w:hAnsi="Times New Roman"/>
          <w:sz w:val="24"/>
          <w:szCs w:val="24"/>
        </w:rPr>
        <w:t xml:space="preserve"> </w:t>
      </w:r>
      <w:r w:rsidR="00D97DD4" w:rsidRPr="000678C5">
        <w:rPr>
          <w:rFonts w:ascii="Times New Roman" w:hAnsi="Times New Roman"/>
          <w:sz w:val="24"/>
          <w:szCs w:val="24"/>
        </w:rPr>
        <w:t>сывороток, вакцин, противоопухолевых средств, экстрактов аллергенов, общих и местных анестетиков, а также контрастов.</w:t>
      </w:r>
    </w:p>
    <w:p w:rsidR="00D97DD4" w:rsidRPr="000678C5" w:rsidRDefault="005A194E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Достоинства и недостатки </w:t>
      </w:r>
      <w:r w:rsidR="00D97DD4" w:rsidRPr="000678C5">
        <w:rPr>
          <w:rFonts w:ascii="Times New Roman" w:hAnsi="Times New Roman"/>
          <w:b/>
          <w:sz w:val="24"/>
          <w:szCs w:val="24"/>
          <w:lang w:val="en-US"/>
        </w:rPr>
        <w:t>ATC</w:t>
      </w:r>
      <w:r w:rsidR="00D97DD4" w:rsidRPr="000678C5">
        <w:rPr>
          <w:rFonts w:ascii="Times New Roman" w:hAnsi="Times New Roman"/>
          <w:b/>
          <w:sz w:val="24"/>
          <w:szCs w:val="24"/>
        </w:rPr>
        <w:t>/</w:t>
      </w:r>
      <w:r w:rsidR="00D97DD4" w:rsidRPr="000678C5">
        <w:rPr>
          <w:rFonts w:ascii="Times New Roman" w:hAnsi="Times New Roman"/>
          <w:b/>
          <w:sz w:val="24"/>
          <w:szCs w:val="24"/>
          <w:lang w:val="en-US"/>
        </w:rPr>
        <w:t>DDD</w:t>
      </w:r>
      <w:r>
        <w:rPr>
          <w:rFonts w:ascii="Times New Roman" w:hAnsi="Times New Roman"/>
          <w:b/>
          <w:sz w:val="24"/>
          <w:szCs w:val="24"/>
        </w:rPr>
        <w:t>-системы</w:t>
      </w:r>
      <w:r w:rsidR="00D97DD4" w:rsidRPr="000678C5">
        <w:rPr>
          <w:rFonts w:ascii="Times New Roman" w:hAnsi="Times New Roman"/>
          <w:sz w:val="24"/>
          <w:szCs w:val="24"/>
        </w:rPr>
        <w:t>:</w:t>
      </w:r>
    </w:p>
    <w:p w:rsidR="005A194E" w:rsidRDefault="005A194E" w:rsidP="005A194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упоминалось выше, основной целью </w:t>
      </w:r>
      <w:r w:rsidRPr="005A194E">
        <w:rPr>
          <w:rFonts w:ascii="Times New Roman" w:hAnsi="Times New Roman"/>
          <w:sz w:val="24"/>
          <w:szCs w:val="24"/>
        </w:rPr>
        <w:t>ATC/DDD</w:t>
      </w:r>
      <w:r>
        <w:rPr>
          <w:rFonts w:ascii="Times New Roman" w:hAnsi="Times New Roman"/>
          <w:sz w:val="24"/>
          <w:szCs w:val="24"/>
        </w:rPr>
        <w:t>-</w:t>
      </w:r>
      <w:r w:rsidRPr="005A194E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является определение потребления лекарственных средств с целью его улучшения. С этой целью и была создана </w:t>
      </w:r>
      <w:r w:rsidRPr="005A194E">
        <w:rPr>
          <w:rFonts w:ascii="Times New Roman" w:hAnsi="Times New Roman"/>
          <w:sz w:val="24"/>
          <w:szCs w:val="24"/>
        </w:rPr>
        <w:t>ATC/DDD</w:t>
      </w:r>
      <w:r>
        <w:rPr>
          <w:rFonts w:ascii="Times New Roman" w:hAnsi="Times New Roman"/>
          <w:sz w:val="24"/>
          <w:szCs w:val="24"/>
        </w:rPr>
        <w:t>-</w:t>
      </w:r>
      <w:r w:rsidRPr="005A194E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 xml:space="preserve">а, и, руководствуясь ею (целью) в ней (классификации) происходят все изменения и дополнения. Вследствие этого использование системы для других целей может быть нерациональным. Метод используется с начала 1970-х для оценки потребления лекарственных средств на </w:t>
      </w:r>
      <w:r w:rsidR="00374F86">
        <w:rPr>
          <w:rFonts w:ascii="Times New Roman" w:hAnsi="Times New Roman"/>
          <w:sz w:val="24"/>
          <w:szCs w:val="24"/>
        </w:rPr>
        <w:t xml:space="preserve">национальных </w:t>
      </w:r>
      <w:r>
        <w:rPr>
          <w:rFonts w:ascii="Times New Roman" w:hAnsi="Times New Roman"/>
          <w:sz w:val="24"/>
          <w:szCs w:val="24"/>
        </w:rPr>
        <w:t xml:space="preserve">и </w:t>
      </w:r>
      <w:r w:rsidR="00374F86">
        <w:rPr>
          <w:rFonts w:ascii="Times New Roman" w:hAnsi="Times New Roman"/>
          <w:sz w:val="24"/>
          <w:szCs w:val="24"/>
        </w:rPr>
        <w:t xml:space="preserve">международном </w:t>
      </w:r>
      <w:r>
        <w:rPr>
          <w:rFonts w:ascii="Times New Roman" w:hAnsi="Times New Roman"/>
          <w:sz w:val="24"/>
          <w:szCs w:val="24"/>
        </w:rPr>
        <w:t>уровнях</w:t>
      </w:r>
      <w:r w:rsidR="002C121D">
        <w:rPr>
          <w:rFonts w:ascii="Times New Roman" w:hAnsi="Times New Roman"/>
          <w:sz w:val="24"/>
          <w:szCs w:val="24"/>
        </w:rPr>
        <w:t xml:space="preserve">, </w:t>
      </w:r>
      <w:r w:rsidR="00374F86">
        <w:rPr>
          <w:rFonts w:ascii="Times New Roman" w:hAnsi="Times New Roman"/>
          <w:sz w:val="24"/>
          <w:szCs w:val="24"/>
        </w:rPr>
        <w:t xml:space="preserve">для </w:t>
      </w:r>
      <w:r w:rsidR="002C121D">
        <w:rPr>
          <w:rFonts w:ascii="Times New Roman" w:hAnsi="Times New Roman"/>
          <w:sz w:val="24"/>
          <w:szCs w:val="24"/>
        </w:rPr>
        <w:t xml:space="preserve">оценки долгосрочных тенденций, </w:t>
      </w:r>
      <w:r w:rsidR="00374F86">
        <w:rPr>
          <w:rFonts w:ascii="Times New Roman" w:hAnsi="Times New Roman"/>
          <w:sz w:val="24"/>
          <w:szCs w:val="24"/>
        </w:rPr>
        <w:t xml:space="preserve">выявления </w:t>
      </w:r>
      <w:r w:rsidR="002C121D">
        <w:rPr>
          <w:rFonts w:ascii="Times New Roman" w:hAnsi="Times New Roman"/>
          <w:sz w:val="24"/>
          <w:szCs w:val="24"/>
        </w:rPr>
        <w:t xml:space="preserve">влияния целенаправленных вмешательств в </w:t>
      </w:r>
      <w:r w:rsidR="00374F86">
        <w:rPr>
          <w:rFonts w:ascii="Times New Roman" w:hAnsi="Times New Roman"/>
          <w:sz w:val="24"/>
          <w:szCs w:val="24"/>
        </w:rPr>
        <w:t xml:space="preserve">потребление </w:t>
      </w:r>
      <w:r w:rsidR="002C121D">
        <w:rPr>
          <w:rFonts w:ascii="Times New Roman" w:hAnsi="Times New Roman"/>
          <w:sz w:val="24"/>
          <w:szCs w:val="24"/>
        </w:rPr>
        <w:t>лекарств и определения безопасности лекарственных средств.</w:t>
      </w:r>
    </w:p>
    <w:p w:rsidR="002C121D" w:rsidRPr="002C121D" w:rsidRDefault="002C121D" w:rsidP="005A194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C121D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>требление лекарственных средств</w:t>
      </w:r>
    </w:p>
    <w:p w:rsidR="002C121D" w:rsidRDefault="002C121D" w:rsidP="002C12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A194E">
        <w:rPr>
          <w:rFonts w:ascii="Times New Roman" w:hAnsi="Times New Roman"/>
          <w:sz w:val="24"/>
          <w:szCs w:val="24"/>
        </w:rPr>
        <w:t>ATC/DDD</w:t>
      </w:r>
      <w:r>
        <w:rPr>
          <w:rFonts w:ascii="Times New Roman" w:hAnsi="Times New Roman"/>
          <w:sz w:val="24"/>
          <w:szCs w:val="24"/>
        </w:rPr>
        <w:t>-анализ может быть использован для сбора информации по потреблению лекарственных средств по разным параметрам и из различных источников:</w:t>
      </w:r>
    </w:p>
    <w:p w:rsidR="00D97DD4" w:rsidRPr="000678C5" w:rsidRDefault="00D97DD4" w:rsidP="00D97DD4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Вычислить </w:t>
      </w:r>
      <w:r w:rsidR="00E95CA9">
        <w:rPr>
          <w:rFonts w:ascii="Times New Roman" w:hAnsi="Times New Roman"/>
          <w:sz w:val="24"/>
          <w:szCs w:val="24"/>
        </w:rPr>
        <w:t xml:space="preserve">объемы </w:t>
      </w:r>
      <w:r w:rsidRPr="000678C5">
        <w:rPr>
          <w:rFonts w:ascii="Times New Roman" w:hAnsi="Times New Roman"/>
          <w:sz w:val="24"/>
          <w:szCs w:val="24"/>
        </w:rPr>
        <w:t xml:space="preserve">продаж, в т.ч. оптовые на национальном, региональном и местном </w:t>
      </w:r>
      <w:r w:rsidR="00E95CA9">
        <w:rPr>
          <w:rFonts w:ascii="Times New Roman" w:hAnsi="Times New Roman"/>
          <w:sz w:val="24"/>
          <w:szCs w:val="24"/>
        </w:rPr>
        <w:t xml:space="preserve">и учрежденческом </w:t>
      </w:r>
      <w:r w:rsidRPr="000678C5">
        <w:rPr>
          <w:rFonts w:ascii="Times New Roman" w:hAnsi="Times New Roman"/>
          <w:sz w:val="24"/>
          <w:szCs w:val="24"/>
        </w:rPr>
        <w:t>уровне.</w:t>
      </w:r>
    </w:p>
    <w:p w:rsidR="003054D1" w:rsidRDefault="00D97DD4" w:rsidP="002C121D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Получить информацию по отпуску и распределению лекарственных средств, а также сумму возмещения на каждом уровне.</w:t>
      </w:r>
    </w:p>
    <w:p w:rsidR="00D97DD4" w:rsidRPr="000678C5" w:rsidRDefault="00D97DD4" w:rsidP="002C121D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Стандартизировать классификацию лекарственных средств, установить единые методы подсчета потребления на всех уровнях, в т.ч. на международном; выявить основные тенденции потребления медикаментов в разное время и по разным критериям.</w:t>
      </w:r>
    </w:p>
    <w:p w:rsidR="00D97DD4" w:rsidRPr="002C121D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Потребление </w:t>
      </w:r>
      <w:r w:rsidR="0066773C">
        <w:rPr>
          <w:rFonts w:ascii="Times New Roman" w:hAnsi="Times New Roman"/>
          <w:sz w:val="24"/>
          <w:szCs w:val="24"/>
        </w:rPr>
        <w:t xml:space="preserve">лекарственных средств </w:t>
      </w:r>
      <w:r w:rsidRPr="000678C5">
        <w:rPr>
          <w:rFonts w:ascii="Times New Roman" w:hAnsi="Times New Roman"/>
          <w:sz w:val="24"/>
          <w:szCs w:val="24"/>
        </w:rPr>
        <w:t>должно рассчитываться как количество DDD на 1000 человек в сутки, что позволяет приблизительно оценить потребление лекарственных средств на соответствующей территории.</w:t>
      </w:r>
      <w:r w:rsidR="002C121D">
        <w:rPr>
          <w:rFonts w:ascii="Times New Roman" w:hAnsi="Times New Roman"/>
          <w:sz w:val="24"/>
          <w:szCs w:val="24"/>
        </w:rPr>
        <w:t xml:space="preserve"> Например, 10 DDD на 1000 человек в сутки означает, что 1% населения в среднем получает данное лечение каждый день.</w:t>
      </w:r>
    </w:p>
    <w:p w:rsidR="00D97DD4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Для лекарственных средств с коротким курсом назначения (в т.ч. противомикробных средств) DDD лучше определять как кол</w:t>
      </w:r>
      <w:r w:rsidR="000678C5" w:rsidRPr="000678C5">
        <w:rPr>
          <w:rFonts w:ascii="Times New Roman" w:hAnsi="Times New Roman"/>
          <w:sz w:val="24"/>
          <w:szCs w:val="24"/>
        </w:rPr>
        <w:t xml:space="preserve">ичество DDD на одного человека </w:t>
      </w:r>
      <w:r w:rsidRPr="000678C5">
        <w:rPr>
          <w:rFonts w:ascii="Times New Roman" w:hAnsi="Times New Roman"/>
          <w:sz w:val="24"/>
          <w:szCs w:val="24"/>
        </w:rPr>
        <w:t>в год.</w:t>
      </w:r>
      <w:r w:rsidR="002C121D">
        <w:rPr>
          <w:rFonts w:ascii="Times New Roman" w:hAnsi="Times New Roman"/>
          <w:sz w:val="24"/>
          <w:szCs w:val="24"/>
        </w:rPr>
        <w:t xml:space="preserve"> Этот показатель показывает приблизительный срок (в днях), в течение которого в среднем каждый житель</w:t>
      </w:r>
      <w:r w:rsidR="0011709E">
        <w:rPr>
          <w:rFonts w:ascii="Times New Roman" w:hAnsi="Times New Roman"/>
          <w:sz w:val="24"/>
          <w:szCs w:val="24"/>
        </w:rPr>
        <w:t xml:space="preserve"> проходит лечение противомикробных средством. Например, 5 DDD на одного человека в год означает, что потребление эквивалентно приему данного лекарственного средства каждым человеком в течение 5 дней в год.</w:t>
      </w:r>
    </w:p>
    <w:p w:rsidR="0011709E" w:rsidRDefault="0011709E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другой стороны, если известен период </w:t>
      </w:r>
      <w:r w:rsidR="003054D1">
        <w:rPr>
          <w:rFonts w:ascii="Times New Roman" w:hAnsi="Times New Roman"/>
          <w:sz w:val="24"/>
          <w:szCs w:val="24"/>
        </w:rPr>
        <w:t>лечения</w:t>
      </w:r>
      <w:r>
        <w:rPr>
          <w:rFonts w:ascii="Times New Roman" w:hAnsi="Times New Roman"/>
          <w:sz w:val="24"/>
          <w:szCs w:val="24"/>
        </w:rPr>
        <w:t xml:space="preserve">, то можно вычислить общее количество DDD как количество курсов лечения, а количество курсов лечения </w:t>
      </w:r>
      <w:r w:rsidR="003054D1">
        <w:rPr>
          <w:rFonts w:ascii="Times New Roman" w:hAnsi="Times New Roman"/>
          <w:sz w:val="24"/>
          <w:szCs w:val="24"/>
        </w:rPr>
        <w:t xml:space="preserve">может </w:t>
      </w:r>
      <w:r>
        <w:rPr>
          <w:rFonts w:ascii="Times New Roman" w:hAnsi="Times New Roman"/>
          <w:sz w:val="24"/>
          <w:szCs w:val="24"/>
        </w:rPr>
        <w:t xml:space="preserve">быть </w:t>
      </w:r>
      <w:r w:rsidR="003054D1">
        <w:rPr>
          <w:rFonts w:ascii="Times New Roman" w:hAnsi="Times New Roman"/>
          <w:sz w:val="24"/>
          <w:szCs w:val="24"/>
        </w:rPr>
        <w:t xml:space="preserve">перенесено </w:t>
      </w:r>
      <w:r>
        <w:rPr>
          <w:rFonts w:ascii="Times New Roman" w:hAnsi="Times New Roman"/>
          <w:sz w:val="24"/>
          <w:szCs w:val="24"/>
        </w:rPr>
        <w:t>на все население.</w:t>
      </w:r>
    </w:p>
    <w:p w:rsidR="0011709E" w:rsidRPr="0011709E" w:rsidRDefault="0011709E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некоторых групп лекарственных средств, которым не присвоены значения DDD, можно использовать другие методы оценки. Например, потребление дерматологических средств может быть представлено в граммах для мазей, кремов; антинеопластические средства (АТС 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>01</w:t>
      </w:r>
      <w:r w:rsidRPr="0011709E">
        <w:rPr>
          <w:rFonts w:ascii="Times New Roman" w:hAnsi="Times New Roman"/>
          <w:sz w:val="24"/>
          <w:szCs w:val="24"/>
        </w:rPr>
        <w:t>) могут быть представлены в граммах активного вещества.</w:t>
      </w:r>
    </w:p>
    <w:p w:rsidR="00D97DD4" w:rsidRPr="000678C5" w:rsidRDefault="00D97DD4" w:rsidP="00D97DD4">
      <w:pPr>
        <w:spacing w:line="360" w:lineRule="auto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b/>
          <w:sz w:val="24"/>
          <w:szCs w:val="24"/>
        </w:rPr>
        <w:t>Совершенствование потребления лекарственных средств</w:t>
      </w:r>
      <w:r w:rsidRPr="000678C5">
        <w:rPr>
          <w:rFonts w:ascii="Times New Roman" w:hAnsi="Times New Roman"/>
          <w:sz w:val="24"/>
          <w:szCs w:val="24"/>
        </w:rPr>
        <w:t>: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Публикации сведений о потреблении лекарств ведомствами по здравоохранению, университетами, научными организациями и пр. позволя</w:t>
      </w:r>
      <w:r w:rsidR="00627D40">
        <w:rPr>
          <w:rFonts w:ascii="Times New Roman" w:hAnsi="Times New Roman"/>
          <w:sz w:val="24"/>
          <w:szCs w:val="24"/>
        </w:rPr>
        <w:t>ю</w:t>
      </w:r>
      <w:r w:rsidRPr="000678C5">
        <w:rPr>
          <w:rFonts w:ascii="Times New Roman" w:hAnsi="Times New Roman"/>
          <w:sz w:val="24"/>
          <w:szCs w:val="24"/>
        </w:rPr>
        <w:t>т выявить избыточное, недостаточное потребление или неправильное потребление конкретного лекарственного средства или целой терапевтической группы. Это позволит инициировать процесс оптимизации потребления путем научных исследований или образовательных программ.</w:t>
      </w:r>
    </w:p>
    <w:p w:rsidR="002F6CBA" w:rsidRDefault="002F6CBA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безопасности лекарственных средств</w:t>
      </w:r>
    </w:p>
    <w:p w:rsidR="002F6CBA" w:rsidRPr="002F6CBA" w:rsidRDefault="002F6CBA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частоты возникновения побочных действий лекарственных средств может быть соотнесена с потреблением лекарственных средств, оцениваемой методом ATC/DDD-анализа. Если использовать частоту нежелательных лекарственных реакций в качестве числителя, а количество DDD на 1000/сут в качестве знаменателя, можно получить предполагаемую частоту побочного действия лекарственных средств, а также их групп.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6CBA">
        <w:rPr>
          <w:rFonts w:ascii="Times New Roman" w:hAnsi="Times New Roman"/>
          <w:b/>
          <w:sz w:val="24"/>
          <w:szCs w:val="24"/>
        </w:rPr>
        <w:t>Назначение одних и тех же лекарственных средств («удвоение» и «псевдоудвоение»)</w:t>
      </w:r>
    </w:p>
    <w:p w:rsidR="00D97DD4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АТС анализ позволяет оценить назначение одному и тому же больному идентичных лекарственных средств (разница в названии или форме выпуска — «удвоение»), а также лекарственных средств, похожих по фармакологическим свойствам («псевдоудвоение»).</w:t>
      </w:r>
    </w:p>
    <w:p w:rsidR="002F6CBA" w:rsidRPr="00CC22F5" w:rsidRDefault="00CC22F5" w:rsidP="00D97DD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C22F5">
        <w:rPr>
          <w:rFonts w:ascii="Times New Roman" w:hAnsi="Times New Roman"/>
          <w:b/>
          <w:sz w:val="24"/>
          <w:szCs w:val="24"/>
        </w:rPr>
        <w:t>Стоимость лекарственных средств, ценообразование, политика сдерживания цен</w:t>
      </w:r>
    </w:p>
    <w:p w:rsidR="00CC22F5" w:rsidRPr="007361F9" w:rsidRDefault="00CC22F5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194E">
        <w:rPr>
          <w:rFonts w:ascii="Times New Roman" w:hAnsi="Times New Roman"/>
          <w:sz w:val="24"/>
          <w:szCs w:val="24"/>
        </w:rPr>
        <w:t>ATC/DDD</w:t>
      </w:r>
      <w:r>
        <w:rPr>
          <w:rFonts w:ascii="Times New Roman" w:hAnsi="Times New Roman"/>
          <w:sz w:val="24"/>
          <w:szCs w:val="24"/>
        </w:rPr>
        <w:t>-система может быть полезна для</w:t>
      </w:r>
      <w:r w:rsidR="009E3B7A">
        <w:rPr>
          <w:rFonts w:ascii="Times New Roman" w:hAnsi="Times New Roman"/>
          <w:sz w:val="24"/>
          <w:szCs w:val="24"/>
        </w:rPr>
        <w:t xml:space="preserve"> отслеживания и </w:t>
      </w:r>
      <w:r>
        <w:rPr>
          <w:rFonts w:ascii="Times New Roman" w:hAnsi="Times New Roman"/>
          <w:sz w:val="24"/>
          <w:szCs w:val="24"/>
        </w:rPr>
        <w:t xml:space="preserve">сравнения </w:t>
      </w:r>
      <w:r w:rsidR="007361F9">
        <w:rPr>
          <w:rFonts w:ascii="Times New Roman" w:hAnsi="Times New Roman"/>
          <w:sz w:val="24"/>
          <w:szCs w:val="24"/>
        </w:rPr>
        <w:t xml:space="preserve">тенденций изменения </w:t>
      </w:r>
      <w:r>
        <w:rPr>
          <w:rFonts w:ascii="Times New Roman" w:hAnsi="Times New Roman"/>
          <w:sz w:val="24"/>
          <w:szCs w:val="24"/>
        </w:rPr>
        <w:t xml:space="preserve">цен на лекарственные </w:t>
      </w:r>
      <w:r w:rsidR="007361F9"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</w:rPr>
        <w:t xml:space="preserve">, но </w:t>
      </w:r>
      <w:r w:rsidR="007361F9">
        <w:rPr>
          <w:rFonts w:ascii="Times New Roman" w:hAnsi="Times New Roman"/>
          <w:sz w:val="24"/>
          <w:szCs w:val="24"/>
        </w:rPr>
        <w:t xml:space="preserve">ее можно </w:t>
      </w:r>
      <w:r>
        <w:rPr>
          <w:rFonts w:ascii="Times New Roman" w:hAnsi="Times New Roman"/>
          <w:sz w:val="24"/>
          <w:szCs w:val="24"/>
        </w:rPr>
        <w:t xml:space="preserve">использовать для таких целей с </w:t>
      </w:r>
      <w:r w:rsidR="007361F9">
        <w:rPr>
          <w:rFonts w:ascii="Times New Roman" w:hAnsi="Times New Roman"/>
          <w:sz w:val="24"/>
          <w:szCs w:val="24"/>
        </w:rPr>
        <w:t xml:space="preserve">очень </w:t>
      </w:r>
      <w:r>
        <w:rPr>
          <w:rFonts w:ascii="Times New Roman" w:hAnsi="Times New Roman"/>
          <w:sz w:val="24"/>
          <w:szCs w:val="24"/>
        </w:rPr>
        <w:t>большой осторожностью.</w:t>
      </w:r>
      <w:r w:rsidR="007361F9">
        <w:rPr>
          <w:rFonts w:ascii="Times New Roman" w:hAnsi="Times New Roman"/>
          <w:sz w:val="24"/>
          <w:szCs w:val="24"/>
        </w:rPr>
        <w:t xml:space="preserve"> АТС</w:t>
      </w:r>
      <w:r w:rsidR="007361F9" w:rsidRPr="007361F9">
        <w:rPr>
          <w:rFonts w:ascii="Times New Roman" w:hAnsi="Times New Roman"/>
          <w:sz w:val="24"/>
          <w:szCs w:val="24"/>
        </w:rPr>
        <w:t>/</w:t>
      </w:r>
      <w:r w:rsidR="007361F9">
        <w:rPr>
          <w:rFonts w:ascii="Times New Roman" w:hAnsi="Times New Roman"/>
          <w:sz w:val="24"/>
          <w:szCs w:val="24"/>
          <w:lang w:val="en-US"/>
        </w:rPr>
        <w:t>DDD</w:t>
      </w:r>
      <w:r w:rsidR="007361F9">
        <w:rPr>
          <w:rFonts w:ascii="Times New Roman" w:hAnsi="Times New Roman"/>
          <w:sz w:val="24"/>
          <w:szCs w:val="24"/>
        </w:rPr>
        <w:t xml:space="preserve"> классификационная система не должна быть использована для принятия каких-бы то ни было решений по ценообразованию, возмещению затрат, или для референтного ценобразования. Подобные попытки квалифицируются как неправильное использование классификационной системы.</w:t>
      </w:r>
      <w:r w:rsidR="009E3B7A" w:rsidRPr="007361F9">
        <w:rPr>
          <w:rFonts w:ascii="Times New Roman" w:hAnsi="Times New Roman"/>
          <w:sz w:val="24"/>
          <w:szCs w:val="24"/>
        </w:rPr>
        <w:t xml:space="preserve"> </w:t>
      </w:r>
    </w:p>
    <w:p w:rsidR="007361F9" w:rsidRDefault="009E3B7A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E3B7A">
        <w:rPr>
          <w:rFonts w:ascii="Times New Roman" w:hAnsi="Times New Roman"/>
          <w:sz w:val="24"/>
          <w:szCs w:val="24"/>
        </w:rPr>
        <w:t xml:space="preserve">Присвоение </w:t>
      </w:r>
      <w:r w:rsidRPr="005A194E">
        <w:rPr>
          <w:rFonts w:ascii="Times New Roman" w:hAnsi="Times New Roman"/>
          <w:sz w:val="24"/>
          <w:szCs w:val="24"/>
        </w:rPr>
        <w:t>DDD</w:t>
      </w:r>
      <w:r>
        <w:rPr>
          <w:rFonts w:ascii="Times New Roman" w:hAnsi="Times New Roman"/>
          <w:sz w:val="24"/>
          <w:szCs w:val="24"/>
        </w:rPr>
        <w:t xml:space="preserve"> было предпринято с целью создания стабильной системы </w:t>
      </w:r>
      <w:r w:rsidR="007361F9">
        <w:rPr>
          <w:rFonts w:ascii="Times New Roman" w:hAnsi="Times New Roman"/>
          <w:sz w:val="24"/>
          <w:szCs w:val="24"/>
        </w:rPr>
        <w:t>анализ</w:t>
      </w:r>
      <w:r w:rsidR="00A2679F">
        <w:rPr>
          <w:rFonts w:ascii="Times New Roman" w:hAnsi="Times New Roman"/>
          <w:sz w:val="24"/>
          <w:szCs w:val="24"/>
        </w:rPr>
        <w:t>а</w:t>
      </w:r>
      <w:r w:rsidR="00736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потребления лекарственных средств, которая призвана отслеживать и сравнивать тенденции в потреблении лекарственных средств в разрезе терапевтических групп. </w:t>
      </w:r>
    </w:p>
    <w:p w:rsidR="00A2679F" w:rsidRPr="00AF6792" w:rsidRDefault="009E3B7A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194E">
        <w:rPr>
          <w:rFonts w:ascii="Times New Roman" w:hAnsi="Times New Roman"/>
          <w:sz w:val="24"/>
          <w:szCs w:val="24"/>
        </w:rPr>
        <w:t>DDD</w:t>
      </w:r>
      <w:r>
        <w:rPr>
          <w:rFonts w:ascii="Times New Roman" w:hAnsi="Times New Roman"/>
          <w:sz w:val="24"/>
          <w:szCs w:val="24"/>
        </w:rPr>
        <w:t xml:space="preserve"> — это техническая измерительная величина</w:t>
      </w:r>
      <w:r w:rsidR="004E2F92">
        <w:rPr>
          <w:rFonts w:ascii="Times New Roman" w:hAnsi="Times New Roman"/>
          <w:sz w:val="24"/>
          <w:szCs w:val="24"/>
        </w:rPr>
        <w:t>, она не призвана отражать терапевтически эквивалентные дозы различных средств</w:t>
      </w:r>
      <w:r w:rsidR="00F81308">
        <w:rPr>
          <w:rFonts w:ascii="Times New Roman" w:hAnsi="Times New Roman"/>
          <w:sz w:val="24"/>
          <w:szCs w:val="24"/>
        </w:rPr>
        <w:t>, которые трудно установить</w:t>
      </w:r>
      <w:r w:rsidR="004E2F92">
        <w:rPr>
          <w:rFonts w:ascii="Times New Roman" w:hAnsi="Times New Roman"/>
          <w:sz w:val="24"/>
          <w:szCs w:val="24"/>
        </w:rPr>
        <w:t>.</w:t>
      </w:r>
      <w:r w:rsidR="00F81308">
        <w:rPr>
          <w:rFonts w:ascii="Times New Roman" w:hAnsi="Times New Roman"/>
          <w:sz w:val="24"/>
          <w:szCs w:val="24"/>
        </w:rPr>
        <w:t xml:space="preserve"> Стоимость 1 DDD можно использовать для сравнения стоимости различных форм выпуска одного действующего вещества, но </w:t>
      </w:r>
      <w:r w:rsidR="00C46970">
        <w:rPr>
          <w:rFonts w:ascii="Times New Roman" w:hAnsi="Times New Roman"/>
          <w:sz w:val="24"/>
          <w:szCs w:val="24"/>
        </w:rPr>
        <w:t>не для сравнения</w:t>
      </w:r>
      <w:r w:rsidR="00F81308">
        <w:rPr>
          <w:rFonts w:ascii="Times New Roman" w:hAnsi="Times New Roman"/>
          <w:sz w:val="24"/>
          <w:szCs w:val="24"/>
        </w:rPr>
        <w:t xml:space="preserve"> стоимости различных лекарственных средств (разных МНН)</w:t>
      </w:r>
      <w:r w:rsidR="00BC6FAC">
        <w:rPr>
          <w:rFonts w:ascii="Times New Roman" w:hAnsi="Times New Roman"/>
          <w:sz w:val="24"/>
          <w:szCs w:val="24"/>
        </w:rPr>
        <w:t xml:space="preserve">. </w:t>
      </w:r>
    </w:p>
    <w:p w:rsidR="00BC6FAC" w:rsidRP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 xml:space="preserve">Соотношение между </w:t>
      </w:r>
      <w:r w:rsidR="00A2679F">
        <w:rPr>
          <w:rFonts w:ascii="Times New Roman" w:hAnsi="Times New Roman"/>
          <w:sz w:val="24"/>
          <w:szCs w:val="24"/>
        </w:rPr>
        <w:t>Назначенной Суточной Д</w:t>
      </w:r>
      <w:r w:rsidR="00A2679F" w:rsidRPr="00BC6FAC">
        <w:rPr>
          <w:rFonts w:ascii="Times New Roman" w:hAnsi="Times New Roman"/>
          <w:sz w:val="24"/>
          <w:szCs w:val="24"/>
        </w:rPr>
        <w:t xml:space="preserve">озой </w:t>
      </w:r>
      <w:r w:rsidRPr="00BC6FAC">
        <w:rPr>
          <w:rFonts w:ascii="Times New Roman" w:hAnsi="Times New Roman"/>
          <w:sz w:val="24"/>
          <w:szCs w:val="24"/>
        </w:rPr>
        <w:t>(</w:t>
      </w:r>
      <w:r w:rsidR="00A2679F">
        <w:rPr>
          <w:rFonts w:ascii="Times New Roman" w:hAnsi="Times New Roman"/>
          <w:sz w:val="24"/>
          <w:szCs w:val="24"/>
        </w:rPr>
        <w:t xml:space="preserve">НСД, </w:t>
      </w:r>
      <w:r w:rsidRPr="00BC6FAC">
        <w:rPr>
          <w:rFonts w:ascii="Times New Roman" w:hAnsi="Times New Roman"/>
          <w:sz w:val="24"/>
          <w:szCs w:val="24"/>
        </w:rPr>
        <w:t xml:space="preserve">Prescribed Daily Dose, PDD) и DDD для разных лекарственных средств всегда различно, а также неодинаково для одного и того же лекарства для разных стран. PDD часто меняются, тогда как DDD экспертами меняется неохотно (это происходит только в случае значительных колебаний PDD или у лекарственного средства меняются основные показания). Даже PDD не всегда отражает терапевтическую эквивалентную дозу, </w:t>
      </w:r>
      <w:r w:rsidR="00A2679F">
        <w:rPr>
          <w:rFonts w:ascii="Times New Roman" w:hAnsi="Times New Roman"/>
          <w:sz w:val="24"/>
          <w:szCs w:val="24"/>
        </w:rPr>
        <w:t>то есть не является полной мерой эффекта лекарства.</w:t>
      </w:r>
      <w:r w:rsidRPr="00BC6FAC">
        <w:rPr>
          <w:rFonts w:ascii="Times New Roman" w:hAnsi="Times New Roman"/>
          <w:sz w:val="24"/>
          <w:szCs w:val="24"/>
        </w:rPr>
        <w:t xml:space="preserve"> Вследствие этого DDD не подходит для сравнения лекарств для принятия решения об «эффективной» цене.</w:t>
      </w:r>
    </w:p>
    <w:p w:rsidR="00BC6FAC" w:rsidRP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 xml:space="preserve">Учитывая вышесказанное, не следует строить группировку лекарственных средств в АТС-классификации по ценовому признаку. Основные показания для лекарственных средств (по этому принципу строится АТС-классификация) рознятся от страны к стране, и, как и PDD, постоянно меняются. Однако АТС-система </w:t>
      </w:r>
      <w:r w:rsidR="00A2679F">
        <w:rPr>
          <w:rFonts w:ascii="Times New Roman" w:hAnsi="Times New Roman"/>
          <w:sz w:val="24"/>
          <w:szCs w:val="24"/>
        </w:rPr>
        <w:t xml:space="preserve">является </w:t>
      </w:r>
      <w:r w:rsidR="00A2679F" w:rsidRPr="00BC6FAC">
        <w:rPr>
          <w:rFonts w:ascii="Times New Roman" w:hAnsi="Times New Roman"/>
          <w:sz w:val="24"/>
          <w:szCs w:val="24"/>
        </w:rPr>
        <w:t>удобн</w:t>
      </w:r>
      <w:r w:rsidR="00A2679F">
        <w:rPr>
          <w:rFonts w:ascii="Times New Roman" w:hAnsi="Times New Roman"/>
          <w:sz w:val="24"/>
          <w:szCs w:val="24"/>
        </w:rPr>
        <w:t>ым инструментом</w:t>
      </w:r>
      <w:r w:rsidR="00A2679F" w:rsidRPr="00BC6FAC">
        <w:rPr>
          <w:rFonts w:ascii="Times New Roman" w:hAnsi="Times New Roman"/>
          <w:sz w:val="24"/>
          <w:szCs w:val="24"/>
        </w:rPr>
        <w:t xml:space="preserve"> </w:t>
      </w:r>
      <w:r w:rsidRPr="00BC6FAC">
        <w:rPr>
          <w:rFonts w:ascii="Times New Roman" w:hAnsi="Times New Roman"/>
          <w:sz w:val="24"/>
          <w:szCs w:val="24"/>
        </w:rPr>
        <w:t>для определения агрегированной стоимости по лекарственным группам (химическим, фармакологическим, терапевтическим и анатомическим).</w:t>
      </w:r>
    </w:p>
    <w:p w:rsidR="009E3B7A" w:rsidRP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>Несмотря на это, национальные власти используют АТС/DDD-систему для определения объема финансового возмещения и ценообразования, что ведет к научно необоснованному и неадекватному использованию этого ценного метода. Такое использование может быть правомочно только на ранних этапах оценки данных параметров, в качестве дополнительного инструмента.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Для проведения АТС/DDD были предприняты следующие шаги:</w:t>
      </w:r>
    </w:p>
    <w:p w:rsidR="00D97DD4" w:rsidRPr="000678C5" w:rsidRDefault="00D97DD4" w:rsidP="00D97DD4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Присвоение каждому лекарственному препарату (NAME_MED) уникального АТС кода.</w:t>
      </w:r>
    </w:p>
    <w:p w:rsidR="00D97DD4" w:rsidRPr="000678C5" w:rsidRDefault="00D97DD4" w:rsidP="00D97DD4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Присвоение соответствующему АТС его уникального значения DDD. </w:t>
      </w:r>
      <w:r w:rsidRPr="000678C5">
        <w:rPr>
          <w:rFonts w:ascii="Times New Roman" w:hAnsi="Times New Roman"/>
          <w:sz w:val="24"/>
          <w:szCs w:val="24"/>
          <w:lang w:val="en-US"/>
        </w:rPr>
        <w:t>DDD</w:t>
      </w:r>
      <w:r w:rsidRPr="000678C5">
        <w:rPr>
          <w:rFonts w:ascii="Times New Roman" w:hAnsi="Times New Roman"/>
          <w:sz w:val="24"/>
          <w:szCs w:val="24"/>
        </w:rPr>
        <w:t xml:space="preserve"> присваивается только для тех АТС, для которых разработана соответствующие дозы</w:t>
      </w:r>
    </w:p>
    <w:p w:rsidR="00D97DD4" w:rsidRPr="000678C5" w:rsidRDefault="00D97DD4" w:rsidP="00D97DD4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Указание для каждого лекарственного средства с имеющимися значениями DDD его единицы измерения по системе СИ.</w:t>
      </w:r>
    </w:p>
    <w:p w:rsidR="00D97DD4" w:rsidRPr="000678C5" w:rsidRDefault="00D97DD4" w:rsidP="00D97DD4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Указание для каждого лекарственного средства с имеющимися значениями DDD пути его введения.</w:t>
      </w:r>
    </w:p>
    <w:p w:rsidR="00D97DD4" w:rsidRPr="000678C5" w:rsidRDefault="00D97DD4" w:rsidP="00D97DD4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Указание для некоторых лекарственных средств с имеющимися значениями DDD специальных замечаний, описываемых в АТС/DDD классификации.</w:t>
      </w:r>
    </w:p>
    <w:p w:rsidR="00D97DD4" w:rsidRDefault="00D97DD4" w:rsidP="00D97DD4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Вычисление количества </w:t>
      </w:r>
      <w:r w:rsidRPr="000678C5">
        <w:rPr>
          <w:rFonts w:ascii="Times New Roman" w:hAnsi="Times New Roman"/>
          <w:sz w:val="24"/>
          <w:szCs w:val="24"/>
          <w:lang w:val="en-US"/>
        </w:rPr>
        <w:t>DDD</w:t>
      </w:r>
      <w:r w:rsidRPr="000678C5">
        <w:rPr>
          <w:rFonts w:ascii="Times New Roman" w:hAnsi="Times New Roman"/>
          <w:sz w:val="24"/>
          <w:szCs w:val="24"/>
        </w:rPr>
        <w:t xml:space="preserve">, содержащегося в одной единице отпуска </w:t>
      </w:r>
      <w:r w:rsidRPr="000678C5">
        <w:rPr>
          <w:rFonts w:ascii="Times New Roman" w:hAnsi="Times New Roman"/>
          <w:sz w:val="24"/>
          <w:szCs w:val="24"/>
          <w:lang w:val="en-US"/>
        </w:rPr>
        <w:t>NAME</w:t>
      </w:r>
      <w:r w:rsidRPr="000678C5">
        <w:rPr>
          <w:rFonts w:ascii="Times New Roman" w:hAnsi="Times New Roman"/>
          <w:sz w:val="24"/>
          <w:szCs w:val="24"/>
        </w:rPr>
        <w:t>_</w:t>
      </w:r>
      <w:r w:rsidRPr="000678C5">
        <w:rPr>
          <w:rFonts w:ascii="Times New Roman" w:hAnsi="Times New Roman"/>
          <w:sz w:val="24"/>
          <w:szCs w:val="24"/>
          <w:lang w:val="en-US"/>
        </w:rPr>
        <w:t>MED</w:t>
      </w:r>
      <w:r w:rsidRPr="000678C5">
        <w:rPr>
          <w:rFonts w:ascii="Times New Roman" w:hAnsi="Times New Roman"/>
          <w:sz w:val="24"/>
          <w:szCs w:val="24"/>
        </w:rPr>
        <w:t xml:space="preserve"> для всех лекарственных препаратов с имеющимися значениями DDD.</w:t>
      </w:r>
    </w:p>
    <w:p w:rsidR="00106403" w:rsidRPr="000678C5" w:rsidRDefault="00106403" w:rsidP="00106403">
      <w:pPr>
        <w:numPr>
          <w:ilvl w:val="0"/>
          <w:numId w:val="41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ATC-анализа</w:t>
      </w:r>
      <w:r w:rsidRPr="000678C5">
        <w:rPr>
          <w:rFonts w:ascii="Times New Roman" w:hAnsi="Times New Roman"/>
          <w:sz w:val="24"/>
          <w:szCs w:val="24"/>
        </w:rPr>
        <w:t>:</w:t>
      </w:r>
    </w:p>
    <w:p w:rsidR="00106403" w:rsidRPr="000678C5" w:rsidRDefault="00106403" w:rsidP="00106403">
      <w:pPr>
        <w:numPr>
          <w:ilvl w:val="0"/>
          <w:numId w:val="44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Создать запрос, включающий:</w:t>
      </w:r>
    </w:p>
    <w:p w:rsidR="00106403" w:rsidRPr="000678C5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Торговое название лекарственного </w:t>
      </w:r>
      <w:r>
        <w:rPr>
          <w:rFonts w:ascii="Times New Roman" w:hAnsi="Times New Roman"/>
          <w:sz w:val="24"/>
          <w:szCs w:val="24"/>
        </w:rPr>
        <w:t>средства</w:t>
      </w:r>
    </w:p>
    <w:p w:rsidR="00106403" w:rsidRPr="000678C5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Цену лекарственного </w:t>
      </w:r>
      <w:r>
        <w:rPr>
          <w:rFonts w:ascii="Times New Roman" w:hAnsi="Times New Roman"/>
          <w:sz w:val="24"/>
          <w:szCs w:val="24"/>
        </w:rPr>
        <w:t>средства</w:t>
      </w:r>
    </w:p>
    <w:p w:rsidR="00106403" w:rsidRPr="000678C5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Количество, отпущенного лекарственного </w:t>
      </w:r>
      <w:r>
        <w:rPr>
          <w:rFonts w:ascii="Times New Roman" w:hAnsi="Times New Roman"/>
          <w:sz w:val="24"/>
          <w:szCs w:val="24"/>
        </w:rPr>
        <w:t>средства</w:t>
      </w:r>
    </w:p>
    <w:p w:rsidR="00106403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АТС-код лекарственного </w:t>
      </w:r>
      <w:r>
        <w:rPr>
          <w:rFonts w:ascii="Times New Roman" w:hAnsi="Times New Roman"/>
          <w:sz w:val="24"/>
          <w:szCs w:val="24"/>
        </w:rPr>
        <w:t>средства</w:t>
      </w:r>
    </w:p>
    <w:p w:rsidR="00106403" w:rsidRDefault="00106403" w:rsidP="00106403">
      <w:pPr>
        <w:numPr>
          <w:ilvl w:val="0"/>
          <w:numId w:val="44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Вычислить частоту назначения </w:t>
      </w:r>
      <w:r>
        <w:rPr>
          <w:rFonts w:ascii="Times New Roman" w:hAnsi="Times New Roman"/>
          <w:sz w:val="24"/>
          <w:szCs w:val="24"/>
        </w:rPr>
        <w:t>лекарственных средств по каждому АТС-коду</w:t>
      </w:r>
      <w:r w:rsidRPr="000678C5">
        <w:rPr>
          <w:rFonts w:ascii="Times New Roman" w:hAnsi="Times New Roman"/>
          <w:sz w:val="24"/>
          <w:szCs w:val="24"/>
        </w:rPr>
        <w:t>.</w:t>
      </w:r>
    </w:p>
    <w:p w:rsidR="00106403" w:rsidRDefault="00106403" w:rsidP="00106403">
      <w:pPr>
        <w:numPr>
          <w:ilvl w:val="0"/>
          <w:numId w:val="44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Вычислить частоту назначения лекарственных средств на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1064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1064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10640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106403">
        <w:rPr>
          <w:rFonts w:ascii="Times New Roman" w:hAnsi="Times New Roman"/>
          <w:sz w:val="24"/>
          <w:szCs w:val="24"/>
        </w:rPr>
        <w:t xml:space="preserve"> уровнях АТС-класс</w:t>
      </w:r>
      <w:r>
        <w:rPr>
          <w:rFonts w:ascii="Times New Roman" w:hAnsi="Times New Roman"/>
          <w:sz w:val="24"/>
          <w:szCs w:val="24"/>
        </w:rPr>
        <w:t>ификации.</w:t>
      </w:r>
    </w:p>
    <w:p w:rsidR="00110A40" w:rsidRDefault="00110A40" w:rsidP="00106403">
      <w:pPr>
        <w:numPr>
          <w:ilvl w:val="0"/>
          <w:numId w:val="44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сгруппировать по убыванию.</w:t>
      </w:r>
    </w:p>
    <w:p w:rsidR="00AA68B4" w:rsidRDefault="004D318E" w:rsidP="00AA68B4">
      <w:p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См. приложение № 1</w:t>
      </w:r>
    </w:p>
    <w:p w:rsidR="00110A40" w:rsidRPr="000678C5" w:rsidRDefault="00110A40" w:rsidP="00110A40">
      <w:pPr>
        <w:numPr>
          <w:ilvl w:val="0"/>
          <w:numId w:val="41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ATC/DDD-анализа</w:t>
      </w:r>
      <w:r w:rsidRPr="000678C5">
        <w:rPr>
          <w:rFonts w:ascii="Times New Roman" w:hAnsi="Times New Roman"/>
          <w:sz w:val="24"/>
          <w:szCs w:val="24"/>
        </w:rPr>
        <w:t>:</w:t>
      </w:r>
    </w:p>
    <w:p w:rsidR="00110A40" w:rsidRPr="000678C5" w:rsidRDefault="00110A40" w:rsidP="00110A40">
      <w:pPr>
        <w:numPr>
          <w:ilvl w:val="1"/>
          <w:numId w:val="41"/>
        </w:numPr>
        <w:shd w:val="clear" w:color="auto" w:fill="FFFFFF"/>
        <w:tabs>
          <w:tab w:val="clear" w:pos="144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Создать запрос, включающий:</w:t>
      </w:r>
    </w:p>
    <w:p w:rsidR="00110A40" w:rsidRPr="000678C5" w:rsidRDefault="00110A40" w:rsidP="00110A40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Торговое название лекарственного </w:t>
      </w:r>
      <w:r>
        <w:rPr>
          <w:rFonts w:ascii="Times New Roman" w:hAnsi="Times New Roman"/>
          <w:sz w:val="24"/>
          <w:szCs w:val="24"/>
        </w:rPr>
        <w:t>средства</w:t>
      </w:r>
    </w:p>
    <w:p w:rsidR="00110A40" w:rsidRPr="000678C5" w:rsidRDefault="00110A40" w:rsidP="00110A40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Цену лекарственного </w:t>
      </w:r>
      <w:r>
        <w:rPr>
          <w:rFonts w:ascii="Times New Roman" w:hAnsi="Times New Roman"/>
          <w:sz w:val="24"/>
          <w:szCs w:val="24"/>
        </w:rPr>
        <w:t>средства</w:t>
      </w:r>
    </w:p>
    <w:p w:rsidR="00110A40" w:rsidRPr="000678C5" w:rsidRDefault="00110A40" w:rsidP="00110A40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Количество, отпущенного лекарственного </w:t>
      </w:r>
      <w:r>
        <w:rPr>
          <w:rFonts w:ascii="Times New Roman" w:hAnsi="Times New Roman"/>
          <w:sz w:val="24"/>
          <w:szCs w:val="24"/>
        </w:rPr>
        <w:t>средства</w:t>
      </w:r>
    </w:p>
    <w:p w:rsidR="00110A40" w:rsidRDefault="00110A40" w:rsidP="00110A40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АТС-код лекарственного </w:t>
      </w:r>
      <w:r>
        <w:rPr>
          <w:rFonts w:ascii="Times New Roman" w:hAnsi="Times New Roman"/>
          <w:sz w:val="24"/>
          <w:szCs w:val="24"/>
        </w:rPr>
        <w:t>средства</w:t>
      </w:r>
    </w:p>
    <w:p w:rsidR="00110A40" w:rsidRPr="00110A40" w:rsidRDefault="004D318E" w:rsidP="00110A40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DDD лекарстве</w:t>
      </w:r>
      <w:r>
        <w:rPr>
          <w:rFonts w:ascii="Times New Roman" w:hAnsi="Times New Roman"/>
          <w:sz w:val="24"/>
          <w:szCs w:val="24"/>
        </w:rPr>
        <w:t>н</w:t>
      </w:r>
      <w:r w:rsidR="00110A40">
        <w:rPr>
          <w:rFonts w:ascii="Times New Roman" w:hAnsi="Times New Roman"/>
          <w:sz w:val="24"/>
          <w:szCs w:val="24"/>
          <w:lang w:val="en-US"/>
        </w:rPr>
        <w:t xml:space="preserve">ного </w:t>
      </w:r>
      <w:r w:rsidR="00110A40">
        <w:rPr>
          <w:rFonts w:ascii="Times New Roman" w:hAnsi="Times New Roman"/>
          <w:sz w:val="24"/>
          <w:szCs w:val="24"/>
        </w:rPr>
        <w:t>средства</w:t>
      </w:r>
    </w:p>
    <w:p w:rsidR="00110A40" w:rsidRDefault="00110A40" w:rsidP="00110A40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DDD в одной единице отпуска для лекарственного средства (только для тех лекарственных средств, имеющих DDD в соответствии с АТС-классификацией)</w:t>
      </w:r>
    </w:p>
    <w:p w:rsidR="00110A40" w:rsidRPr="000678C5" w:rsidRDefault="00110A40" w:rsidP="00110A40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больных, получивших лекарственные средства (только для тех лекарственных средств, имеющих DDD в соответствии с АТС-классификацией)</w:t>
      </w:r>
    </w:p>
    <w:p w:rsidR="00110A40" w:rsidRDefault="00110A40" w:rsidP="00110A40">
      <w:pPr>
        <w:numPr>
          <w:ilvl w:val="1"/>
          <w:numId w:val="41"/>
        </w:numPr>
        <w:shd w:val="clear" w:color="auto" w:fill="FFFFFF"/>
        <w:tabs>
          <w:tab w:val="clear" w:pos="144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Вычислить </w:t>
      </w:r>
      <w:r>
        <w:rPr>
          <w:rFonts w:ascii="Times New Roman" w:hAnsi="Times New Roman"/>
          <w:sz w:val="24"/>
          <w:szCs w:val="24"/>
        </w:rPr>
        <w:t>количество потребленных DDD</w:t>
      </w:r>
      <w:r w:rsidRPr="000678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лекарственных средств по каждому АТС-коду</w:t>
      </w:r>
      <w:r w:rsidRPr="00110A40">
        <w:rPr>
          <w:rFonts w:ascii="Times New Roman" w:hAnsi="Times New Roman"/>
          <w:sz w:val="24"/>
          <w:szCs w:val="24"/>
        </w:rPr>
        <w:t xml:space="preserve"> </w:t>
      </w:r>
      <w:r w:rsidR="00BE04A6">
        <w:rPr>
          <w:rFonts w:ascii="Times New Roman" w:hAnsi="Times New Roman"/>
          <w:sz w:val="24"/>
          <w:szCs w:val="24"/>
        </w:rPr>
        <w:t xml:space="preserve">на </w:t>
      </w:r>
      <w:r w:rsidRPr="00110A40">
        <w:rPr>
          <w:rFonts w:ascii="Times New Roman" w:hAnsi="Times New Roman"/>
          <w:sz w:val="24"/>
          <w:szCs w:val="24"/>
        </w:rPr>
        <w:t>1000 человек</w:t>
      </w:r>
      <w:r w:rsidR="00BE04A6">
        <w:rPr>
          <w:rFonts w:ascii="Times New Roman" w:hAnsi="Times New Roman"/>
          <w:sz w:val="24"/>
          <w:szCs w:val="24"/>
        </w:rPr>
        <w:t xml:space="preserve"> </w:t>
      </w:r>
      <w:r w:rsidR="00AF6792">
        <w:rPr>
          <w:rFonts w:ascii="Times New Roman" w:hAnsi="Times New Roman"/>
          <w:sz w:val="24"/>
          <w:szCs w:val="24"/>
        </w:rPr>
        <w:t>—</w:t>
      </w:r>
      <w:r w:rsidR="00BE04A6">
        <w:rPr>
          <w:rFonts w:ascii="Times New Roman" w:hAnsi="Times New Roman"/>
          <w:sz w:val="24"/>
          <w:szCs w:val="24"/>
        </w:rPr>
        <w:t xml:space="preserve"> участников программы ДЛО</w:t>
      </w:r>
      <w:r w:rsidRPr="000678C5">
        <w:rPr>
          <w:rFonts w:ascii="Times New Roman" w:hAnsi="Times New Roman"/>
          <w:sz w:val="24"/>
          <w:szCs w:val="24"/>
        </w:rPr>
        <w:t>.</w:t>
      </w:r>
    </w:p>
    <w:p w:rsidR="00110A40" w:rsidRDefault="00110A40" w:rsidP="00110A40">
      <w:pPr>
        <w:numPr>
          <w:ilvl w:val="1"/>
          <w:numId w:val="41"/>
        </w:numPr>
        <w:shd w:val="clear" w:color="auto" w:fill="FFFFFF"/>
        <w:tabs>
          <w:tab w:val="clear" w:pos="144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Вычислить количество потребленных DDD</w:t>
      </w:r>
      <w:r w:rsidRPr="000678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лекарственных средств на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1064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1064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10640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106403">
        <w:rPr>
          <w:rFonts w:ascii="Times New Roman" w:hAnsi="Times New Roman"/>
          <w:sz w:val="24"/>
          <w:szCs w:val="24"/>
        </w:rPr>
        <w:t xml:space="preserve"> уровнях АТС-класс</w:t>
      </w:r>
      <w:r>
        <w:rPr>
          <w:rFonts w:ascii="Times New Roman" w:hAnsi="Times New Roman"/>
          <w:sz w:val="24"/>
          <w:szCs w:val="24"/>
        </w:rPr>
        <w:t xml:space="preserve">ификации </w:t>
      </w:r>
      <w:r w:rsidRPr="00110A40">
        <w:rPr>
          <w:rFonts w:ascii="Times New Roman" w:hAnsi="Times New Roman"/>
          <w:sz w:val="24"/>
          <w:szCs w:val="24"/>
        </w:rPr>
        <w:t>1000 человек</w:t>
      </w:r>
      <w:r>
        <w:rPr>
          <w:rFonts w:ascii="Times New Roman" w:hAnsi="Times New Roman"/>
          <w:sz w:val="24"/>
          <w:szCs w:val="24"/>
        </w:rPr>
        <w:t>.</w:t>
      </w:r>
    </w:p>
    <w:p w:rsidR="00110A40" w:rsidRDefault="00110A40" w:rsidP="00110A40">
      <w:pPr>
        <w:numPr>
          <w:ilvl w:val="1"/>
          <w:numId w:val="41"/>
        </w:numPr>
        <w:shd w:val="clear" w:color="auto" w:fill="FFFFFF"/>
        <w:tabs>
          <w:tab w:val="clear" w:pos="144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сгруппировать по убыванию.</w:t>
      </w:r>
    </w:p>
    <w:p w:rsidR="00AA68B4" w:rsidRPr="000678C5" w:rsidRDefault="00375400" w:rsidP="00AA68B4">
      <w:p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См. приложение № 2</w:t>
      </w:r>
    </w:p>
    <w:p w:rsidR="00D97DD4" w:rsidRPr="000678C5" w:rsidRDefault="000678C5" w:rsidP="00D97DD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br w:type="page"/>
      </w:r>
      <w:r w:rsidR="00D97DD4" w:rsidRPr="000678C5">
        <w:rPr>
          <w:rFonts w:ascii="Times New Roman" w:hAnsi="Times New Roman"/>
          <w:sz w:val="24"/>
          <w:szCs w:val="24"/>
        </w:rPr>
        <w:t>Индикаторный анализ ВОЗ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Индикаторы ВОЗ — специфические показатели, характеризующие потребление лекарственных средств. Выделяют основные показатели (индикаторы), которые </w:t>
      </w:r>
      <w:r w:rsidR="00BE04A6" w:rsidRPr="000678C5">
        <w:rPr>
          <w:rFonts w:ascii="Times New Roman" w:hAnsi="Times New Roman"/>
          <w:sz w:val="24"/>
          <w:szCs w:val="24"/>
        </w:rPr>
        <w:t>в</w:t>
      </w:r>
      <w:r w:rsidR="00BE04A6">
        <w:rPr>
          <w:rFonts w:ascii="Times New Roman" w:hAnsi="Times New Roman"/>
          <w:sz w:val="24"/>
          <w:szCs w:val="24"/>
        </w:rPr>
        <w:t>ы</w:t>
      </w:r>
      <w:r w:rsidR="00BE04A6" w:rsidRPr="000678C5">
        <w:rPr>
          <w:rFonts w:ascii="Times New Roman" w:hAnsi="Times New Roman"/>
          <w:sz w:val="24"/>
          <w:szCs w:val="24"/>
        </w:rPr>
        <w:t xml:space="preserve">соко </w:t>
      </w:r>
      <w:r w:rsidRPr="000678C5">
        <w:rPr>
          <w:rFonts w:ascii="Times New Roman" w:hAnsi="Times New Roman"/>
          <w:sz w:val="24"/>
          <w:szCs w:val="24"/>
        </w:rPr>
        <w:t>стандартизованы и являются универсальными для всех стран, применяющих их для оценки потребления лекарственных средств и дополнительные показатели (индикаторы), которые менее стандартизованы и не являются универсальными для всех стран.</w:t>
      </w:r>
    </w:p>
    <w:p w:rsidR="00BA4554" w:rsidRDefault="00BA4554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1985 году Всемирная Организация Здравоохранения созвала конференцию в Найроби по Рациональному Использованию Лекарств. В то время не имелось соглашения по «Основным Индикаторам Использования Лекарств», которые позволили бы сравнивать страны, или учреждения здравоохранения, или отдельных врачей в одной стране по использованию лекарственных средств. Поэтому было решено разработать и опробовать такие индикаторы.</w:t>
      </w:r>
    </w:p>
    <w:p w:rsidR="00BA4554" w:rsidRPr="00DF7B38" w:rsidRDefault="00BA4554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Индикаторы, рекомендованные в этом соглашении, </w:t>
      </w:r>
      <w:r w:rsidR="00DF7B38">
        <w:rPr>
          <w:rFonts w:ascii="Times New Roman" w:hAnsi="Times New Roman"/>
          <w:sz w:val="24"/>
          <w:szCs w:val="24"/>
        </w:rPr>
        <w:t>теперь приняты как стандарт во всем мире, после того как были опробованы ВОЗ, Management Sciences fo</w:t>
      </w:r>
      <w:r w:rsidR="00DF7B38">
        <w:rPr>
          <w:rFonts w:ascii="Times New Roman" w:hAnsi="Times New Roman"/>
          <w:sz w:val="24"/>
          <w:szCs w:val="24"/>
          <w:lang w:val="en-US"/>
        </w:rPr>
        <w:t>r</w:t>
      </w:r>
      <w:r w:rsidR="00DF7B38" w:rsidRPr="00DF7B38">
        <w:rPr>
          <w:rFonts w:ascii="Times New Roman" w:hAnsi="Times New Roman"/>
          <w:sz w:val="24"/>
          <w:szCs w:val="24"/>
        </w:rPr>
        <w:t xml:space="preserve"> </w:t>
      </w:r>
      <w:r w:rsidR="00DF7B38">
        <w:rPr>
          <w:rFonts w:ascii="Times New Roman" w:hAnsi="Times New Roman"/>
          <w:sz w:val="24"/>
          <w:szCs w:val="24"/>
          <w:lang w:val="en-US"/>
        </w:rPr>
        <w:t>Health</w:t>
      </w:r>
      <w:r w:rsidR="00DF7B38" w:rsidRPr="00DF7B38">
        <w:rPr>
          <w:rFonts w:ascii="Times New Roman" w:hAnsi="Times New Roman"/>
          <w:sz w:val="24"/>
          <w:szCs w:val="24"/>
        </w:rPr>
        <w:t xml:space="preserve"> (</w:t>
      </w:r>
      <w:r w:rsidR="00DF7B38">
        <w:rPr>
          <w:rFonts w:ascii="Times New Roman" w:hAnsi="Times New Roman"/>
          <w:sz w:val="24"/>
          <w:szCs w:val="24"/>
          <w:lang w:val="en-US"/>
        </w:rPr>
        <w:t>MHS</w:t>
      </w:r>
      <w:r w:rsidR="00DF7B38" w:rsidRPr="00DF7B38">
        <w:rPr>
          <w:rFonts w:ascii="Times New Roman" w:hAnsi="Times New Roman"/>
          <w:sz w:val="24"/>
          <w:szCs w:val="24"/>
        </w:rPr>
        <w:t xml:space="preserve">), </w:t>
      </w:r>
      <w:r w:rsidR="00DF7B38">
        <w:rPr>
          <w:rFonts w:ascii="Times New Roman" w:hAnsi="Times New Roman"/>
          <w:sz w:val="24"/>
          <w:szCs w:val="24"/>
          <w:lang w:val="en-US"/>
        </w:rPr>
        <w:t>International</w:t>
      </w:r>
      <w:r w:rsidR="00DF7B38" w:rsidRPr="00DF7B38">
        <w:rPr>
          <w:rFonts w:ascii="Times New Roman" w:hAnsi="Times New Roman"/>
          <w:sz w:val="24"/>
          <w:szCs w:val="24"/>
        </w:rPr>
        <w:t xml:space="preserve"> </w:t>
      </w:r>
      <w:r w:rsidR="001C1550">
        <w:rPr>
          <w:rFonts w:ascii="Times New Roman" w:hAnsi="Times New Roman"/>
          <w:sz w:val="24"/>
          <w:szCs w:val="24"/>
          <w:lang w:val="en-US"/>
        </w:rPr>
        <w:t>Network</w:t>
      </w:r>
      <w:r w:rsidR="001C1550" w:rsidRPr="001C1550">
        <w:rPr>
          <w:rFonts w:ascii="Times New Roman" w:hAnsi="Times New Roman"/>
          <w:sz w:val="24"/>
          <w:szCs w:val="24"/>
        </w:rPr>
        <w:t xml:space="preserve"> </w:t>
      </w:r>
      <w:r w:rsidR="001C1550">
        <w:rPr>
          <w:rFonts w:ascii="Times New Roman" w:hAnsi="Times New Roman"/>
          <w:sz w:val="24"/>
          <w:szCs w:val="24"/>
          <w:lang w:val="en-US"/>
        </w:rPr>
        <w:t>for</w:t>
      </w:r>
      <w:r w:rsidR="001C1550" w:rsidRPr="001C1550">
        <w:rPr>
          <w:rFonts w:ascii="Times New Roman" w:hAnsi="Times New Roman"/>
          <w:sz w:val="24"/>
          <w:szCs w:val="24"/>
        </w:rPr>
        <w:t xml:space="preserve"> </w:t>
      </w:r>
      <w:r w:rsidR="00DF7B38">
        <w:rPr>
          <w:rFonts w:ascii="Times New Roman" w:hAnsi="Times New Roman"/>
          <w:sz w:val="24"/>
          <w:szCs w:val="24"/>
          <w:lang w:val="en-US"/>
        </w:rPr>
        <w:t>Rational</w:t>
      </w:r>
      <w:r w:rsidR="00DF7B38" w:rsidRPr="00DF7B38">
        <w:rPr>
          <w:rFonts w:ascii="Times New Roman" w:hAnsi="Times New Roman"/>
          <w:sz w:val="24"/>
          <w:szCs w:val="24"/>
        </w:rPr>
        <w:t xml:space="preserve"> </w:t>
      </w:r>
      <w:r w:rsidR="00DF7B38">
        <w:rPr>
          <w:rFonts w:ascii="Times New Roman" w:hAnsi="Times New Roman"/>
          <w:sz w:val="24"/>
          <w:szCs w:val="24"/>
          <w:lang w:val="en-US"/>
        </w:rPr>
        <w:t>Use</w:t>
      </w:r>
      <w:r w:rsidR="00DF7B38" w:rsidRPr="00DF7B38">
        <w:rPr>
          <w:rFonts w:ascii="Times New Roman" w:hAnsi="Times New Roman"/>
          <w:sz w:val="24"/>
          <w:szCs w:val="24"/>
        </w:rPr>
        <w:t xml:space="preserve"> </w:t>
      </w:r>
      <w:r w:rsidR="00DF7B38">
        <w:rPr>
          <w:rFonts w:ascii="Times New Roman" w:hAnsi="Times New Roman"/>
          <w:sz w:val="24"/>
          <w:szCs w:val="24"/>
          <w:lang w:val="en-US"/>
        </w:rPr>
        <w:t>of</w:t>
      </w:r>
      <w:r w:rsidR="00DF7B38" w:rsidRPr="00DF7B38">
        <w:rPr>
          <w:rFonts w:ascii="Times New Roman" w:hAnsi="Times New Roman"/>
          <w:sz w:val="24"/>
          <w:szCs w:val="24"/>
        </w:rPr>
        <w:t xml:space="preserve"> </w:t>
      </w:r>
      <w:r w:rsidR="00DF7B38">
        <w:rPr>
          <w:rFonts w:ascii="Times New Roman" w:hAnsi="Times New Roman"/>
          <w:sz w:val="24"/>
          <w:szCs w:val="24"/>
          <w:lang w:val="en-US"/>
        </w:rPr>
        <w:t>Drug</w:t>
      </w:r>
      <w:r w:rsidR="00DF7B38" w:rsidRPr="00DF7B38">
        <w:rPr>
          <w:rFonts w:ascii="Times New Roman" w:hAnsi="Times New Roman"/>
          <w:sz w:val="24"/>
          <w:szCs w:val="24"/>
        </w:rPr>
        <w:t xml:space="preserve"> (</w:t>
      </w:r>
      <w:r w:rsidR="00DF7B38">
        <w:rPr>
          <w:rFonts w:ascii="Times New Roman" w:hAnsi="Times New Roman"/>
          <w:sz w:val="24"/>
          <w:szCs w:val="24"/>
          <w:lang w:val="en-US"/>
        </w:rPr>
        <w:t>INRUD</w:t>
      </w:r>
      <w:r w:rsidR="00DF7B38" w:rsidRPr="00DF7B38">
        <w:rPr>
          <w:rFonts w:ascii="Times New Roman" w:hAnsi="Times New Roman"/>
          <w:sz w:val="24"/>
          <w:szCs w:val="24"/>
        </w:rPr>
        <w:t>)</w:t>
      </w:r>
    </w:p>
    <w:p w:rsidR="00BC6FAC" w:rsidRP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 xml:space="preserve">Организаторам здравоохранения </w:t>
      </w:r>
      <w:r w:rsidR="00BE04A6">
        <w:rPr>
          <w:rFonts w:ascii="Times New Roman" w:hAnsi="Times New Roman"/>
          <w:sz w:val="24"/>
          <w:szCs w:val="24"/>
        </w:rPr>
        <w:t>часто</w:t>
      </w:r>
      <w:r w:rsidR="00BE04A6" w:rsidRPr="00BC6FAC">
        <w:rPr>
          <w:rFonts w:ascii="Times New Roman" w:hAnsi="Times New Roman"/>
          <w:sz w:val="24"/>
          <w:szCs w:val="24"/>
        </w:rPr>
        <w:t xml:space="preserve"> </w:t>
      </w:r>
      <w:r w:rsidRPr="00BC6FAC">
        <w:rPr>
          <w:rFonts w:ascii="Times New Roman" w:hAnsi="Times New Roman"/>
          <w:sz w:val="24"/>
          <w:szCs w:val="24"/>
        </w:rPr>
        <w:t xml:space="preserve">необходима сравнительная информация по потреблению лекарственных средств между различными лечебно-профилактическими учреждениями или территориями. С целью упрощения и стандартизации изучения потребления лекарственных средств Всемирная </w:t>
      </w:r>
      <w:r>
        <w:rPr>
          <w:rFonts w:ascii="Times New Roman" w:hAnsi="Times New Roman"/>
          <w:sz w:val="24"/>
          <w:szCs w:val="24"/>
        </w:rPr>
        <w:t>О</w:t>
      </w:r>
      <w:r w:rsidRPr="00BC6FAC">
        <w:rPr>
          <w:rFonts w:ascii="Times New Roman" w:hAnsi="Times New Roman"/>
          <w:sz w:val="24"/>
          <w:szCs w:val="24"/>
        </w:rPr>
        <w:t xml:space="preserve">рганизация </w:t>
      </w:r>
      <w:r>
        <w:rPr>
          <w:rFonts w:ascii="Times New Roman" w:hAnsi="Times New Roman"/>
          <w:sz w:val="24"/>
          <w:szCs w:val="24"/>
        </w:rPr>
        <w:t>З</w:t>
      </w:r>
      <w:r w:rsidRPr="00BC6FAC">
        <w:rPr>
          <w:rFonts w:ascii="Times New Roman" w:hAnsi="Times New Roman"/>
          <w:sz w:val="24"/>
          <w:szCs w:val="24"/>
        </w:rPr>
        <w:t>дравоохранения разработала надежные индикаторы оценки потребления лекарственных средств, а также стандартную методологию сбора информации для данных индикаторов.</w:t>
      </w:r>
    </w:p>
    <w:p w:rsidR="00BC6FAC" w:rsidRP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 xml:space="preserve">Выделяют 12 основных и 7 дополнительных индикаторов (см. табл. 1), </w:t>
      </w:r>
      <w:r w:rsidR="00BE04A6" w:rsidRPr="00BC6FAC">
        <w:rPr>
          <w:rFonts w:ascii="Times New Roman" w:hAnsi="Times New Roman"/>
          <w:sz w:val="24"/>
          <w:szCs w:val="24"/>
        </w:rPr>
        <w:t>оценивающи</w:t>
      </w:r>
      <w:r w:rsidR="00BE04A6">
        <w:rPr>
          <w:rFonts w:ascii="Times New Roman" w:hAnsi="Times New Roman"/>
          <w:sz w:val="24"/>
          <w:szCs w:val="24"/>
        </w:rPr>
        <w:t>х</w:t>
      </w:r>
      <w:r w:rsidR="00BE04A6" w:rsidRPr="00BC6FAC">
        <w:rPr>
          <w:rFonts w:ascii="Times New Roman" w:hAnsi="Times New Roman"/>
          <w:sz w:val="24"/>
          <w:szCs w:val="24"/>
        </w:rPr>
        <w:t xml:space="preserve"> </w:t>
      </w:r>
      <w:r w:rsidRPr="00BC6FAC">
        <w:rPr>
          <w:rFonts w:ascii="Times New Roman" w:hAnsi="Times New Roman"/>
          <w:sz w:val="24"/>
          <w:szCs w:val="24"/>
        </w:rPr>
        <w:t xml:space="preserve">ключевые аспекты </w:t>
      </w:r>
      <w:r w:rsidR="00BE04A6">
        <w:rPr>
          <w:rFonts w:ascii="Times New Roman" w:hAnsi="Times New Roman"/>
          <w:sz w:val="24"/>
          <w:szCs w:val="24"/>
        </w:rPr>
        <w:t>назначения</w:t>
      </w:r>
      <w:r w:rsidR="00BE04A6" w:rsidRPr="00BC6FAC">
        <w:rPr>
          <w:rFonts w:ascii="Times New Roman" w:hAnsi="Times New Roman"/>
          <w:sz w:val="24"/>
          <w:szCs w:val="24"/>
        </w:rPr>
        <w:t xml:space="preserve"> </w:t>
      </w:r>
      <w:r w:rsidRPr="00BC6FAC">
        <w:rPr>
          <w:rFonts w:ascii="Times New Roman" w:hAnsi="Times New Roman"/>
          <w:sz w:val="24"/>
          <w:szCs w:val="24"/>
        </w:rPr>
        <w:t>лекарств, уходе за пациентом и доступности лекарственных средств</w:t>
      </w:r>
      <w:r w:rsidR="00BE04A6">
        <w:rPr>
          <w:rFonts w:ascii="Times New Roman" w:hAnsi="Times New Roman"/>
          <w:sz w:val="24"/>
          <w:szCs w:val="24"/>
        </w:rPr>
        <w:t>,</w:t>
      </w:r>
      <w:r w:rsidRPr="00BC6FAC">
        <w:rPr>
          <w:rFonts w:ascii="Times New Roman" w:hAnsi="Times New Roman"/>
          <w:sz w:val="24"/>
          <w:szCs w:val="24"/>
        </w:rPr>
        <w:t xml:space="preserve"> и независимой информации о них в амбулаторных лечебно-профилактических учреждениях. Ключевые индикаторы высоко стандартизованы и не требуют национальной адаптации, они являются простыми инструментами для быстрой и достоверной оценки некоторых критических аспектов потребления лекарственных средств. Эти индикаторы указывают на специфические проблемы в потреблении лекарственных средств, которые должны быть более тщательно проанализированы.</w:t>
      </w:r>
    </w:p>
    <w:p w:rsid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>Табл. 1. Индикаторы ВОЗ</w:t>
      </w:r>
    </w:p>
    <w:p w:rsidR="00BE04A6" w:rsidRDefault="00BE04A6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9571"/>
      </w:tblGrid>
      <w:tr w:rsidR="00BC6FAC">
        <w:tc>
          <w:tcPr>
            <w:tcW w:w="9571" w:type="dxa"/>
          </w:tcPr>
          <w:p w:rsidR="00BC6FAC" w:rsidRPr="00BC6FAC" w:rsidRDefault="00BC6FAC" w:rsidP="00BC6F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Ключевые индикаторы потребления лекарственных средств</w:t>
            </w:r>
          </w:p>
          <w:p w:rsidR="00B34C50" w:rsidRPr="00BC6FAC" w:rsidRDefault="00B34C50" w:rsidP="00B34C5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B34C50" w:rsidRPr="00BC6FAC" w:rsidRDefault="00B34C50" w:rsidP="00B34C50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лекарств</w:t>
            </w:r>
            <w:r>
              <w:rPr>
                <w:rFonts w:ascii="Times New Roman" w:hAnsi="Times New Roman"/>
                <w:sz w:val="24"/>
                <w:szCs w:val="24"/>
              </w:rPr>
              <w:t>, назначенных в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одно посещение</w:t>
            </w:r>
          </w:p>
          <w:p w:rsidR="00B34C50" w:rsidRPr="00BC6FAC" w:rsidRDefault="00B34C50" w:rsidP="00B34C50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2.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Доля лекарств, прописанная по дженерическому названию</w:t>
            </w:r>
          </w:p>
          <w:p w:rsidR="00B34C50" w:rsidRPr="00BC6FAC" w:rsidRDefault="00B34C50" w:rsidP="00B34C50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3.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посещений, когда был </w:t>
            </w:r>
            <w:r>
              <w:rPr>
                <w:rFonts w:ascii="Times New Roman" w:hAnsi="Times New Roman"/>
                <w:sz w:val="24"/>
                <w:szCs w:val="24"/>
              </w:rPr>
              <w:t>назначен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антимикробный препарат</w:t>
            </w:r>
          </w:p>
          <w:p w:rsidR="00B34C50" w:rsidRPr="00BC6FAC" w:rsidRDefault="00B34C50" w:rsidP="00B34C50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4.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посещений, когда был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назначена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инъекционная лекарственная форма</w:t>
            </w:r>
          </w:p>
          <w:p w:rsidR="00B34C50" w:rsidRPr="00BC6FAC" w:rsidRDefault="00B34C50" w:rsidP="00B34C50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5.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 xml:space="preserve">Доля лекарств, </w:t>
            </w:r>
            <w:r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Модельн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списк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 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>или формуляр</w:t>
            </w:r>
            <w:r>
              <w:rPr>
                <w:rFonts w:ascii="Times New Roman" w:hAnsi="Times New Roman"/>
                <w:sz w:val="24"/>
                <w:szCs w:val="24"/>
              </w:rPr>
              <w:t>у, от всех назначенных</w:t>
            </w:r>
          </w:p>
          <w:p w:rsidR="00BC6FAC" w:rsidRPr="00BC6FAC" w:rsidRDefault="00BC6FAC" w:rsidP="00BC6F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Индикаторы ухода за больным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6.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Среднее время приема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7.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Среднее время выписывания лекарственных средств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8.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Доля выписанных лекарств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9.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Доля адекватно промаркированных лекарств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10.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Знания больного о правильном дозировании</w:t>
            </w:r>
          </w:p>
          <w:p w:rsidR="00BC6FAC" w:rsidRPr="00BC6FAC" w:rsidRDefault="00BC6FAC" w:rsidP="00BC6F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Индикаторы учреждения здравоохранения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11.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Доступность копии списка необходимых лекарственных средств или формуляра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12.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Доступность ключевых лекарств</w:t>
            </w:r>
          </w:p>
          <w:p w:rsidR="00BC6FAC" w:rsidRPr="00BC6FAC" w:rsidRDefault="00BC6FAC" w:rsidP="00BC6FA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Дополнительные индикаторы потребления лекарственных средств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13.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Доля больных, пролеченных без применения лекарств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14.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Средняя стоимость лекарства, выписанных за прием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15.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Доля средств, потраченных на противомикробные средства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16.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Доля средств, потраченных на инъекционные лекарственные формы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17.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Выписывание лекарственных средств в соответствии с руководствами по лечению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18.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>Доля больных, удовлетворенных проведенной терапией</w:t>
            </w:r>
          </w:p>
          <w:p w:rsidR="00BC6FAC" w:rsidRPr="00BC6FAC" w:rsidRDefault="00BC6FAC" w:rsidP="00BC6FAC">
            <w:pPr>
              <w:spacing w:line="36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AC">
              <w:rPr>
                <w:rFonts w:ascii="Times New Roman" w:hAnsi="Times New Roman"/>
                <w:sz w:val="24"/>
                <w:szCs w:val="24"/>
              </w:rPr>
              <w:t>19.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ab/>
              <w:t xml:space="preserve">Доля лечебно-профилактических учреждений, </w:t>
            </w:r>
            <w:r w:rsidR="00BE04A6" w:rsidRPr="00BC6FAC">
              <w:rPr>
                <w:rFonts w:ascii="Times New Roman" w:hAnsi="Times New Roman"/>
                <w:sz w:val="24"/>
                <w:szCs w:val="24"/>
              </w:rPr>
              <w:t>имеющ</w:t>
            </w:r>
            <w:r w:rsidR="00BE04A6">
              <w:rPr>
                <w:rFonts w:ascii="Times New Roman" w:hAnsi="Times New Roman"/>
                <w:sz w:val="24"/>
                <w:szCs w:val="24"/>
              </w:rPr>
              <w:t>их</w:t>
            </w:r>
            <w:r w:rsidR="00BE04A6" w:rsidRPr="00BC6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FAC">
              <w:rPr>
                <w:rFonts w:ascii="Times New Roman" w:hAnsi="Times New Roman"/>
                <w:sz w:val="24"/>
                <w:szCs w:val="24"/>
              </w:rPr>
              <w:t>доступ к независимой информации о лекарственных средствах</w:t>
            </w:r>
          </w:p>
        </w:tc>
      </w:tr>
    </w:tbl>
    <w:p w:rsid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C6FAC" w:rsidRP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>Дополнительные индикаторы менее стандартизованы и требуют национальной адаптации.</w:t>
      </w:r>
    </w:p>
    <w:p w:rsidR="00BC6FAC" w:rsidRP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>Для исследования необходимы не менее 20 лечебно-профилактических учреждений и не менее 30 лекарственных средств, а также</w:t>
      </w:r>
      <w:r w:rsidR="00B34C50">
        <w:rPr>
          <w:rFonts w:ascii="Times New Roman" w:hAnsi="Times New Roman"/>
          <w:sz w:val="24"/>
          <w:szCs w:val="24"/>
        </w:rPr>
        <w:t>, минимум,</w:t>
      </w:r>
      <w:r w:rsidRPr="00BC6FAC">
        <w:rPr>
          <w:rFonts w:ascii="Times New Roman" w:hAnsi="Times New Roman"/>
          <w:sz w:val="24"/>
          <w:szCs w:val="24"/>
        </w:rPr>
        <w:t xml:space="preserve"> 100 рецептов</w:t>
      </w:r>
      <w:r w:rsidR="00B34C50">
        <w:rPr>
          <w:rFonts w:ascii="Times New Roman" w:hAnsi="Times New Roman"/>
          <w:sz w:val="24"/>
          <w:szCs w:val="24"/>
        </w:rPr>
        <w:t xml:space="preserve"> (медицинских карт)</w:t>
      </w:r>
      <w:r w:rsidRPr="00BC6FAC">
        <w:rPr>
          <w:rFonts w:ascii="Times New Roman" w:hAnsi="Times New Roman"/>
          <w:sz w:val="24"/>
          <w:szCs w:val="24"/>
        </w:rPr>
        <w:t>.</w:t>
      </w:r>
    </w:p>
    <w:p w:rsidR="00BC6FAC" w:rsidRP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>Индикаторный анализ является простым инструментом мотивации персонала лечебно-профилактического учреждения и специалистов в области здравоохранения. Адресная обучающая программа, составленная по результатам исследования конкретного учреждения здравоохранения более ценна, нежели общенациональные базовые обучающие программы. Локальная обучающая программа сильнее мотивирует врачей следовать выработанным стандартам.</w:t>
      </w:r>
    </w:p>
    <w:p w:rsidR="00BC6FAC" w:rsidRPr="00BC6FAC" w:rsidRDefault="00BC6FAC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6FAC">
        <w:rPr>
          <w:rFonts w:ascii="Times New Roman" w:hAnsi="Times New Roman"/>
          <w:sz w:val="24"/>
          <w:szCs w:val="24"/>
        </w:rPr>
        <w:t>Индикаторный анализ может проводиться по отдельным нозологиям или состояниям, в данном случае он может отражать неадекватную терапию изучаемого заболевания.</w:t>
      </w:r>
    </w:p>
    <w:p w:rsidR="00D97DD4" w:rsidRPr="000678C5" w:rsidRDefault="00D97DD4" w:rsidP="00BC6F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 данной работе примен</w:t>
      </w:r>
      <w:r w:rsidR="003B7273">
        <w:rPr>
          <w:rFonts w:ascii="Times New Roman" w:hAnsi="Times New Roman"/>
          <w:sz w:val="24"/>
          <w:szCs w:val="24"/>
        </w:rPr>
        <w:t>енены следующие</w:t>
      </w:r>
      <w:r w:rsidRPr="000678C5">
        <w:rPr>
          <w:rFonts w:ascii="Times New Roman" w:hAnsi="Times New Roman"/>
          <w:sz w:val="24"/>
          <w:szCs w:val="24"/>
        </w:rPr>
        <w:t xml:space="preserve"> индикатор</w:t>
      </w:r>
      <w:r w:rsidR="003B7273">
        <w:rPr>
          <w:rFonts w:ascii="Times New Roman" w:hAnsi="Times New Roman"/>
          <w:sz w:val="24"/>
          <w:szCs w:val="24"/>
        </w:rPr>
        <w:t>ы назначения лекарственных средств</w:t>
      </w:r>
      <w:r w:rsidRPr="000678C5">
        <w:rPr>
          <w:rFonts w:ascii="Times New Roman" w:hAnsi="Times New Roman"/>
          <w:sz w:val="24"/>
          <w:szCs w:val="24"/>
        </w:rPr>
        <w:t xml:space="preserve"> для анализа потребления лекарственных препаратов:</w:t>
      </w:r>
    </w:p>
    <w:p w:rsidR="003B7273" w:rsidRDefault="003B7273" w:rsidP="00D97DD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 лекарственных средств, назначенных одновременно. Основной измеритель лекарственной нагрузки.</w:t>
      </w:r>
    </w:p>
    <w:p w:rsidR="00D97DD4" w:rsidRPr="000678C5" w:rsidRDefault="00D97DD4" w:rsidP="00D97DD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Доля лекарственных средств, выписанных по «дженерическому» названию (основной индикатор).</w:t>
      </w:r>
    </w:p>
    <w:p w:rsidR="00D97DD4" w:rsidRPr="000678C5" w:rsidRDefault="00D97DD4" w:rsidP="00D97DD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Доля </w:t>
      </w:r>
      <w:r w:rsidR="003B7273">
        <w:rPr>
          <w:rFonts w:ascii="Times New Roman" w:hAnsi="Times New Roman"/>
          <w:sz w:val="24"/>
          <w:szCs w:val="24"/>
        </w:rPr>
        <w:t xml:space="preserve">случаев с назначением антибиотиков, и, соответственно, доля </w:t>
      </w:r>
      <w:r w:rsidRPr="000678C5">
        <w:rPr>
          <w:rFonts w:ascii="Times New Roman" w:hAnsi="Times New Roman"/>
          <w:sz w:val="24"/>
          <w:szCs w:val="24"/>
        </w:rPr>
        <w:t>средств, затраченных на антибиотики (антимикробные средства).</w:t>
      </w:r>
    </w:p>
    <w:p w:rsidR="00D97DD4" w:rsidRPr="000678C5" w:rsidRDefault="00D97DD4" w:rsidP="00D97DD4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Доля </w:t>
      </w:r>
      <w:r w:rsidR="003B7273">
        <w:rPr>
          <w:rFonts w:ascii="Times New Roman" w:hAnsi="Times New Roman"/>
          <w:sz w:val="24"/>
          <w:szCs w:val="24"/>
        </w:rPr>
        <w:t xml:space="preserve">случаев с назначение лекарств парентерально, и, соответственно, доля </w:t>
      </w:r>
      <w:r w:rsidRPr="000678C5">
        <w:rPr>
          <w:rFonts w:ascii="Times New Roman" w:hAnsi="Times New Roman"/>
          <w:sz w:val="24"/>
          <w:szCs w:val="24"/>
        </w:rPr>
        <w:t>средств, затраченных на парентеральные лекарственные формы.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На основании данных показателей возможно судить об избыточных либо недостаточных затратах на те или иные лекарственные средства, а также </w:t>
      </w:r>
      <w:r w:rsidR="00B34C50" w:rsidRPr="000678C5">
        <w:rPr>
          <w:rFonts w:ascii="Times New Roman" w:hAnsi="Times New Roman"/>
          <w:sz w:val="24"/>
          <w:szCs w:val="24"/>
        </w:rPr>
        <w:t>выяв</w:t>
      </w:r>
      <w:r w:rsidR="00B34C50">
        <w:rPr>
          <w:rFonts w:ascii="Times New Roman" w:hAnsi="Times New Roman"/>
          <w:sz w:val="24"/>
          <w:szCs w:val="24"/>
        </w:rPr>
        <w:t>ить</w:t>
      </w:r>
      <w:r w:rsidR="00B34C50" w:rsidRPr="000678C5">
        <w:rPr>
          <w:rFonts w:ascii="Times New Roman" w:hAnsi="Times New Roman"/>
          <w:sz w:val="24"/>
          <w:szCs w:val="24"/>
        </w:rPr>
        <w:t xml:space="preserve"> пут</w:t>
      </w:r>
      <w:r w:rsidR="00B34C50">
        <w:rPr>
          <w:rFonts w:ascii="Times New Roman" w:hAnsi="Times New Roman"/>
          <w:sz w:val="24"/>
          <w:szCs w:val="24"/>
        </w:rPr>
        <w:t>и</w:t>
      </w:r>
      <w:r w:rsidR="00B34C50" w:rsidRPr="000678C5">
        <w:rPr>
          <w:rFonts w:ascii="Times New Roman" w:hAnsi="Times New Roman"/>
          <w:sz w:val="24"/>
          <w:szCs w:val="24"/>
        </w:rPr>
        <w:t xml:space="preserve"> </w:t>
      </w:r>
      <w:r w:rsidRPr="000678C5">
        <w:rPr>
          <w:rFonts w:ascii="Times New Roman" w:hAnsi="Times New Roman"/>
          <w:sz w:val="24"/>
          <w:szCs w:val="24"/>
        </w:rPr>
        <w:t>улучшения существующего положения.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Для проведения анализа потребления антимикробных лекарственных средств были предприняты следующие шаги (в рамках индикаторного анализа ВОЗ):</w:t>
      </w:r>
    </w:p>
    <w:p w:rsidR="00D97DD4" w:rsidRPr="000678C5" w:rsidRDefault="00D97DD4" w:rsidP="00D97DD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Присвоение каждому лекарственному препарату (NAME_MED) уникального АТС кода.</w:t>
      </w:r>
    </w:p>
    <w:p w:rsidR="00D97DD4" w:rsidRPr="000678C5" w:rsidRDefault="00D97DD4" w:rsidP="00D97DD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Присвоение соответствующему АТС его уникального значения DDD. </w:t>
      </w:r>
      <w:r w:rsidRPr="000678C5">
        <w:rPr>
          <w:rFonts w:ascii="Times New Roman" w:hAnsi="Times New Roman"/>
          <w:sz w:val="24"/>
          <w:szCs w:val="24"/>
          <w:lang w:val="en-US"/>
        </w:rPr>
        <w:t>DDD</w:t>
      </w:r>
      <w:r w:rsidRPr="000678C5">
        <w:rPr>
          <w:rFonts w:ascii="Times New Roman" w:hAnsi="Times New Roman"/>
          <w:sz w:val="24"/>
          <w:szCs w:val="24"/>
        </w:rPr>
        <w:t xml:space="preserve"> присваивается только для тех АТС, для которых разработана соответствующие дозы</w:t>
      </w:r>
    </w:p>
    <w:p w:rsidR="00D97DD4" w:rsidRPr="000678C5" w:rsidRDefault="00D97DD4" w:rsidP="00D97DD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Указание для каждого лекарственного средства с имеющимися значениями DDD его единицы измерения по системе СИ.</w:t>
      </w:r>
    </w:p>
    <w:p w:rsidR="00D97DD4" w:rsidRPr="000678C5" w:rsidRDefault="00D97DD4" w:rsidP="00D97DD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Указание для каждого лекарственного средства с имеющимися значениями DDD пути его введения.</w:t>
      </w:r>
    </w:p>
    <w:p w:rsidR="00D97DD4" w:rsidRPr="000678C5" w:rsidRDefault="00D97DD4" w:rsidP="00D97DD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Указание для некоторых лекарственных средств с имеющимися значениями DDD специальных замечаний, описываемых в АТС/DDD классификации.</w:t>
      </w:r>
    </w:p>
    <w:p w:rsidR="00D97DD4" w:rsidRPr="000678C5" w:rsidRDefault="00D97DD4" w:rsidP="00D97DD4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Вычисление количества </w:t>
      </w:r>
      <w:r w:rsidRPr="000678C5">
        <w:rPr>
          <w:rFonts w:ascii="Times New Roman" w:hAnsi="Times New Roman"/>
          <w:sz w:val="24"/>
          <w:szCs w:val="24"/>
          <w:lang w:val="en-US"/>
        </w:rPr>
        <w:t>DDD</w:t>
      </w:r>
      <w:r w:rsidRPr="000678C5">
        <w:rPr>
          <w:rFonts w:ascii="Times New Roman" w:hAnsi="Times New Roman"/>
          <w:sz w:val="24"/>
          <w:szCs w:val="24"/>
        </w:rPr>
        <w:t xml:space="preserve">, содержащегося в одной единице отпуска </w:t>
      </w:r>
      <w:r w:rsidRPr="000678C5">
        <w:rPr>
          <w:rFonts w:ascii="Times New Roman" w:hAnsi="Times New Roman"/>
          <w:sz w:val="24"/>
          <w:szCs w:val="24"/>
          <w:lang w:val="en-US"/>
        </w:rPr>
        <w:t>NAME</w:t>
      </w:r>
      <w:r w:rsidRPr="000678C5">
        <w:rPr>
          <w:rFonts w:ascii="Times New Roman" w:hAnsi="Times New Roman"/>
          <w:sz w:val="24"/>
          <w:szCs w:val="24"/>
        </w:rPr>
        <w:t>_</w:t>
      </w:r>
      <w:r w:rsidRPr="000678C5">
        <w:rPr>
          <w:rFonts w:ascii="Times New Roman" w:hAnsi="Times New Roman"/>
          <w:sz w:val="24"/>
          <w:szCs w:val="24"/>
          <w:lang w:val="en-US"/>
        </w:rPr>
        <w:t>MED</w:t>
      </w:r>
      <w:r w:rsidRPr="000678C5">
        <w:rPr>
          <w:rFonts w:ascii="Times New Roman" w:hAnsi="Times New Roman"/>
          <w:sz w:val="24"/>
          <w:szCs w:val="24"/>
        </w:rPr>
        <w:t xml:space="preserve"> для всех лекарственных препаратов с имеющимися значениями DDD.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Для проведения анализа потребления «брендовых» и «дженериковых» лекарственных средств были предприняты следующие шаги (в рамках индикаторного анализа ВОЗ):</w:t>
      </w:r>
    </w:p>
    <w:p w:rsidR="00D97DD4" w:rsidRPr="000678C5" w:rsidRDefault="00D97DD4" w:rsidP="00D97DD4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Присвоение каждому лекарственному препарату (</w:t>
      </w:r>
      <w:r w:rsidRPr="000678C5">
        <w:rPr>
          <w:rFonts w:ascii="Times New Roman" w:hAnsi="Times New Roman"/>
          <w:sz w:val="24"/>
          <w:szCs w:val="24"/>
          <w:lang w:val="en-US"/>
        </w:rPr>
        <w:t>NAME</w:t>
      </w:r>
      <w:r w:rsidRPr="000678C5">
        <w:rPr>
          <w:rFonts w:ascii="Times New Roman" w:hAnsi="Times New Roman"/>
          <w:sz w:val="24"/>
          <w:szCs w:val="24"/>
        </w:rPr>
        <w:t>_</w:t>
      </w:r>
      <w:r w:rsidRPr="000678C5">
        <w:rPr>
          <w:rFonts w:ascii="Times New Roman" w:hAnsi="Times New Roman"/>
          <w:sz w:val="24"/>
          <w:szCs w:val="24"/>
          <w:lang w:val="en-US"/>
        </w:rPr>
        <w:t>MED</w:t>
      </w:r>
      <w:r w:rsidRPr="000678C5">
        <w:rPr>
          <w:rFonts w:ascii="Times New Roman" w:hAnsi="Times New Roman"/>
          <w:sz w:val="24"/>
          <w:szCs w:val="24"/>
        </w:rPr>
        <w:t>) зарегистрированных в перечне ДЛО значения «Бренд» — для брендовых лекарственных препаратов и «Дженерик» — для дженериковых.</w:t>
      </w:r>
    </w:p>
    <w:p w:rsidR="00B34C50" w:rsidRDefault="00D97DD4" w:rsidP="00AF6792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Примечание. Бренд — лекарственный препарат, защищенный торговой маркой. Включает оригинальный препарат — защищен патентом и торговой маркой</w:t>
      </w:r>
      <w:r w:rsidR="00CD5944">
        <w:rPr>
          <w:rFonts w:ascii="Times New Roman" w:hAnsi="Times New Roman"/>
          <w:sz w:val="24"/>
          <w:szCs w:val="24"/>
        </w:rPr>
        <w:t xml:space="preserve"> (например, Меронем)</w:t>
      </w:r>
      <w:r w:rsidRPr="000678C5">
        <w:rPr>
          <w:rFonts w:ascii="Times New Roman" w:hAnsi="Times New Roman"/>
          <w:sz w:val="24"/>
          <w:szCs w:val="24"/>
        </w:rPr>
        <w:t xml:space="preserve"> и «брендированный» препарат («брендированный дженерик»</w:t>
      </w:r>
      <w:r w:rsidR="00CD5944">
        <w:rPr>
          <w:rFonts w:ascii="Times New Roman" w:hAnsi="Times New Roman"/>
          <w:sz w:val="24"/>
          <w:szCs w:val="24"/>
        </w:rPr>
        <w:t>, например, Гливек</w:t>
      </w:r>
      <w:r w:rsidRPr="000678C5">
        <w:rPr>
          <w:rFonts w:ascii="Times New Roman" w:hAnsi="Times New Roman"/>
          <w:sz w:val="24"/>
          <w:szCs w:val="24"/>
        </w:rPr>
        <w:t>), защищенный только торговой маркой.</w:t>
      </w:r>
      <w:r w:rsidR="00B34C50">
        <w:rPr>
          <w:rFonts w:ascii="Times New Roman" w:hAnsi="Times New Roman"/>
          <w:sz w:val="24"/>
          <w:szCs w:val="24"/>
        </w:rPr>
        <w:t xml:space="preserve"> Генерическим препаратам, для которых использовано в торговом наименовании МНН (международное непатентованное или «генерическое» наименование) присвоено значение «Дженерик». Например, </w:t>
      </w:r>
      <w:r w:rsidR="00CD5944">
        <w:rPr>
          <w:rFonts w:ascii="Times New Roman" w:hAnsi="Times New Roman"/>
          <w:sz w:val="24"/>
          <w:szCs w:val="24"/>
        </w:rPr>
        <w:t>Ацетилсалициловая кислота-УФБ, Парацетамол-Акос и т.п.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Для проведения анализа потребления парентеральных лекарственных форм были предприняты следующие шаги (в рамках индикаторного анализа ВОЗ):</w:t>
      </w:r>
    </w:p>
    <w:p w:rsidR="00D97DD4" w:rsidRPr="000678C5" w:rsidRDefault="00D97DD4" w:rsidP="00D97DD4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Указание для каждого лекарственного средства с имеющимися значениями DDD пути его введения.</w:t>
      </w:r>
    </w:p>
    <w:p w:rsidR="00D97DD4" w:rsidRPr="00CD5944" w:rsidRDefault="00D97DD4" w:rsidP="00D97DD4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5944">
        <w:rPr>
          <w:rFonts w:ascii="Times New Roman" w:hAnsi="Times New Roman"/>
          <w:sz w:val="24"/>
          <w:szCs w:val="24"/>
        </w:rPr>
        <w:t xml:space="preserve">Для лекарственных препаратов, путь введения которых </w:t>
      </w:r>
      <w:r w:rsidR="00AF6792" w:rsidRPr="00CD5944">
        <w:rPr>
          <w:rFonts w:ascii="Times New Roman" w:hAnsi="Times New Roman"/>
          <w:sz w:val="24"/>
          <w:szCs w:val="24"/>
        </w:rPr>
        <w:t xml:space="preserve">не </w:t>
      </w:r>
      <w:r w:rsidRPr="00CD5944">
        <w:rPr>
          <w:rFonts w:ascii="Times New Roman" w:hAnsi="Times New Roman"/>
          <w:sz w:val="24"/>
          <w:szCs w:val="24"/>
        </w:rPr>
        <w:t>устанавливался ВОЗ, был присвоен путь введения характерный для данного конкретного лекарственного препарата с учетом его лекарственной формы.</w:t>
      </w:r>
    </w:p>
    <w:p w:rsidR="000678C5" w:rsidRPr="000678C5" w:rsidRDefault="000678C5" w:rsidP="000678C5">
      <w:pPr>
        <w:numPr>
          <w:ilvl w:val="0"/>
          <w:numId w:val="41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Определение частоты назначения дженерических лекарственных средств:</w:t>
      </w:r>
    </w:p>
    <w:p w:rsidR="000678C5" w:rsidRPr="000678C5" w:rsidRDefault="000678C5" w:rsidP="000678C5">
      <w:pPr>
        <w:numPr>
          <w:ilvl w:val="0"/>
          <w:numId w:val="42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Создать запрос, включающий: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Торговое название лекарственного препарата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Цену лекарственного препарата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Количество, отпущенного лекарственного препарата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Атрибут «Бренд/Дженерик»</w:t>
      </w:r>
    </w:p>
    <w:p w:rsidR="000678C5" w:rsidRDefault="000678C5" w:rsidP="000678C5">
      <w:pPr>
        <w:numPr>
          <w:ilvl w:val="0"/>
          <w:numId w:val="42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Вычислить частоту назначения «Брендов» («Дженериков») среди общего количества отпущенных лекарств в количественном и суммовом выражении.</w:t>
      </w:r>
    </w:p>
    <w:p w:rsidR="00B829FD" w:rsidRPr="000678C5" w:rsidRDefault="00375400" w:rsidP="00B829FD">
      <w:p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См. приложение № 3</w:t>
      </w:r>
    </w:p>
    <w:p w:rsidR="000678C5" w:rsidRPr="000678C5" w:rsidRDefault="000678C5" w:rsidP="000678C5">
      <w:pPr>
        <w:numPr>
          <w:ilvl w:val="0"/>
          <w:numId w:val="41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Определение частоты назначения антибактериальных средств:</w:t>
      </w:r>
    </w:p>
    <w:p w:rsidR="000678C5" w:rsidRDefault="000678C5" w:rsidP="007E1400">
      <w:pPr>
        <w:numPr>
          <w:ilvl w:val="1"/>
          <w:numId w:val="41"/>
        </w:numPr>
        <w:shd w:val="clear" w:color="auto" w:fill="FFFFFF"/>
        <w:tabs>
          <w:tab w:val="clear" w:pos="144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Создать запрос, включающий: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Торговое название лекарственного препарата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Цену лекарственного препарата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Количество, отпущенного лекарственного препарата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АТС-код лекарственного препарата</w:t>
      </w:r>
    </w:p>
    <w:p w:rsidR="000678C5" w:rsidRDefault="000678C5" w:rsidP="007E1400">
      <w:pPr>
        <w:numPr>
          <w:ilvl w:val="1"/>
          <w:numId w:val="41"/>
        </w:numPr>
        <w:shd w:val="clear" w:color="auto" w:fill="FFFFFF"/>
        <w:tabs>
          <w:tab w:val="clear" w:pos="144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Вычислить частоту назначения антимикробных среств (код «</w:t>
      </w:r>
      <w:r w:rsidRPr="000678C5">
        <w:rPr>
          <w:rFonts w:ascii="Times New Roman" w:hAnsi="Times New Roman"/>
          <w:sz w:val="24"/>
          <w:szCs w:val="24"/>
          <w:lang w:val="en-US"/>
        </w:rPr>
        <w:t>J</w:t>
      </w:r>
      <w:r w:rsidRPr="000678C5">
        <w:rPr>
          <w:rFonts w:ascii="Times New Roman" w:hAnsi="Times New Roman"/>
          <w:sz w:val="24"/>
          <w:szCs w:val="24"/>
        </w:rPr>
        <w:t>» по АТС классификации) в количественном и суммовом выражении.</w:t>
      </w:r>
    </w:p>
    <w:p w:rsidR="000678C5" w:rsidRDefault="000678C5" w:rsidP="007E1400">
      <w:pPr>
        <w:numPr>
          <w:ilvl w:val="1"/>
          <w:numId w:val="41"/>
        </w:numPr>
        <w:shd w:val="clear" w:color="auto" w:fill="FFFFFF"/>
        <w:tabs>
          <w:tab w:val="clear" w:pos="144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Вычислить частоту назначения антимикробных средств по всем уровням кода «</w:t>
      </w:r>
      <w:r w:rsidRPr="000678C5">
        <w:rPr>
          <w:rFonts w:ascii="Times New Roman" w:hAnsi="Times New Roman"/>
          <w:sz w:val="24"/>
          <w:szCs w:val="24"/>
          <w:lang w:val="en-US"/>
        </w:rPr>
        <w:t>J</w:t>
      </w:r>
      <w:r w:rsidRPr="000678C5">
        <w:rPr>
          <w:rFonts w:ascii="Times New Roman" w:hAnsi="Times New Roman"/>
          <w:sz w:val="24"/>
          <w:szCs w:val="24"/>
        </w:rPr>
        <w:t>» АТС-классификации в количественном и суммовом выражении.</w:t>
      </w:r>
    </w:p>
    <w:p w:rsidR="000678C5" w:rsidRDefault="007E1400" w:rsidP="007E1400">
      <w:pPr>
        <w:numPr>
          <w:ilvl w:val="1"/>
          <w:numId w:val="41"/>
        </w:numPr>
        <w:shd w:val="clear" w:color="auto" w:fill="FFFFFF"/>
        <w:tabs>
          <w:tab w:val="clear" w:pos="144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Вычислить долю назначения препаратов внутри группы кода «</w:t>
      </w:r>
      <w:r w:rsidRPr="000678C5">
        <w:rPr>
          <w:rFonts w:ascii="Times New Roman" w:hAnsi="Times New Roman"/>
          <w:sz w:val="24"/>
          <w:szCs w:val="24"/>
          <w:lang w:val="en-US"/>
        </w:rPr>
        <w:t>J</w:t>
      </w:r>
      <w:r w:rsidRPr="000678C5">
        <w:rPr>
          <w:rFonts w:ascii="Times New Roman" w:hAnsi="Times New Roman"/>
          <w:sz w:val="24"/>
          <w:szCs w:val="24"/>
        </w:rPr>
        <w:t>» АТС-классификации.</w:t>
      </w:r>
    </w:p>
    <w:p w:rsidR="007E1400" w:rsidRPr="000678C5" w:rsidRDefault="00375400" w:rsidP="007E1400">
      <w:p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См. приложение № 4</w:t>
      </w:r>
    </w:p>
    <w:p w:rsidR="000678C5" w:rsidRPr="000678C5" w:rsidRDefault="000678C5" w:rsidP="000678C5">
      <w:pPr>
        <w:numPr>
          <w:ilvl w:val="0"/>
          <w:numId w:val="41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Определение частоты назначения парентеральных лекарственных форм:</w:t>
      </w:r>
    </w:p>
    <w:p w:rsidR="000678C5" w:rsidRPr="000678C5" w:rsidRDefault="000678C5" w:rsidP="000678C5">
      <w:pPr>
        <w:numPr>
          <w:ilvl w:val="0"/>
          <w:numId w:val="45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Создать запрос, включающий: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Торговое название лекарственного препарата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Цену лекарственного препарата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Количество, отпущенного лекарственного препарата</w:t>
      </w:r>
    </w:p>
    <w:p w:rsidR="000678C5" w:rsidRPr="000678C5" w:rsidRDefault="000678C5" w:rsidP="000678C5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Атрибут «Путь введения» для лекарственного препарата</w:t>
      </w:r>
    </w:p>
    <w:p w:rsidR="000678C5" w:rsidRDefault="000678C5" w:rsidP="000678C5">
      <w:pPr>
        <w:numPr>
          <w:ilvl w:val="0"/>
          <w:numId w:val="45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Вычислить частоту назначения лекарственных препаратов со значением «p» атрибута «Путь введения» в количественном и суммовом выражении.</w:t>
      </w:r>
    </w:p>
    <w:p w:rsidR="007E1400" w:rsidRPr="000678C5" w:rsidRDefault="00375400" w:rsidP="007E1400">
      <w:p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См. приложение № 5</w:t>
      </w:r>
    </w:p>
    <w:p w:rsidR="00D97DD4" w:rsidRPr="000678C5" w:rsidRDefault="000678C5" w:rsidP="00D97DD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br w:type="page"/>
      </w:r>
      <w:r w:rsidR="00D97DD4" w:rsidRPr="000678C5">
        <w:rPr>
          <w:rFonts w:ascii="Times New Roman" w:hAnsi="Times New Roman"/>
          <w:sz w:val="24"/>
          <w:szCs w:val="24"/>
        </w:rPr>
        <w:t>Анализ потребления отечественных/импортных лекарственных средств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Анализ потребления отечественных/импортных лекарственных средств позволяет определить количество и долю затраченных средств на отечественные и импортные лекарственные препараты. При выявлении больших диспропорций в суммовом выражении возможна разработка стратегии замены дорогих импортных лекарственных препаратов на их более дешевые отечественные аналоги.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Для проведения анализа потребления отечественных и импортных лекарственных препаратов были предприняты следующие шаги:</w:t>
      </w:r>
    </w:p>
    <w:p w:rsidR="00D97DD4" w:rsidRDefault="00D97DD4" w:rsidP="00D97DD4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Присвоение каждому лекарственному препарату (</w:t>
      </w:r>
      <w:r w:rsidRPr="000678C5">
        <w:rPr>
          <w:rFonts w:ascii="Times New Roman" w:hAnsi="Times New Roman"/>
          <w:sz w:val="24"/>
          <w:szCs w:val="24"/>
          <w:lang w:val="en-US"/>
        </w:rPr>
        <w:t>NAME</w:t>
      </w:r>
      <w:r w:rsidRPr="000678C5">
        <w:rPr>
          <w:rFonts w:ascii="Times New Roman" w:hAnsi="Times New Roman"/>
          <w:sz w:val="24"/>
          <w:szCs w:val="24"/>
        </w:rPr>
        <w:t>_</w:t>
      </w:r>
      <w:r w:rsidRPr="000678C5">
        <w:rPr>
          <w:rFonts w:ascii="Times New Roman" w:hAnsi="Times New Roman"/>
          <w:sz w:val="24"/>
          <w:szCs w:val="24"/>
          <w:lang w:val="en-US"/>
        </w:rPr>
        <w:t>MED</w:t>
      </w:r>
      <w:r w:rsidRPr="000678C5">
        <w:rPr>
          <w:rFonts w:ascii="Times New Roman" w:hAnsi="Times New Roman"/>
          <w:sz w:val="24"/>
          <w:szCs w:val="24"/>
        </w:rPr>
        <w:t>) зарегистрированных в перечне ДЛО значения «Отечественный» — для отечественных лекарственных средств и «Импортный» — для импортных.</w:t>
      </w:r>
    </w:p>
    <w:p w:rsidR="00106403" w:rsidRPr="00106403" w:rsidRDefault="00106403" w:rsidP="00106403">
      <w:pPr>
        <w:numPr>
          <w:ilvl w:val="1"/>
          <w:numId w:val="41"/>
        </w:numPr>
        <w:shd w:val="clear" w:color="auto" w:fill="FFFFFF"/>
        <w:tabs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Определение частоты назначения лекарственных средств</w:t>
      </w:r>
      <w:r>
        <w:rPr>
          <w:rFonts w:ascii="Times New Roman" w:hAnsi="Times New Roman"/>
          <w:sz w:val="24"/>
          <w:szCs w:val="24"/>
        </w:rPr>
        <w:t xml:space="preserve"> отечественного производства</w:t>
      </w:r>
      <w:r w:rsidRPr="00106403">
        <w:rPr>
          <w:rFonts w:ascii="Times New Roman" w:hAnsi="Times New Roman"/>
          <w:sz w:val="24"/>
          <w:szCs w:val="24"/>
        </w:rPr>
        <w:t>:</w:t>
      </w:r>
    </w:p>
    <w:p w:rsidR="00106403" w:rsidRPr="00106403" w:rsidRDefault="00106403" w:rsidP="00106403">
      <w:pPr>
        <w:numPr>
          <w:ilvl w:val="1"/>
          <w:numId w:val="26"/>
        </w:numPr>
        <w:shd w:val="clear" w:color="auto" w:fill="FFFFFF"/>
        <w:tabs>
          <w:tab w:val="clear" w:pos="180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Создать запрос, включающий:</w:t>
      </w:r>
    </w:p>
    <w:p w:rsidR="00106403" w:rsidRPr="00106403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Торговое название лекарственного препарата</w:t>
      </w:r>
    </w:p>
    <w:p w:rsidR="00106403" w:rsidRPr="00106403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Цену лекарственного препарата</w:t>
      </w:r>
    </w:p>
    <w:p w:rsidR="00106403" w:rsidRPr="00106403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Количество, отпущенного лекарственного препарата</w:t>
      </w:r>
    </w:p>
    <w:p w:rsidR="00106403" w:rsidRPr="00106403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Атрибут «</w:t>
      </w:r>
      <w:r>
        <w:rPr>
          <w:rFonts w:ascii="Times New Roman" w:hAnsi="Times New Roman"/>
          <w:sz w:val="24"/>
          <w:szCs w:val="24"/>
        </w:rPr>
        <w:t>Отечественный</w:t>
      </w:r>
      <w:r w:rsidRPr="0010640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Импортный</w:t>
      </w:r>
      <w:r w:rsidRPr="00106403">
        <w:rPr>
          <w:rFonts w:ascii="Times New Roman" w:hAnsi="Times New Roman"/>
          <w:sz w:val="24"/>
          <w:szCs w:val="24"/>
        </w:rPr>
        <w:t>»</w:t>
      </w:r>
    </w:p>
    <w:p w:rsidR="00106403" w:rsidRDefault="00106403" w:rsidP="00106403">
      <w:pPr>
        <w:numPr>
          <w:ilvl w:val="1"/>
          <w:numId w:val="26"/>
        </w:numPr>
        <w:shd w:val="clear" w:color="auto" w:fill="FFFFFF"/>
        <w:tabs>
          <w:tab w:val="clear" w:pos="180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Вычислить частоту назначения «</w:t>
      </w:r>
      <w:r>
        <w:rPr>
          <w:rFonts w:ascii="Times New Roman" w:hAnsi="Times New Roman"/>
          <w:sz w:val="24"/>
          <w:szCs w:val="24"/>
        </w:rPr>
        <w:t>Отечественных</w:t>
      </w:r>
      <w:r w:rsidRPr="00106403">
        <w:rPr>
          <w:rFonts w:ascii="Times New Roman" w:hAnsi="Times New Roman"/>
          <w:sz w:val="24"/>
          <w:szCs w:val="24"/>
        </w:rPr>
        <w:t>» («</w:t>
      </w:r>
      <w:r>
        <w:rPr>
          <w:rFonts w:ascii="Times New Roman" w:hAnsi="Times New Roman"/>
          <w:sz w:val="24"/>
          <w:szCs w:val="24"/>
        </w:rPr>
        <w:t>Импортных</w:t>
      </w:r>
      <w:r w:rsidRPr="00106403">
        <w:rPr>
          <w:rFonts w:ascii="Times New Roman" w:hAnsi="Times New Roman"/>
          <w:sz w:val="24"/>
          <w:szCs w:val="24"/>
        </w:rPr>
        <w:t>»)</w:t>
      </w:r>
      <w:r>
        <w:rPr>
          <w:rFonts w:ascii="Times New Roman" w:hAnsi="Times New Roman"/>
          <w:sz w:val="24"/>
          <w:szCs w:val="24"/>
        </w:rPr>
        <w:t xml:space="preserve"> лекарственных средств</w:t>
      </w:r>
      <w:r w:rsidRPr="00106403">
        <w:rPr>
          <w:rFonts w:ascii="Times New Roman" w:hAnsi="Times New Roman"/>
          <w:sz w:val="24"/>
          <w:szCs w:val="24"/>
        </w:rPr>
        <w:t xml:space="preserve"> среди общего количества отпущенных лекарств в количественном и суммовом выражении.</w:t>
      </w:r>
    </w:p>
    <w:p w:rsidR="00BA08A0" w:rsidRPr="00106403" w:rsidRDefault="00375400" w:rsidP="00BA08A0">
      <w:p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См. приложение № 6</w:t>
      </w:r>
    </w:p>
    <w:p w:rsidR="00D97DD4" w:rsidRPr="008F56F8" w:rsidRDefault="000678C5" w:rsidP="00D97DD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D97DD4" w:rsidRPr="008F56F8">
        <w:rPr>
          <w:rFonts w:ascii="Times New Roman" w:hAnsi="Times New Roman"/>
          <w:b/>
          <w:sz w:val="24"/>
          <w:szCs w:val="24"/>
        </w:rPr>
        <w:t>Модельный список ВОЗ</w:t>
      </w:r>
    </w:p>
    <w:p w:rsidR="00D97DD4" w:rsidRPr="008F56F8" w:rsidRDefault="00D97DD4" w:rsidP="00D97DD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6F8">
        <w:rPr>
          <w:rFonts w:ascii="Times New Roman" w:hAnsi="Times New Roman"/>
          <w:b/>
          <w:sz w:val="24"/>
          <w:szCs w:val="24"/>
        </w:rPr>
        <w:t>Концепция основных лекарственных средств.</w:t>
      </w:r>
    </w:p>
    <w:p w:rsidR="00D97DD4" w:rsidRPr="008A1A19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Ограниченное число тщательно выбранных основных лекраственных средств приводит к лучшему качеству здравоохранения, лучшему лекарственному обеспечению, и более низким ценам</w:t>
      </w:r>
      <w:r w:rsidR="008A1A19" w:rsidRPr="008A1A19">
        <w:rPr>
          <w:rFonts w:ascii="Times New Roman" w:hAnsi="Times New Roman"/>
          <w:sz w:val="24"/>
          <w:szCs w:val="24"/>
        </w:rPr>
        <w:t>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Основные лекарственные средства — это те лекарственные средства, которые удовлетворяют приоритетные нужды здравоохранения для обеспечения здоровья большинства населения.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Доступность здравоохранения — это одно из основных Прав человека, которые должны быть реализованы (ст. 41 Конституции Российской Федерации; ст. 25 Всеобщей Декларации прав человека). Доступность здравоохранения включает в себя и доступность Основных лекарственных средств.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Концепция основных лекарственных средств применима на глобальном, национальном, региональном и местных уровнях.</w:t>
      </w:r>
    </w:p>
    <w:p w:rsidR="00D97DD4" w:rsidRPr="008F56F8" w:rsidRDefault="00D97DD4" w:rsidP="00D97DD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6F8">
        <w:rPr>
          <w:rFonts w:ascii="Times New Roman" w:hAnsi="Times New Roman"/>
          <w:b/>
          <w:sz w:val="24"/>
          <w:szCs w:val="24"/>
        </w:rPr>
        <w:t>История Модельного списка основных лекарственных средств ВОЗ.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 1977 году был создан Первый Модельный список, включавший 200 лекарственных средств (по их международному непатентованному названию), который был опубликован в том же году.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Пересмотр Модельного списка основных лекарственных средств ВОЗ производится каждые два года Комитетом Экспертов ВОЗ.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 2002 был произведен пересмотр процедуры модельного процесса, который был одобрен Всемирной Организацией здравоохранения.</w:t>
      </w:r>
    </w:p>
    <w:p w:rsidR="008F56F8" w:rsidRDefault="00D97DD4" w:rsidP="008F56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Версия от апрель 2005 года содержала 315 лекарственных средств (активных субстанций),  Модельный список 2007 года 320 содержит лекарственных средств. Таким образом, за два года в рамках процедуры пересмотра были добавлены 5 новых активных субстанций.</w:t>
      </w:r>
      <w:r w:rsidR="008F56F8" w:rsidRPr="008F56F8">
        <w:rPr>
          <w:rFonts w:ascii="Times New Roman" w:hAnsi="Times New Roman"/>
          <w:sz w:val="24"/>
          <w:szCs w:val="24"/>
        </w:rPr>
        <w:t xml:space="preserve"> </w:t>
      </w:r>
    </w:p>
    <w:p w:rsidR="00D97DD4" w:rsidRPr="000678C5" w:rsidRDefault="008F56F8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Первый Модельный список лекарственных средств ВОЗ — это самый существенный прорыв в истории медицины, фармации и общественного здоровья.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6F8">
        <w:rPr>
          <w:rFonts w:ascii="Times New Roman" w:hAnsi="Times New Roman"/>
          <w:b/>
          <w:sz w:val="24"/>
          <w:szCs w:val="24"/>
        </w:rPr>
        <w:t>Критерии отбора:</w:t>
      </w:r>
      <w:r w:rsidRPr="000678C5">
        <w:rPr>
          <w:rFonts w:ascii="Times New Roman" w:hAnsi="Times New Roman"/>
          <w:sz w:val="24"/>
          <w:szCs w:val="24"/>
        </w:rPr>
        <w:t xml:space="preserve"> Основные лекарства отбираются на основании распространенности заболеваний, доказательств эффективности и безопасности, и сравнительной затратной эффективности.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6F8">
        <w:rPr>
          <w:rFonts w:ascii="Times New Roman" w:hAnsi="Times New Roman"/>
          <w:b/>
          <w:sz w:val="24"/>
          <w:szCs w:val="24"/>
        </w:rPr>
        <w:t>Цель:</w:t>
      </w:r>
      <w:r w:rsidRPr="000678C5">
        <w:rPr>
          <w:rFonts w:ascii="Times New Roman" w:hAnsi="Times New Roman"/>
          <w:sz w:val="24"/>
          <w:szCs w:val="24"/>
        </w:rPr>
        <w:t xml:space="preserve"> Основные лекарства предназначены для обеспечения доступности (всегда должны быть в наличии) в функционирующих системах здравоохранения, в достаточных количествах, в соответствующих лекарственных формах, гарантированного качества, и по цене, которую индивидуальный пациент и общество могут себе позволить. 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56F8">
        <w:rPr>
          <w:rFonts w:ascii="Times New Roman" w:hAnsi="Times New Roman"/>
          <w:b/>
          <w:sz w:val="24"/>
          <w:szCs w:val="24"/>
        </w:rPr>
        <w:t>Исполнение:</w:t>
      </w:r>
      <w:r w:rsidRPr="000678C5">
        <w:rPr>
          <w:rFonts w:ascii="Times New Roman" w:hAnsi="Times New Roman"/>
          <w:sz w:val="24"/>
          <w:szCs w:val="24"/>
        </w:rPr>
        <w:t xml:space="preserve"> Исполнение концепции основных лекарственных средств должно быть гибким и адаптируемым ко множеству различных ситуаций; какие конкретно лекарства рассматриваются в качестве основных — ответственность каждой страны (нации).</w:t>
      </w:r>
    </w:p>
    <w:p w:rsidR="00D97DD4" w:rsidRPr="008F56F8" w:rsidRDefault="00D97DD4" w:rsidP="00D97DD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56F8">
        <w:rPr>
          <w:rFonts w:ascii="Times New Roman" w:hAnsi="Times New Roman"/>
          <w:b/>
          <w:sz w:val="24"/>
          <w:szCs w:val="24"/>
        </w:rPr>
        <w:t>Использование Модельного списка Основных лекарств ВОЗ.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156 стран имеют национальные списки основных лекарств, из которых 81% были пересмотрены в течение последних 5 лет.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Основные международные агентства (UNICEF — Детский фонд Организации Объединенных Наций, UNHCR — Управление верховного комиссара Организации Объединенных Наций по делам беженцев, IDA — Международная ассоциация развития) строят свои каталоги на основе Модельного списка ВОЗ.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Суб-категории: Список ООН — это рекомендованные основные лекарства для неотложной помощи (85 ЛС); междисциплинарный Новый Набор Неотложной Помощи (55 лекарств на 10,000 консультаций).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Нормативные документы: Модельный Формуляр ВОЗ, Международная Фармакопея, Основные Тесты Качества, разработка стандартов </w:t>
      </w:r>
      <w:r w:rsidR="008F56F8">
        <w:rPr>
          <w:rFonts w:ascii="Times New Roman" w:hAnsi="Times New Roman"/>
          <w:sz w:val="24"/>
          <w:szCs w:val="24"/>
        </w:rPr>
        <w:t xml:space="preserve">лечения </w:t>
      </w:r>
      <w:r w:rsidRPr="000678C5">
        <w:rPr>
          <w:rFonts w:ascii="Times New Roman" w:hAnsi="Times New Roman"/>
          <w:sz w:val="24"/>
          <w:szCs w:val="24"/>
        </w:rPr>
        <w:t>следует за Модельным списком ВОЗ.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Модельный список Основных лекарственных средств ВОЗ — это модельный процесс, модельный продукт и инструмент здравоохранения.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Независимое членство экспертов Комитета, тщательный учет конфликта интересов.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Процесс включения и исключения лекарственных средств проходит прозрачно и систематически с использованием стандартной процедуры и обзора имеющихся данных. Данный процесс проходит под руководством Группы по разработке рекомендаций, имеющей широкие представительства. Каждый конкретный случай конфликта интересов тщательно и беспристрастно рассматривается, предаваясь открытому обсуждению. Основным положением, которым должны руководствоваться члены Группы по разработке рекомендаций — значимость исследуемого лекарственного средства для здравоохранения.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Основные лекарственные средства — самые затратно-эффективные для данного заболевания. Поэтому ограниченный список тщательно выбранных средств отвечает основным нуждам здравоохранения и населения, т.к. нерациональный выбор и использование лекарственных средств представляет угрозу больному и обществу в целом, но и приводит к серьезным растратам бюджета, выделенного на здравоохранение.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Формирование Модельного списка состоит в тесной связи с доказательной медициной, полностью соответствует рекомендованной ВОЗ процедурой по разработке Клинических рекомендаций. Решения и оценка силы доказательств принимаются на основании Систематических Обзоров сравнительной эффективности, безопасности и затратной эффективности (проводится систематически по решению ВОЗ с целью оценки выявления релевантных аспектов для здравоохранения), обзоров значимости для здравоохранения по каждому лекарственному средству (как по активной субстанции, так и по форме выпуска). Данные по составлению рекомендаций подкрепляются обоснованными доказательствами, поиск которых осуществляется систематически с применением компьютерных технологий. Проводится четкое ранжирование всех рекомендаций с указанием всех ссылок на них. При недостаточности рекомендаций, последние разрабатываются на основании консенсуса мнений экспертов — членов Группы по разработке рекомендаций.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Модельный список существует в электронном виде, что способствует его быстрому распространению.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Составление рекомендаций основано на руководствах по составлению рекомендаций (мета-рекомендации, стандарт стандартов) (одобрен Кабинетом ВОЗ в январе 2001).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78C5">
        <w:rPr>
          <w:rFonts w:ascii="Times New Roman" w:hAnsi="Times New Roman"/>
          <w:b/>
          <w:sz w:val="24"/>
          <w:szCs w:val="24"/>
        </w:rPr>
        <w:t>Выводы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Концепция основных лекарственных средств Всемирной Организации Здравоохранения — это глобальная концепция.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Клинические рекомендации ВОЗ являются основанием для Модельного Списка лекарственных средств ВОЗ; Модельный список является мощным инструментом здравоохранения.</w:t>
      </w:r>
    </w:p>
    <w:p w:rsidR="00D97DD4" w:rsidRPr="000678C5" w:rsidRDefault="00D97DD4" w:rsidP="00D97D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Библиотека Основных Лекарств ВОЗ — ценный информационный ресурс для всех стран, международных организаций, формулярных комитетов и организаций медицинского страхования.</w:t>
      </w:r>
    </w:p>
    <w:p w:rsidR="000678C5" w:rsidRPr="000678C5" w:rsidRDefault="000678C5" w:rsidP="000678C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Для проведения анализа потребления лекарственных средств в соответствии с Модельным списком важнейших лекарственных средств ВОЗ были предприняты следующие шаги:</w:t>
      </w:r>
    </w:p>
    <w:p w:rsidR="00C148CC" w:rsidRDefault="000678C5" w:rsidP="000678C5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>Присвоение каждому лекарственному препарату (</w:t>
      </w:r>
      <w:r w:rsidRPr="000678C5">
        <w:rPr>
          <w:rFonts w:ascii="Times New Roman" w:hAnsi="Times New Roman"/>
          <w:sz w:val="24"/>
          <w:szCs w:val="24"/>
          <w:lang w:val="en-US"/>
        </w:rPr>
        <w:t>NAME</w:t>
      </w:r>
      <w:r w:rsidRPr="000678C5">
        <w:rPr>
          <w:rFonts w:ascii="Times New Roman" w:hAnsi="Times New Roman"/>
          <w:sz w:val="24"/>
          <w:szCs w:val="24"/>
        </w:rPr>
        <w:t>_</w:t>
      </w:r>
      <w:r w:rsidRPr="000678C5">
        <w:rPr>
          <w:rFonts w:ascii="Times New Roman" w:hAnsi="Times New Roman"/>
          <w:sz w:val="24"/>
          <w:szCs w:val="24"/>
          <w:lang w:val="en-US"/>
        </w:rPr>
        <w:t>MED</w:t>
      </w:r>
      <w:r w:rsidRPr="000678C5">
        <w:rPr>
          <w:rFonts w:ascii="Times New Roman" w:hAnsi="Times New Roman"/>
          <w:sz w:val="24"/>
          <w:szCs w:val="24"/>
        </w:rPr>
        <w:t>) зарегистрированных в перечне ДЛО значения «</w:t>
      </w:r>
      <w:r w:rsidRPr="000678C5">
        <w:rPr>
          <w:rFonts w:ascii="Times New Roman" w:hAnsi="Times New Roman"/>
          <w:sz w:val="24"/>
          <w:szCs w:val="24"/>
          <w:lang w:val="en-US"/>
        </w:rPr>
        <w:t>EML</w:t>
      </w:r>
      <w:r w:rsidRPr="000678C5">
        <w:rPr>
          <w:rFonts w:ascii="Times New Roman" w:hAnsi="Times New Roman"/>
          <w:sz w:val="24"/>
          <w:szCs w:val="24"/>
        </w:rPr>
        <w:t>+» — входит в Модельный список важнейших лекарственных средств ВОЗ и «</w:t>
      </w:r>
      <w:r w:rsidRPr="000678C5">
        <w:rPr>
          <w:rFonts w:ascii="Times New Roman" w:hAnsi="Times New Roman"/>
          <w:sz w:val="24"/>
          <w:szCs w:val="24"/>
          <w:lang w:val="en-US"/>
        </w:rPr>
        <w:t>EML</w:t>
      </w:r>
      <w:r w:rsidRPr="000678C5">
        <w:rPr>
          <w:rFonts w:ascii="Times New Roman" w:hAnsi="Times New Roman"/>
          <w:sz w:val="24"/>
          <w:szCs w:val="24"/>
        </w:rPr>
        <w:t>--» — не входит в Модельный список важнейших лекарственных средств ВОЗ.</w:t>
      </w:r>
    </w:p>
    <w:p w:rsidR="00106403" w:rsidRPr="00106403" w:rsidRDefault="00106403" w:rsidP="00106403">
      <w:pPr>
        <w:numPr>
          <w:ilvl w:val="1"/>
          <w:numId w:val="26"/>
        </w:numPr>
        <w:shd w:val="clear" w:color="auto" w:fill="FFFFFF"/>
        <w:tabs>
          <w:tab w:val="clear" w:pos="1800"/>
          <w:tab w:val="left" w:pos="-2694"/>
          <w:tab w:val="num" w:pos="720"/>
        </w:tabs>
        <w:spacing w:line="490" w:lineRule="exact"/>
        <w:ind w:left="720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Определение частоты назначения лекарственных средств из списка важнейших лекарственных средств ВОЗ:</w:t>
      </w:r>
    </w:p>
    <w:p w:rsidR="00106403" w:rsidRPr="00106403" w:rsidRDefault="00106403" w:rsidP="00106403">
      <w:pPr>
        <w:numPr>
          <w:ilvl w:val="0"/>
          <w:numId w:val="46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Создать запрос, включающий:</w:t>
      </w:r>
    </w:p>
    <w:p w:rsidR="00106403" w:rsidRPr="00106403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Торговое название лекарственного препарата</w:t>
      </w:r>
    </w:p>
    <w:p w:rsidR="00106403" w:rsidRPr="00106403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Количество, отпущенного лекарственного препарата</w:t>
      </w:r>
    </w:p>
    <w:p w:rsidR="00106403" w:rsidRPr="00106403" w:rsidRDefault="00106403" w:rsidP="00106403">
      <w:pPr>
        <w:numPr>
          <w:ilvl w:val="0"/>
          <w:numId w:val="43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Атрибут «</w:t>
      </w:r>
      <w:r w:rsidRPr="00106403">
        <w:rPr>
          <w:rFonts w:ascii="Times New Roman" w:hAnsi="Times New Roman"/>
          <w:sz w:val="24"/>
          <w:szCs w:val="24"/>
          <w:lang w:val="en-US"/>
        </w:rPr>
        <w:t>EML</w:t>
      </w:r>
      <w:r w:rsidRPr="00106403">
        <w:rPr>
          <w:rFonts w:ascii="Times New Roman" w:hAnsi="Times New Roman"/>
          <w:sz w:val="24"/>
          <w:szCs w:val="24"/>
        </w:rPr>
        <w:t xml:space="preserve">» (WHO Essential </w:t>
      </w:r>
      <w:r w:rsidRPr="00106403">
        <w:rPr>
          <w:rFonts w:ascii="Times New Roman" w:hAnsi="Times New Roman"/>
          <w:sz w:val="24"/>
          <w:szCs w:val="24"/>
          <w:lang w:val="en-US"/>
        </w:rPr>
        <w:t xml:space="preserve">Medicine List) </w:t>
      </w:r>
      <w:r w:rsidRPr="00106403">
        <w:rPr>
          <w:rFonts w:ascii="Times New Roman" w:hAnsi="Times New Roman"/>
          <w:sz w:val="24"/>
          <w:szCs w:val="24"/>
        </w:rPr>
        <w:t>для лекарственного препарата</w:t>
      </w:r>
    </w:p>
    <w:p w:rsidR="00106403" w:rsidRDefault="00106403" w:rsidP="00106403">
      <w:pPr>
        <w:numPr>
          <w:ilvl w:val="0"/>
          <w:numId w:val="46"/>
        </w:num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 w:rsidRPr="00106403">
        <w:rPr>
          <w:rFonts w:ascii="Times New Roman" w:hAnsi="Times New Roman"/>
          <w:sz w:val="24"/>
          <w:szCs w:val="24"/>
        </w:rPr>
        <w:t>Вычислить частоту назначения лекарственных препаратов со значением «+» атрибута «</w:t>
      </w:r>
      <w:r w:rsidRPr="00106403">
        <w:rPr>
          <w:rFonts w:ascii="Times New Roman" w:hAnsi="Times New Roman"/>
          <w:sz w:val="24"/>
          <w:szCs w:val="24"/>
          <w:lang w:val="en-US"/>
        </w:rPr>
        <w:t>EML</w:t>
      </w:r>
      <w:r w:rsidRPr="00106403">
        <w:rPr>
          <w:rFonts w:ascii="Times New Roman" w:hAnsi="Times New Roman"/>
          <w:sz w:val="24"/>
          <w:szCs w:val="24"/>
        </w:rPr>
        <w:t>».</w:t>
      </w:r>
    </w:p>
    <w:p w:rsidR="00BA08A0" w:rsidRPr="00106403" w:rsidRDefault="00375400" w:rsidP="00BA08A0">
      <w:pPr>
        <w:shd w:val="clear" w:color="auto" w:fill="FFFFFF"/>
        <w:tabs>
          <w:tab w:val="left" w:pos="-2694"/>
        </w:tabs>
        <w:spacing w:line="49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См. приложение № 7</w:t>
      </w:r>
    </w:p>
    <w:p w:rsidR="00E94F9D" w:rsidRPr="000678C5" w:rsidRDefault="00E94F9D" w:rsidP="000678C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</w:rPr>
        <w:br w:type="page"/>
      </w:r>
      <w:r w:rsidRPr="000678C5">
        <w:rPr>
          <w:rFonts w:ascii="Times New Roman" w:hAnsi="Times New Roman"/>
          <w:sz w:val="24"/>
          <w:szCs w:val="24"/>
        </w:rPr>
        <w:t>ЗАКЛЮЧЕНИЕ</w:t>
      </w:r>
    </w:p>
    <w:p w:rsidR="00DD0C76" w:rsidRDefault="00DD0C76" w:rsidP="00DD0C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  <w:sz w:val="24"/>
          <w:szCs w:val="24"/>
        </w:rPr>
        <w:t xml:space="preserve">Таким образом, </w:t>
      </w:r>
      <w:r w:rsidR="000478CD">
        <w:rPr>
          <w:rFonts w:ascii="Times New Roman" w:hAnsi="Times New Roman"/>
          <w:sz w:val="24"/>
          <w:szCs w:val="24"/>
        </w:rPr>
        <w:t>перечисленные методы анализа структуры потребления позволяют выделить основные лекарственные средства по их терапевтическим и фармакологическим группам, на которые были истрачены средства бюджета</w:t>
      </w:r>
      <w:r w:rsidRPr="000678C5">
        <w:rPr>
          <w:rFonts w:ascii="Times New Roman" w:hAnsi="Times New Roman"/>
          <w:sz w:val="24"/>
          <w:szCs w:val="24"/>
        </w:rPr>
        <w:t>.</w:t>
      </w:r>
    </w:p>
    <w:p w:rsidR="000478CD" w:rsidRDefault="000478CD" w:rsidP="00DD0C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Анализы потребления по основным индикаторам ВОЗ и по принадлежности лекарственных средств к Модельному списку ВОЗ позволя</w:t>
      </w:r>
      <w:r w:rsidR="00627D4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 подойти к вопросу рациональной фармакотерапии на уровне всей страны.</w:t>
      </w:r>
    </w:p>
    <w:p w:rsidR="00DD0C76" w:rsidRPr="000678C5" w:rsidRDefault="000478CD" w:rsidP="00DD0C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потребления </w:t>
      </w:r>
      <w:r w:rsidR="00BA08A0">
        <w:rPr>
          <w:rFonts w:ascii="Times New Roman" w:hAnsi="Times New Roman"/>
          <w:sz w:val="24"/>
          <w:szCs w:val="24"/>
        </w:rPr>
        <w:t>отечественных и импортных лекарственных средств позволит определить какова доля отечественных лекарственных средств в структуре потребления всей страны по программе Дополнительного лекарственного обеспечения, а также какая часть средств расходуется на них</w:t>
      </w:r>
      <w:r w:rsidR="00DD0C76" w:rsidRPr="000678C5">
        <w:rPr>
          <w:rFonts w:ascii="Times New Roman" w:hAnsi="Times New Roman"/>
          <w:sz w:val="24"/>
          <w:szCs w:val="24"/>
        </w:rPr>
        <w:t>.</w:t>
      </w:r>
    </w:p>
    <w:p w:rsidR="00902907" w:rsidRPr="000678C5" w:rsidRDefault="00E94F9D" w:rsidP="000678C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678C5">
        <w:rPr>
          <w:rFonts w:ascii="Times New Roman" w:hAnsi="Times New Roman"/>
        </w:rPr>
        <w:br w:type="page"/>
      </w:r>
      <w:r w:rsidRPr="000678C5">
        <w:rPr>
          <w:rFonts w:ascii="Times New Roman" w:hAnsi="Times New Roman"/>
          <w:sz w:val="24"/>
          <w:szCs w:val="24"/>
        </w:rPr>
        <w:t>СПИСОК ИСПОЛЬЗОВАННЫХ ИСТОЧНИКОВ</w:t>
      </w:r>
    </w:p>
    <w:p w:rsidR="00E80993" w:rsidRPr="009E3B7A" w:rsidRDefault="000678C5" w:rsidP="00E80993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  <w:lang w:val="en-US"/>
        </w:rPr>
      </w:pPr>
      <w:r w:rsidRPr="000678C5">
        <w:rPr>
          <w:lang w:val="en-US"/>
        </w:rPr>
        <w:t xml:space="preserve">WHO Collaborating Centre for Drug Statistics Methodology — </w:t>
      </w:r>
      <w:r w:rsidRPr="000A5EBC">
        <w:rPr>
          <w:lang w:val="en-US"/>
        </w:rPr>
        <w:t>http://www.whocc.no/atcddd/</w:t>
      </w:r>
    </w:p>
    <w:p w:rsidR="009E3B7A" w:rsidRPr="000678C5" w:rsidRDefault="009E3B7A" w:rsidP="00E80993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  <w:lang w:val="en-US"/>
        </w:rPr>
      </w:pPr>
      <w:r>
        <w:rPr>
          <w:lang w:val="en-US"/>
        </w:rPr>
        <w:t>Guidelines for ATC classification and DDD addignment.</w:t>
      </w:r>
      <w:r>
        <w:rPr>
          <w:sz w:val="24"/>
          <w:szCs w:val="24"/>
          <w:lang w:val="en-US"/>
        </w:rPr>
        <w:t xml:space="preserve"> 7</w:t>
      </w:r>
      <w:r w:rsidRPr="009E3B7A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edition. Norwegian Institute of Public Health. WHO Collaborating Centre for Drug Statistics Methodology.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szCs w:val="24"/>
              <w:lang w:val="en-US"/>
            </w:rPr>
            <w:t>Norway</w:t>
          </w:r>
        </w:smartTag>
      </w:smartTag>
      <w:r>
        <w:rPr>
          <w:sz w:val="24"/>
          <w:szCs w:val="24"/>
          <w:lang w:val="en-US"/>
        </w:rPr>
        <w:t>.</w:t>
      </w:r>
    </w:p>
    <w:p w:rsidR="000678C5" w:rsidRPr="005F751C" w:rsidRDefault="00EF3FEA" w:rsidP="00EF3FEA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t xml:space="preserve">Республиканский формулярный список лекарственных средств (с изменениями от 26 января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 xml:space="preserve">.). Приложение к приказу Минздрава РТ от 15 марта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139.</w:t>
      </w:r>
    </w:p>
    <w:p w:rsidR="000678C5" w:rsidRPr="000D53B7" w:rsidRDefault="000678C5" w:rsidP="00E80993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  <w:lang w:val="en-US"/>
        </w:rPr>
      </w:pPr>
      <w:r>
        <w:rPr>
          <w:lang w:val="en-US"/>
        </w:rPr>
        <w:t>WHO</w:t>
      </w:r>
      <w:r w:rsidRPr="000D53B7">
        <w:rPr>
          <w:lang w:val="en-US"/>
        </w:rPr>
        <w:t xml:space="preserve"> </w:t>
      </w:r>
      <w:r>
        <w:rPr>
          <w:lang w:val="en-US"/>
        </w:rPr>
        <w:t>Model</w:t>
      </w:r>
      <w:r w:rsidRPr="000D53B7">
        <w:rPr>
          <w:lang w:val="en-US"/>
        </w:rPr>
        <w:t xml:space="preserve"> </w:t>
      </w:r>
      <w:r>
        <w:rPr>
          <w:lang w:val="en-US"/>
        </w:rPr>
        <w:t>List</w:t>
      </w:r>
      <w:r w:rsidRPr="000D53B7">
        <w:rPr>
          <w:lang w:val="en-US"/>
        </w:rPr>
        <w:t xml:space="preserve"> </w:t>
      </w:r>
      <w:r>
        <w:rPr>
          <w:lang w:val="en-US"/>
        </w:rPr>
        <w:t>of</w:t>
      </w:r>
      <w:r w:rsidRPr="000D53B7">
        <w:rPr>
          <w:lang w:val="en-US"/>
        </w:rPr>
        <w:t xml:space="preserve"> </w:t>
      </w:r>
      <w:r>
        <w:rPr>
          <w:lang w:val="en-US"/>
        </w:rPr>
        <w:t>Essential</w:t>
      </w:r>
      <w:r w:rsidRPr="000D53B7">
        <w:rPr>
          <w:lang w:val="en-US"/>
        </w:rPr>
        <w:t xml:space="preserve"> </w:t>
      </w:r>
      <w:r>
        <w:rPr>
          <w:lang w:val="en-US"/>
        </w:rPr>
        <w:t>Medicines</w:t>
      </w:r>
      <w:r w:rsidRPr="000D53B7">
        <w:rPr>
          <w:lang w:val="en-US"/>
        </w:rPr>
        <w:t>, 15</w:t>
      </w:r>
      <w:r w:rsidRPr="007B092C">
        <w:rPr>
          <w:vertAlign w:val="superscript"/>
          <w:lang w:val="en-US"/>
        </w:rPr>
        <w:t>th</w:t>
      </w:r>
      <w:r w:rsidRPr="000D53B7">
        <w:rPr>
          <w:lang w:val="en-US"/>
        </w:rPr>
        <w:t xml:space="preserve"> </w:t>
      </w:r>
      <w:r>
        <w:rPr>
          <w:lang w:val="en-US"/>
        </w:rPr>
        <w:t>list</w:t>
      </w:r>
      <w:r w:rsidRPr="000D53B7">
        <w:rPr>
          <w:lang w:val="en-US"/>
        </w:rPr>
        <w:t xml:space="preserve">, </w:t>
      </w:r>
      <w:r>
        <w:rPr>
          <w:lang w:val="en-US"/>
        </w:rPr>
        <w:t>March</w:t>
      </w:r>
      <w:r w:rsidRPr="000D53B7">
        <w:rPr>
          <w:lang w:val="en-US"/>
        </w:rPr>
        <w:t xml:space="preserve"> 2007</w:t>
      </w:r>
    </w:p>
    <w:p w:rsidR="000678C5" w:rsidRPr="000678C5" w:rsidRDefault="000678C5" w:rsidP="000678C5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  <w:lang w:val="en-US"/>
        </w:rPr>
      </w:pPr>
      <w:r w:rsidRPr="000D53B7">
        <w:rPr>
          <w:sz w:val="24"/>
          <w:szCs w:val="24"/>
          <w:lang w:val="en-US"/>
        </w:rPr>
        <w:tab/>
      </w:r>
      <w:r w:rsidRPr="000678C5">
        <w:rPr>
          <w:sz w:val="24"/>
          <w:szCs w:val="24"/>
        </w:rPr>
        <w:t>Концепция Основных Лекарственных Средств. Модельный Список Основных Л</w:t>
      </w:r>
      <w:r w:rsidRPr="000678C5">
        <w:rPr>
          <w:sz w:val="24"/>
          <w:szCs w:val="24"/>
          <w:lang w:val="en-US"/>
        </w:rPr>
        <w:t>C</w:t>
      </w:r>
      <w:r w:rsidRPr="000678C5">
        <w:rPr>
          <w:sz w:val="24"/>
          <w:szCs w:val="24"/>
        </w:rPr>
        <w:t xml:space="preserve"> ВОЗ. </w:t>
      </w:r>
      <w:r w:rsidRPr="000678C5">
        <w:rPr>
          <w:sz w:val="24"/>
          <w:szCs w:val="24"/>
          <w:lang w:val="en-US"/>
        </w:rPr>
        <w:t>Hans V. Hogerzeil, MD, PhD, FRCP Edin. Department of Standards, Policy, Medicines. World Health Organization.</w:t>
      </w:r>
    </w:p>
    <w:p w:rsidR="000678C5" w:rsidRDefault="000678C5" w:rsidP="000678C5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0678C5">
        <w:rPr>
          <w:sz w:val="24"/>
          <w:szCs w:val="24"/>
        </w:rPr>
        <w:t>Доклад Исполнительного Комитета ВОЗ, Январь 2002</w:t>
      </w:r>
    </w:p>
    <w:p w:rsidR="008A1A19" w:rsidRDefault="008A1A19" w:rsidP="000678C5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8A1A19">
        <w:rPr>
          <w:sz w:val="24"/>
          <w:szCs w:val="24"/>
        </w:rPr>
        <w:t>Médecins sans Frontières (Врачи без границ)</w:t>
      </w:r>
      <w:r>
        <w:rPr>
          <w:sz w:val="24"/>
          <w:szCs w:val="24"/>
        </w:rPr>
        <w:t xml:space="preserve">. </w:t>
      </w:r>
      <w:r w:rsidRPr="000A5EBC">
        <w:rPr>
          <w:sz w:val="24"/>
          <w:szCs w:val="24"/>
        </w:rPr>
        <w:t>http://www.msf.org/</w:t>
      </w:r>
    </w:p>
    <w:p w:rsidR="000678C5" w:rsidRPr="000678C5" w:rsidRDefault="000678C5" w:rsidP="000678C5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0678C5">
        <w:rPr>
          <w:sz w:val="24"/>
          <w:szCs w:val="24"/>
        </w:rPr>
        <w:t>Доклад Комитета Экспертов Основных Лекарственных Сред</w:t>
      </w:r>
      <w:r w:rsidR="005F751C">
        <w:rPr>
          <w:sz w:val="24"/>
          <w:szCs w:val="24"/>
        </w:rPr>
        <w:t>ств</w:t>
      </w:r>
      <w:r w:rsidRPr="000678C5">
        <w:rPr>
          <w:sz w:val="24"/>
          <w:szCs w:val="24"/>
        </w:rPr>
        <w:t>, Апрель 2002</w:t>
      </w:r>
    </w:p>
    <w:p w:rsidR="000678C5" w:rsidRPr="000678C5" w:rsidRDefault="000678C5" w:rsidP="000678C5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  <w:lang w:val="en-US"/>
        </w:rPr>
      </w:pPr>
      <w:r w:rsidRPr="000678C5">
        <w:rPr>
          <w:sz w:val="24"/>
          <w:szCs w:val="24"/>
          <w:lang w:val="en-US"/>
        </w:rPr>
        <w:t>Конституция Российской Федерации</w:t>
      </w:r>
    </w:p>
    <w:p w:rsidR="000678C5" w:rsidRDefault="000678C5" w:rsidP="000678C5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0678C5">
        <w:rPr>
          <w:sz w:val="24"/>
          <w:szCs w:val="24"/>
        </w:rPr>
        <w:t>Всеобщая декларация прав человека (принята на третьей сессии Генеральной Ассамблеи ООН резолюцией 217 А (</w:t>
      </w:r>
      <w:r w:rsidRPr="000678C5">
        <w:rPr>
          <w:sz w:val="24"/>
          <w:szCs w:val="24"/>
          <w:lang w:val="en-US"/>
        </w:rPr>
        <w:t>III</w:t>
      </w:r>
      <w:r w:rsidRPr="000678C5">
        <w:rPr>
          <w:sz w:val="24"/>
          <w:szCs w:val="24"/>
        </w:rPr>
        <w:t xml:space="preserve">) от 10 декабря </w:t>
      </w:r>
      <w:smartTag w:uri="urn:schemas-microsoft-com:office:smarttags" w:element="metricconverter">
        <w:smartTagPr>
          <w:attr w:name="ProductID" w:val="1948 г"/>
        </w:smartTagPr>
        <w:r w:rsidRPr="000678C5">
          <w:rPr>
            <w:sz w:val="24"/>
            <w:szCs w:val="24"/>
          </w:rPr>
          <w:t>1948 г</w:t>
        </w:r>
      </w:smartTag>
      <w:r w:rsidRPr="000678C5">
        <w:rPr>
          <w:sz w:val="24"/>
          <w:szCs w:val="24"/>
        </w:rPr>
        <w:t>.)</w:t>
      </w:r>
    </w:p>
    <w:p w:rsidR="000478CD" w:rsidRDefault="000478CD" w:rsidP="000678C5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</w:rPr>
      </w:pPr>
      <w:r w:rsidRPr="000A5EBC">
        <w:rPr>
          <w:sz w:val="24"/>
          <w:szCs w:val="24"/>
          <w:lang w:val="en-US"/>
        </w:rPr>
        <w:t>www.regmed.ru</w:t>
      </w:r>
    </w:p>
    <w:p w:rsidR="008A1A19" w:rsidRPr="00DF7B38" w:rsidRDefault="0042480A" w:rsidP="008A1A19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Оценка потребления лекарственных средств (ЛС). Использование методологии </w:t>
      </w:r>
      <w:r w:rsidRPr="0042480A">
        <w:rPr>
          <w:sz w:val="24"/>
          <w:szCs w:val="24"/>
        </w:rPr>
        <w:t>ATC/DDD</w:t>
      </w:r>
      <w:r>
        <w:rPr>
          <w:sz w:val="24"/>
          <w:szCs w:val="24"/>
        </w:rPr>
        <w:t xml:space="preserve">. </w:t>
      </w:r>
      <w:r w:rsidRPr="0042480A">
        <w:rPr>
          <w:sz w:val="24"/>
          <w:szCs w:val="24"/>
        </w:rPr>
        <w:t>Денисова М.Н.</w:t>
      </w:r>
      <w:r>
        <w:rPr>
          <w:sz w:val="24"/>
          <w:szCs w:val="24"/>
        </w:rPr>
        <w:t xml:space="preserve"> </w:t>
      </w:r>
      <w:r w:rsidRPr="0042480A">
        <w:rPr>
          <w:sz w:val="24"/>
          <w:szCs w:val="24"/>
        </w:rPr>
        <w:t>ММА им.</w:t>
      </w:r>
      <w:r>
        <w:rPr>
          <w:sz w:val="24"/>
          <w:szCs w:val="24"/>
        </w:rPr>
        <w:t xml:space="preserve"> </w:t>
      </w:r>
      <w:r w:rsidRPr="0042480A">
        <w:rPr>
          <w:sz w:val="24"/>
          <w:szCs w:val="24"/>
        </w:rPr>
        <w:t>И.М.</w:t>
      </w:r>
      <w:r>
        <w:rPr>
          <w:sz w:val="24"/>
          <w:szCs w:val="24"/>
        </w:rPr>
        <w:t xml:space="preserve"> </w:t>
      </w:r>
      <w:r w:rsidRPr="0042480A">
        <w:rPr>
          <w:sz w:val="24"/>
          <w:szCs w:val="24"/>
        </w:rPr>
        <w:t>Сеченова</w:t>
      </w:r>
      <w:r>
        <w:rPr>
          <w:sz w:val="24"/>
          <w:szCs w:val="24"/>
        </w:rPr>
        <w:t xml:space="preserve">. </w:t>
      </w:r>
      <w:r w:rsidRPr="0042480A">
        <w:rPr>
          <w:sz w:val="24"/>
          <w:szCs w:val="24"/>
        </w:rPr>
        <w:t>RMBC ГК Ремедиум</w:t>
      </w:r>
    </w:p>
    <w:p w:rsidR="008A1A19" w:rsidRPr="005F751C" w:rsidRDefault="00DF7B38" w:rsidP="008A1A19">
      <w:pPr>
        <w:pStyle w:val="5"/>
        <w:numPr>
          <w:ilvl w:val="0"/>
          <w:numId w:val="1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Аналитический обзор по результатам оценки рациональности использования лекарственных средств в медицинских учреждениях Республики Татарстан, проведенный с использованием Индикаторов назначения лекарственных средств, рекомендованных ВОЗ. Л.Е. Зиганшина, З.А. Бурнашова, В.Н. Хазиахметова и др. Казань, 2002.</w:t>
      </w:r>
      <w:r w:rsidR="008A1A19">
        <w:t>Компедиум</w:t>
      </w:r>
      <w:r w:rsidR="008A1A19" w:rsidRPr="005F751C">
        <w:t xml:space="preserve"> 2005</w:t>
      </w:r>
    </w:p>
    <w:p w:rsidR="00CD5424" w:rsidRPr="00BA4554" w:rsidRDefault="00CD5424" w:rsidP="00BA4554">
      <w:pPr>
        <w:pStyle w:val="5"/>
        <w:spacing w:line="360" w:lineRule="auto"/>
      </w:pPr>
      <w:bookmarkStart w:id="0" w:name="_GoBack"/>
      <w:bookmarkEnd w:id="0"/>
    </w:p>
    <w:sectPr w:rsidR="00CD5424" w:rsidRPr="00BA4554" w:rsidSect="006008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D6E" w:rsidRDefault="00C62D6E" w:rsidP="0026670B">
      <w:pPr>
        <w:spacing w:after="0" w:line="240" w:lineRule="auto"/>
      </w:pPr>
      <w:r>
        <w:separator/>
      </w:r>
    </w:p>
  </w:endnote>
  <w:endnote w:type="continuationSeparator" w:id="0">
    <w:p w:rsidR="00C62D6E" w:rsidRDefault="00C62D6E" w:rsidP="0026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271" w:rsidRDefault="00331271">
    <w:pPr>
      <w:pStyle w:val="a5"/>
      <w:jc w:val="center"/>
    </w:pPr>
    <w:r w:rsidRPr="0026670B">
      <w:rPr>
        <w:rFonts w:ascii="Times New Roman" w:hAnsi="Times New Roman"/>
      </w:rPr>
      <w:fldChar w:fldCharType="begin"/>
    </w:r>
    <w:r w:rsidRPr="0026670B">
      <w:rPr>
        <w:rFonts w:ascii="Times New Roman" w:hAnsi="Times New Roman"/>
      </w:rPr>
      <w:instrText xml:space="preserve"> PAGE   \* MERGEFORMAT </w:instrText>
    </w:r>
    <w:r w:rsidRPr="0026670B">
      <w:rPr>
        <w:rFonts w:ascii="Times New Roman" w:hAnsi="Times New Roman"/>
      </w:rPr>
      <w:fldChar w:fldCharType="separate"/>
    </w:r>
    <w:r w:rsidR="001D3972">
      <w:rPr>
        <w:rFonts w:ascii="Times New Roman" w:hAnsi="Times New Roman"/>
        <w:noProof/>
      </w:rPr>
      <w:t>1</w:t>
    </w:r>
    <w:r w:rsidRPr="0026670B">
      <w:rPr>
        <w:rFonts w:ascii="Times New Roman" w:hAnsi="Times New Roman"/>
      </w:rPr>
      <w:fldChar w:fldCharType="end"/>
    </w:r>
  </w:p>
  <w:p w:rsidR="00331271" w:rsidRDefault="003312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D6E" w:rsidRDefault="00C62D6E" w:rsidP="0026670B">
      <w:pPr>
        <w:spacing w:after="0" w:line="240" w:lineRule="auto"/>
      </w:pPr>
      <w:r>
        <w:separator/>
      </w:r>
    </w:p>
  </w:footnote>
  <w:footnote w:type="continuationSeparator" w:id="0">
    <w:p w:rsidR="00C62D6E" w:rsidRDefault="00C62D6E" w:rsidP="00266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820E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C5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DA0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5E51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8E8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1C81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4293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44C4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361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6A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81867"/>
    <w:multiLevelType w:val="hybridMultilevel"/>
    <w:tmpl w:val="A622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760AB"/>
    <w:multiLevelType w:val="hybridMultilevel"/>
    <w:tmpl w:val="0AF00012"/>
    <w:lvl w:ilvl="0" w:tplc="43D49C34">
      <w:start w:val="1"/>
      <w:numFmt w:val="decimal"/>
      <w:lvlText w:val="%1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7AB5864"/>
    <w:multiLevelType w:val="hybridMultilevel"/>
    <w:tmpl w:val="69EE3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0CA5117"/>
    <w:multiLevelType w:val="hybridMultilevel"/>
    <w:tmpl w:val="61383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40740D"/>
    <w:multiLevelType w:val="hybridMultilevel"/>
    <w:tmpl w:val="ADC60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483A3F"/>
    <w:multiLevelType w:val="hybridMultilevel"/>
    <w:tmpl w:val="5CC68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7E1254"/>
    <w:multiLevelType w:val="hybridMultilevel"/>
    <w:tmpl w:val="3EACA4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34B5F0F"/>
    <w:multiLevelType w:val="multilevel"/>
    <w:tmpl w:val="065E8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16167D7B"/>
    <w:multiLevelType w:val="hybridMultilevel"/>
    <w:tmpl w:val="B8309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7417FA"/>
    <w:multiLevelType w:val="hybridMultilevel"/>
    <w:tmpl w:val="77E28F5E"/>
    <w:lvl w:ilvl="0" w:tplc="789A4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942390"/>
    <w:multiLevelType w:val="hybridMultilevel"/>
    <w:tmpl w:val="02A4A372"/>
    <w:lvl w:ilvl="0" w:tplc="74AEA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D602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3E6274"/>
    <w:multiLevelType w:val="hybridMultilevel"/>
    <w:tmpl w:val="B60C7A2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0E74C16"/>
    <w:multiLevelType w:val="hybridMultilevel"/>
    <w:tmpl w:val="539844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13F69D0"/>
    <w:multiLevelType w:val="hybridMultilevel"/>
    <w:tmpl w:val="A622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F65E4"/>
    <w:multiLevelType w:val="hybridMultilevel"/>
    <w:tmpl w:val="97180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D2DD1"/>
    <w:multiLevelType w:val="hybridMultilevel"/>
    <w:tmpl w:val="D14CD0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C8C1030"/>
    <w:multiLevelType w:val="hybridMultilevel"/>
    <w:tmpl w:val="4C00074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F166467"/>
    <w:multiLevelType w:val="hybridMultilevel"/>
    <w:tmpl w:val="22B0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52430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754AA"/>
    <w:multiLevelType w:val="hybridMultilevel"/>
    <w:tmpl w:val="A8E6FCD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6DD4683"/>
    <w:multiLevelType w:val="hybridMultilevel"/>
    <w:tmpl w:val="867CB96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442CD5"/>
    <w:multiLevelType w:val="hybridMultilevel"/>
    <w:tmpl w:val="E9006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4A834CEB"/>
    <w:multiLevelType w:val="hybridMultilevel"/>
    <w:tmpl w:val="18C45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BDF6515"/>
    <w:multiLevelType w:val="multilevel"/>
    <w:tmpl w:val="CDFE36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7"/>
      <w:numFmt w:val="decimal"/>
      <w:isLgl/>
      <w:lvlText w:val="%1.%2"/>
      <w:lvlJc w:val="left"/>
      <w:pPr>
        <w:ind w:left="154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825"/>
      </w:pPr>
      <w:rPr>
        <w:rFonts w:hint="default"/>
      </w:rPr>
    </w:lvl>
    <w:lvl w:ilvl="3">
      <w:start w:val="9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>
    <w:nsid w:val="4D864D3C"/>
    <w:multiLevelType w:val="hybridMultilevel"/>
    <w:tmpl w:val="623293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AE7586"/>
    <w:multiLevelType w:val="multilevel"/>
    <w:tmpl w:val="BF1C05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5510092B"/>
    <w:multiLevelType w:val="hybridMultilevel"/>
    <w:tmpl w:val="D2DA914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68F777D"/>
    <w:multiLevelType w:val="hybridMultilevel"/>
    <w:tmpl w:val="A622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1E5DCD"/>
    <w:multiLevelType w:val="hybridMultilevel"/>
    <w:tmpl w:val="FC3C4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91178"/>
    <w:multiLevelType w:val="hybridMultilevel"/>
    <w:tmpl w:val="B22E17A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B690868"/>
    <w:multiLevelType w:val="hybridMultilevel"/>
    <w:tmpl w:val="22E88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C5B46AF"/>
    <w:multiLevelType w:val="hybridMultilevel"/>
    <w:tmpl w:val="DDEEA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F63020"/>
    <w:multiLevelType w:val="hybridMultilevel"/>
    <w:tmpl w:val="22E88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66C66"/>
    <w:multiLevelType w:val="hybridMultilevel"/>
    <w:tmpl w:val="99641B0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6D848A9"/>
    <w:multiLevelType w:val="hybridMultilevel"/>
    <w:tmpl w:val="7F38F23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D5F24D7"/>
    <w:multiLevelType w:val="hybridMultilevel"/>
    <w:tmpl w:val="0ED084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0596033"/>
    <w:multiLevelType w:val="multilevel"/>
    <w:tmpl w:val="8F6A4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6">
    <w:nsid w:val="74121672"/>
    <w:multiLevelType w:val="hybridMultilevel"/>
    <w:tmpl w:val="73EED4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46"/>
  </w:num>
  <w:num w:numId="5">
    <w:abstractNumId w:val="12"/>
  </w:num>
  <w:num w:numId="6">
    <w:abstractNumId w:val="32"/>
  </w:num>
  <w:num w:numId="7">
    <w:abstractNumId w:val="43"/>
  </w:num>
  <w:num w:numId="8">
    <w:abstractNumId w:val="21"/>
  </w:num>
  <w:num w:numId="9">
    <w:abstractNumId w:val="38"/>
  </w:num>
  <w:num w:numId="10">
    <w:abstractNumId w:val="25"/>
  </w:num>
  <w:num w:numId="11">
    <w:abstractNumId w:val="26"/>
  </w:num>
  <w:num w:numId="12">
    <w:abstractNumId w:val="45"/>
  </w:num>
  <w:num w:numId="13">
    <w:abstractNumId w:val="42"/>
  </w:num>
  <w:num w:numId="14">
    <w:abstractNumId w:val="28"/>
  </w:num>
  <w:num w:numId="15">
    <w:abstractNumId w:val="35"/>
  </w:num>
  <w:num w:numId="16">
    <w:abstractNumId w:val="29"/>
  </w:num>
  <w:num w:numId="17">
    <w:abstractNumId w:val="34"/>
  </w:num>
  <w:num w:numId="18">
    <w:abstractNumId w:val="11"/>
  </w:num>
  <w:num w:numId="19">
    <w:abstractNumId w:val="40"/>
  </w:num>
  <w:num w:numId="20">
    <w:abstractNumId w:val="19"/>
  </w:num>
  <w:num w:numId="21">
    <w:abstractNumId w:val="33"/>
  </w:num>
  <w:num w:numId="22">
    <w:abstractNumId w:val="22"/>
  </w:num>
  <w:num w:numId="23">
    <w:abstractNumId w:val="30"/>
  </w:num>
  <w:num w:numId="24">
    <w:abstractNumId w:val="18"/>
  </w:num>
  <w:num w:numId="25">
    <w:abstractNumId w:val="41"/>
  </w:num>
  <w:num w:numId="26">
    <w:abstractNumId w:val="16"/>
  </w:num>
  <w:num w:numId="27">
    <w:abstractNumId w:val="39"/>
  </w:num>
  <w:num w:numId="28">
    <w:abstractNumId w:val="37"/>
  </w:num>
  <w:num w:numId="29">
    <w:abstractNumId w:val="15"/>
  </w:num>
  <w:num w:numId="30">
    <w:abstractNumId w:val="4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0"/>
  </w:num>
  <w:num w:numId="42">
    <w:abstractNumId w:val="10"/>
  </w:num>
  <w:num w:numId="43">
    <w:abstractNumId w:val="31"/>
  </w:num>
  <w:num w:numId="44">
    <w:abstractNumId w:val="27"/>
  </w:num>
  <w:num w:numId="45">
    <w:abstractNumId w:val="23"/>
  </w:num>
  <w:num w:numId="46">
    <w:abstractNumId w:val="3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659"/>
    <w:rsid w:val="00005A8D"/>
    <w:rsid w:val="000478CD"/>
    <w:rsid w:val="00054647"/>
    <w:rsid w:val="000678C5"/>
    <w:rsid w:val="00084BCE"/>
    <w:rsid w:val="00087887"/>
    <w:rsid w:val="000A5EBC"/>
    <w:rsid w:val="000A728A"/>
    <w:rsid w:val="000D53B7"/>
    <w:rsid w:val="000F5B71"/>
    <w:rsid w:val="000F6128"/>
    <w:rsid w:val="00106403"/>
    <w:rsid w:val="00110A40"/>
    <w:rsid w:val="0011709E"/>
    <w:rsid w:val="001619E7"/>
    <w:rsid w:val="001720BF"/>
    <w:rsid w:val="00172B58"/>
    <w:rsid w:val="00174040"/>
    <w:rsid w:val="001C1550"/>
    <w:rsid w:val="001D3972"/>
    <w:rsid w:val="002420A7"/>
    <w:rsid w:val="0026670B"/>
    <w:rsid w:val="0028388C"/>
    <w:rsid w:val="002C121D"/>
    <w:rsid w:val="002D0599"/>
    <w:rsid w:val="002E76BD"/>
    <w:rsid w:val="002F6CBA"/>
    <w:rsid w:val="002F79D4"/>
    <w:rsid w:val="003054D1"/>
    <w:rsid w:val="00331271"/>
    <w:rsid w:val="003506E3"/>
    <w:rsid w:val="00352AFA"/>
    <w:rsid w:val="00356AEF"/>
    <w:rsid w:val="00363FA6"/>
    <w:rsid w:val="00374F86"/>
    <w:rsid w:val="00375400"/>
    <w:rsid w:val="003A7219"/>
    <w:rsid w:val="003B7273"/>
    <w:rsid w:val="003D32C5"/>
    <w:rsid w:val="004013BE"/>
    <w:rsid w:val="0040608E"/>
    <w:rsid w:val="00407947"/>
    <w:rsid w:val="0042480A"/>
    <w:rsid w:val="004A3CBD"/>
    <w:rsid w:val="004C32CB"/>
    <w:rsid w:val="004D2B13"/>
    <w:rsid w:val="004D318E"/>
    <w:rsid w:val="004E0ABA"/>
    <w:rsid w:val="004E2F92"/>
    <w:rsid w:val="005317CE"/>
    <w:rsid w:val="005761A9"/>
    <w:rsid w:val="005A194E"/>
    <w:rsid w:val="005E50B2"/>
    <w:rsid w:val="005F751C"/>
    <w:rsid w:val="006008DD"/>
    <w:rsid w:val="00604066"/>
    <w:rsid w:val="006079C5"/>
    <w:rsid w:val="00627D40"/>
    <w:rsid w:val="00642EBE"/>
    <w:rsid w:val="00653B3F"/>
    <w:rsid w:val="0066773C"/>
    <w:rsid w:val="006834DB"/>
    <w:rsid w:val="006A03BF"/>
    <w:rsid w:val="006A4659"/>
    <w:rsid w:val="006E2435"/>
    <w:rsid w:val="007165B3"/>
    <w:rsid w:val="007361F9"/>
    <w:rsid w:val="00755D05"/>
    <w:rsid w:val="00764C12"/>
    <w:rsid w:val="007C11F1"/>
    <w:rsid w:val="007C4E1A"/>
    <w:rsid w:val="007E1400"/>
    <w:rsid w:val="007E4093"/>
    <w:rsid w:val="00820AC2"/>
    <w:rsid w:val="00835A4D"/>
    <w:rsid w:val="00873014"/>
    <w:rsid w:val="008A1A19"/>
    <w:rsid w:val="008B679A"/>
    <w:rsid w:val="008C6198"/>
    <w:rsid w:val="008D286C"/>
    <w:rsid w:val="008E2123"/>
    <w:rsid w:val="008F56F8"/>
    <w:rsid w:val="00902907"/>
    <w:rsid w:val="00914F71"/>
    <w:rsid w:val="00916C8F"/>
    <w:rsid w:val="00981DD1"/>
    <w:rsid w:val="0099629F"/>
    <w:rsid w:val="009E3B7A"/>
    <w:rsid w:val="00A16AEB"/>
    <w:rsid w:val="00A2679F"/>
    <w:rsid w:val="00AA68B4"/>
    <w:rsid w:val="00AE5739"/>
    <w:rsid w:val="00AF4477"/>
    <w:rsid w:val="00AF4DF8"/>
    <w:rsid w:val="00AF6792"/>
    <w:rsid w:val="00B34C50"/>
    <w:rsid w:val="00B63FD8"/>
    <w:rsid w:val="00B829FD"/>
    <w:rsid w:val="00B971FF"/>
    <w:rsid w:val="00BA08A0"/>
    <w:rsid w:val="00BA4554"/>
    <w:rsid w:val="00BA4EED"/>
    <w:rsid w:val="00BC6FAC"/>
    <w:rsid w:val="00BD310B"/>
    <w:rsid w:val="00BE04A6"/>
    <w:rsid w:val="00C148CC"/>
    <w:rsid w:val="00C379F2"/>
    <w:rsid w:val="00C46970"/>
    <w:rsid w:val="00C46A61"/>
    <w:rsid w:val="00C62D6E"/>
    <w:rsid w:val="00C70B7A"/>
    <w:rsid w:val="00CA05B2"/>
    <w:rsid w:val="00CC1253"/>
    <w:rsid w:val="00CC22F5"/>
    <w:rsid w:val="00CC7255"/>
    <w:rsid w:val="00CD5424"/>
    <w:rsid w:val="00CD5944"/>
    <w:rsid w:val="00CE32E6"/>
    <w:rsid w:val="00CF793D"/>
    <w:rsid w:val="00D40D46"/>
    <w:rsid w:val="00D6568C"/>
    <w:rsid w:val="00D97368"/>
    <w:rsid w:val="00D97DD4"/>
    <w:rsid w:val="00DB551C"/>
    <w:rsid w:val="00DB7C2C"/>
    <w:rsid w:val="00DD0C76"/>
    <w:rsid w:val="00DE5B74"/>
    <w:rsid w:val="00DF3535"/>
    <w:rsid w:val="00DF7B38"/>
    <w:rsid w:val="00E2613F"/>
    <w:rsid w:val="00E315E9"/>
    <w:rsid w:val="00E47315"/>
    <w:rsid w:val="00E64E4D"/>
    <w:rsid w:val="00E746CD"/>
    <w:rsid w:val="00E80993"/>
    <w:rsid w:val="00E94F9D"/>
    <w:rsid w:val="00E95CA9"/>
    <w:rsid w:val="00E96B96"/>
    <w:rsid w:val="00EF3FEA"/>
    <w:rsid w:val="00EF53B0"/>
    <w:rsid w:val="00F00304"/>
    <w:rsid w:val="00F24C22"/>
    <w:rsid w:val="00F30A06"/>
    <w:rsid w:val="00F30A3B"/>
    <w:rsid w:val="00F43CEA"/>
    <w:rsid w:val="00F62E57"/>
    <w:rsid w:val="00F70421"/>
    <w:rsid w:val="00F758C0"/>
    <w:rsid w:val="00F8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729D3-34B5-4DA4-A023-1AD84C7C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8DD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0290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4"/>
    <w:link w:val="50"/>
    <w:qFormat/>
    <w:rsid w:val="00902907"/>
    <w:pPr>
      <w:keepNext w:val="0"/>
      <w:keepLines w:val="0"/>
      <w:overflowPunct w:val="0"/>
      <w:autoSpaceDE w:val="0"/>
      <w:autoSpaceDN w:val="0"/>
      <w:adjustRightInd w:val="0"/>
      <w:spacing w:before="65" w:after="60" w:line="240" w:lineRule="exact"/>
      <w:jc w:val="both"/>
      <w:textAlignment w:val="baseline"/>
      <w:outlineLvl w:val="4"/>
    </w:pPr>
    <w:rPr>
      <w:rFonts w:ascii="Times New Roman" w:hAnsi="Times New Roman"/>
      <w:b w:val="0"/>
      <w:bCs w:val="0"/>
      <w:i w:val="0"/>
      <w:iCs w:val="0"/>
      <w:color w:val="000000"/>
      <w:szCs w:val="20"/>
      <w:lang w:eastAsia="ru-RU"/>
    </w:rPr>
  </w:style>
  <w:style w:type="paragraph" w:styleId="7">
    <w:name w:val="heading 7"/>
    <w:basedOn w:val="a"/>
    <w:next w:val="a"/>
    <w:qFormat/>
    <w:rsid w:val="00F43CE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0290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2907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semiHidden/>
    <w:unhideWhenUsed/>
    <w:rsid w:val="00266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26670B"/>
  </w:style>
  <w:style w:type="paragraph" w:styleId="a5">
    <w:name w:val="footer"/>
    <w:basedOn w:val="a"/>
    <w:link w:val="a6"/>
    <w:uiPriority w:val="99"/>
    <w:unhideWhenUsed/>
    <w:rsid w:val="00266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6670B"/>
  </w:style>
  <w:style w:type="paragraph" w:customStyle="1" w:styleId="a7">
    <w:name w:val="Абзац списка"/>
    <w:basedOn w:val="a"/>
    <w:uiPriority w:val="34"/>
    <w:qFormat/>
    <w:rsid w:val="00C148CC"/>
    <w:pPr>
      <w:ind w:left="720"/>
      <w:contextualSpacing/>
    </w:pPr>
  </w:style>
  <w:style w:type="paragraph" w:styleId="a8">
    <w:name w:val="Balloon Text"/>
    <w:basedOn w:val="a"/>
    <w:semiHidden/>
    <w:rsid w:val="007C4E1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B7C2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D97DD4"/>
    <w:rPr>
      <w:color w:val="0000FF"/>
      <w:u w:val="single"/>
    </w:rPr>
  </w:style>
  <w:style w:type="character" w:styleId="ab">
    <w:name w:val="annotation reference"/>
    <w:basedOn w:val="a0"/>
    <w:semiHidden/>
    <w:rsid w:val="00B63FD8"/>
    <w:rPr>
      <w:sz w:val="16"/>
      <w:szCs w:val="16"/>
    </w:rPr>
  </w:style>
  <w:style w:type="paragraph" w:styleId="ac">
    <w:name w:val="annotation text"/>
    <w:basedOn w:val="a"/>
    <w:semiHidden/>
    <w:rsid w:val="00B63FD8"/>
    <w:rPr>
      <w:sz w:val="20"/>
      <w:szCs w:val="20"/>
    </w:rPr>
  </w:style>
  <w:style w:type="paragraph" w:styleId="ad">
    <w:name w:val="annotation subject"/>
    <w:basedOn w:val="ac"/>
    <w:next w:val="ac"/>
    <w:semiHidden/>
    <w:rsid w:val="00B63FD8"/>
    <w:rPr>
      <w:b/>
      <w:bCs/>
    </w:rPr>
  </w:style>
  <w:style w:type="paragraph" w:styleId="HTML">
    <w:name w:val="HTML Preformatted"/>
    <w:basedOn w:val="a"/>
    <w:rsid w:val="00F43CE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Arial Unicode MS" w:hAnsi="Arial"/>
      <w:color w:val="000000"/>
      <w:sz w:val="20"/>
      <w:szCs w:val="24"/>
      <w:lang w:eastAsia="ru-RU"/>
    </w:rPr>
  </w:style>
  <w:style w:type="paragraph" w:customStyle="1" w:styleId="p">
    <w:name w:val="p"/>
    <w:basedOn w:val="a"/>
    <w:rsid w:val="00F43CEA"/>
    <w:pPr>
      <w:spacing w:before="48" w:after="48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6171</Words>
  <Characters>35175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ABC/VEN analysis</vt:lpstr>
    </vt:vector>
  </TitlesOfParts>
  <Company>WareZ Provider </Company>
  <LinksUpToDate>false</LinksUpToDate>
  <CharactersWithSpaces>41264</CharactersWithSpaces>
  <SharedDoc>false</SharedDoc>
  <HLinks>
    <vt:vector size="18" baseType="variant">
      <vt:variant>
        <vt:i4>78</vt:i4>
      </vt:variant>
      <vt:variant>
        <vt:i4>6</vt:i4>
      </vt:variant>
      <vt:variant>
        <vt:i4>0</vt:i4>
      </vt:variant>
      <vt:variant>
        <vt:i4>5</vt:i4>
      </vt:variant>
      <vt:variant>
        <vt:lpwstr>http://www.regmed.ru/</vt:lpwstr>
      </vt:variant>
      <vt:variant>
        <vt:lpwstr/>
      </vt:variant>
      <vt:variant>
        <vt:i4>2621567</vt:i4>
      </vt:variant>
      <vt:variant>
        <vt:i4>3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6619260</vt:i4>
      </vt:variant>
      <vt:variant>
        <vt:i4>0</vt:i4>
      </vt:variant>
      <vt:variant>
        <vt:i4>0</vt:i4>
      </vt:variant>
      <vt:variant>
        <vt:i4>5</vt:i4>
      </vt:variant>
      <vt:variant>
        <vt:lpwstr>http://www.whocc.no/atcddd/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ABC/VEN analysis</dc:title>
  <dc:subject>Pharmacoepidemiology</dc:subject>
  <dc:creator>Peregrin</dc:creator>
  <cp:keywords>анализ, лекарственное средство</cp:keywords>
  <dc:description/>
  <cp:lastModifiedBy>Irina</cp:lastModifiedBy>
  <cp:revision>2</cp:revision>
  <cp:lastPrinted>2007-11-28T09:02:00Z</cp:lastPrinted>
  <dcterms:created xsi:type="dcterms:W3CDTF">2014-10-23T05:04:00Z</dcterms:created>
  <dcterms:modified xsi:type="dcterms:W3CDTF">2014-10-23T05:04:00Z</dcterms:modified>
</cp:coreProperties>
</file>