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FD" w:rsidRDefault="001A49FD">
      <w:pPr>
        <w:spacing w:line="360" w:lineRule="auto"/>
        <w:jc w:val="center"/>
        <w:rPr>
          <w:b/>
          <w:sz w:val="28"/>
          <w:szCs w:val="28"/>
        </w:rPr>
      </w:pPr>
    </w:p>
    <w:p w:rsidR="0012546B" w:rsidRDefault="001254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2546B" w:rsidRDefault="0012546B">
      <w:pPr>
        <w:spacing w:line="360" w:lineRule="auto"/>
        <w:jc w:val="both"/>
        <w:rPr>
          <w:b/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  <w:lang w:val="en-US"/>
        </w:rPr>
        <w:t>………………………………………………………………………….3</w:t>
      </w:r>
    </w:p>
    <w:p w:rsidR="0012546B" w:rsidRDefault="0012546B">
      <w:pPr>
        <w:spacing w:line="360" w:lineRule="auto"/>
        <w:ind w:left="360"/>
        <w:jc w:val="both"/>
        <w:rPr>
          <w:sz w:val="28"/>
          <w:szCs w:val="28"/>
        </w:rPr>
      </w:pPr>
    </w:p>
    <w:p w:rsidR="0012546B" w:rsidRDefault="001254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портфеля ценных бумаг, их виды……………………………...4</w:t>
      </w:r>
    </w:p>
    <w:p w:rsidR="0012546B" w:rsidRDefault="001254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портфеля ценных бумаг……………………………........9</w:t>
      </w:r>
    </w:p>
    <w:p w:rsidR="0012546B" w:rsidRDefault="001254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управления портфельными рисками…………………………..12</w:t>
      </w: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Заключение……………………………………………………………………….17</w:t>
      </w:r>
    </w:p>
    <w:p w:rsidR="0012546B" w:rsidRDefault="0012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литературы………………………………………………………………18</w:t>
      </w: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2546B" w:rsidRDefault="0012546B">
      <w:pPr>
        <w:pStyle w:val="20"/>
        <w:tabs>
          <w:tab w:val="left" w:pos="72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Ценные бумаги являются одним из источников необходимого капитала для важнейших отраслей промышленности. Эффективное формирование и стратегия управления инвестиционным портфелем является одной из основных проблем в современной теории инвестиций. Характерной особенностью портфеля является то, что риск портфеля может быть значительно меньше, чем риск отдельных инвестиционных инструментов, входящих в состав портфеля.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Как правило, портфель представляет собой определенный набор из корпорат</w:t>
      </w:r>
      <w:bookmarkStart w:id="0" w:name="OCRUncertain024"/>
      <w:r>
        <w:rPr>
          <w:sz w:val="28"/>
          <w:szCs w:val="28"/>
          <w:lang w:eastAsia="en-US"/>
        </w:rPr>
        <w:t>и</w:t>
      </w:r>
      <w:bookmarkEnd w:id="0"/>
      <w:r>
        <w:rPr>
          <w:sz w:val="28"/>
          <w:szCs w:val="28"/>
          <w:lang w:eastAsia="en-US"/>
        </w:rPr>
        <w:t>вных акций, облигаций с различной степенью обеспечения и риска, а также бумаг с фиксированным доходом, гарантированным государством, то есть с минимальным риском потерь по основной сумме и текущим поступлениям.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Портфельное инвестирование позволяет планировать, оценивать, контролировать конечные рез</w:t>
      </w:r>
      <w:bookmarkStart w:id="1" w:name="OCRUncertain022"/>
      <w:r>
        <w:rPr>
          <w:sz w:val="28"/>
          <w:szCs w:val="28"/>
          <w:lang w:eastAsia="en-US"/>
        </w:rPr>
        <w:t>у</w:t>
      </w:r>
      <w:bookmarkEnd w:id="1"/>
      <w:r>
        <w:rPr>
          <w:sz w:val="28"/>
          <w:szCs w:val="28"/>
          <w:lang w:eastAsia="en-US"/>
        </w:rPr>
        <w:t>льтаты всей инвестиционной деятельности в различ</w:t>
      </w:r>
      <w:bookmarkStart w:id="2" w:name="OCRUncertain023"/>
      <w:r>
        <w:rPr>
          <w:sz w:val="28"/>
          <w:szCs w:val="28"/>
          <w:lang w:eastAsia="en-US"/>
        </w:rPr>
        <w:t>н</w:t>
      </w:r>
      <w:bookmarkEnd w:id="2"/>
      <w:r>
        <w:rPr>
          <w:sz w:val="28"/>
          <w:szCs w:val="28"/>
          <w:lang w:eastAsia="en-US"/>
        </w:rPr>
        <w:t>ых секторах фондового рынка.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Основная задача портфельного инвестирования — улучшить условия инвестирования, придав совокупности ценных бумаг такие инвестиционные характеристики, которые не</w:t>
      </w:r>
      <w:bookmarkStart w:id="3" w:name="OCRUncertain028"/>
      <w:r>
        <w:rPr>
          <w:sz w:val="28"/>
          <w:szCs w:val="28"/>
          <w:lang w:eastAsia="en-US"/>
        </w:rPr>
        <w:t>д</w:t>
      </w:r>
      <w:bookmarkEnd w:id="3"/>
      <w:r>
        <w:rPr>
          <w:sz w:val="28"/>
          <w:szCs w:val="28"/>
          <w:lang w:eastAsia="en-US"/>
        </w:rPr>
        <w:t>остижимы с позиции отдельно взятой ценной бумаги, и возможны только при их комбинации.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процессе формирования портфеля достигается новое инвестиционное качество с заданными харак</w:t>
      </w:r>
      <w:bookmarkStart w:id="4" w:name="OCRUncertain029"/>
      <w:r>
        <w:rPr>
          <w:sz w:val="28"/>
          <w:szCs w:val="28"/>
          <w:lang w:eastAsia="en-US"/>
        </w:rPr>
        <w:t>те</w:t>
      </w:r>
      <w:bookmarkEnd w:id="4"/>
      <w:r>
        <w:rPr>
          <w:sz w:val="28"/>
          <w:szCs w:val="28"/>
          <w:lang w:eastAsia="en-US"/>
        </w:rPr>
        <w:t xml:space="preserve">ристиками. Таким образом, портфель ценных бумаг является тем </w:t>
      </w:r>
      <w:bookmarkStart w:id="5" w:name="OCRUncertain030"/>
      <w:r>
        <w:rPr>
          <w:sz w:val="28"/>
          <w:szCs w:val="28"/>
          <w:lang w:eastAsia="en-US"/>
        </w:rPr>
        <w:t>инструмен</w:t>
      </w:r>
      <w:bookmarkEnd w:id="5"/>
      <w:r>
        <w:rPr>
          <w:sz w:val="28"/>
          <w:szCs w:val="28"/>
          <w:lang w:eastAsia="en-US"/>
        </w:rPr>
        <w:t>том, с помощью которого инвестору обеспечивается требуемая усто</w:t>
      </w:r>
      <w:bookmarkStart w:id="6" w:name="OCRUncertain031"/>
      <w:r>
        <w:rPr>
          <w:sz w:val="28"/>
          <w:szCs w:val="28"/>
          <w:lang w:eastAsia="en-US"/>
        </w:rPr>
        <w:t>й</w:t>
      </w:r>
      <w:bookmarkEnd w:id="6"/>
      <w:r>
        <w:rPr>
          <w:sz w:val="28"/>
          <w:szCs w:val="28"/>
          <w:lang w:eastAsia="en-US"/>
        </w:rPr>
        <w:t>чивость дохода при минимальном риске.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546B" w:rsidRDefault="0012546B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портфеля ценных бумаг, их виды</w:t>
      </w:r>
    </w:p>
    <w:p w:rsidR="0012546B" w:rsidRDefault="0012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Начнем с основных понятий. Инвестиционный портфель – портфель ценных бумаг и инвестирование.   </w:t>
      </w:r>
    </w:p>
    <w:p w:rsidR="0012546B" w:rsidRDefault="0012546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Понятие «Портфель ценных бумаг»  -</w:t>
      </w:r>
      <w:r>
        <w:rPr>
          <w:sz w:val="28"/>
          <w:szCs w:val="28"/>
        </w:rPr>
        <w:t xml:space="preserve"> Совокупность ценных бумаг, которыми располагает инвестор (отдельное лицо, организация, фирма). [</w:t>
      </w:r>
      <w:r>
        <w:rPr>
          <w:sz w:val="28"/>
          <w:szCs w:val="28"/>
          <w:lang w:val="en-US"/>
        </w:rPr>
        <w:t>6]</w:t>
      </w:r>
    </w:p>
    <w:p w:rsidR="0012546B" w:rsidRDefault="0012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bCs/>
          <w:sz w:val="28"/>
          <w:szCs w:val="28"/>
        </w:rPr>
        <w:t>инвестированием</w:t>
      </w:r>
      <w:r>
        <w:rPr>
          <w:sz w:val="28"/>
          <w:szCs w:val="28"/>
        </w:rPr>
        <w:t xml:space="preserve"> в широком смысле понимается любой процесс, имеющий целью сохранение и увеличение стоимости денежных или других средств. </w:t>
      </w:r>
    </w:p>
    <w:p w:rsidR="0012546B" w:rsidRDefault="0012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инвестиционным портфелем понимается некая совокупность ценных бумаг, принадлежащих физическому или юридическому лицу, либо юридическим или физическим лицам, выступающая как целостный объект управления.</w:t>
      </w:r>
    </w:p>
    <w:p w:rsidR="0012546B" w:rsidRDefault="0012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Портфель представляет собой определенный набор из корпоративных акций, облигаций с различной степенью обеспечения и риска, а также бумаг с фиксированным доходом, гарантированным государством, т.е. с минимальным риском потерь по основной сумме и текущим поступлениям.</w:t>
      </w:r>
    </w:p>
    <w:p w:rsidR="0012546B" w:rsidRDefault="0012546B">
      <w:pPr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в процессе формирования портфеля достигается новое инвестиционное качество с заданными характеристиками. Таким образом, портфель ценных бумаг является тем инструментом, с помощью которого инвестору обеспечивается требуемая устойчивость дохода при минимальном риске.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bookmarkStart w:id="7" w:name="_Toc431012245"/>
      <w:bookmarkStart w:id="8" w:name="_Toc431012337"/>
      <w:bookmarkStart w:id="9" w:name="_Toc431265651"/>
      <w:r>
        <w:rPr>
          <w:b/>
          <w:bCs/>
          <w:sz w:val="28"/>
          <w:szCs w:val="28"/>
          <w:lang w:eastAsia="en-US"/>
        </w:rPr>
        <w:t>Портфели денежного рынка</w:t>
      </w:r>
      <w:bookmarkEnd w:id="7"/>
      <w:bookmarkEnd w:id="8"/>
      <w:bookmarkEnd w:id="9"/>
      <w:r>
        <w:rPr>
          <w:b/>
          <w:bCs/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эта разновидность портфелей стави</w:t>
      </w:r>
      <w:bookmarkStart w:id="10" w:name="OCRUncertain096"/>
      <w:r>
        <w:rPr>
          <w:sz w:val="28"/>
          <w:szCs w:val="28"/>
          <w:lang w:eastAsia="en-US"/>
        </w:rPr>
        <w:t>т</w:t>
      </w:r>
      <w:bookmarkEnd w:id="10"/>
      <w:r>
        <w:rPr>
          <w:sz w:val="28"/>
          <w:szCs w:val="28"/>
          <w:lang w:eastAsia="en-US"/>
        </w:rPr>
        <w:t xml:space="preserve"> своей целью полное сохранение капитала. В состав такого портфеля включа</w:t>
      </w:r>
      <w:bookmarkStart w:id="11" w:name="OCRUncertain101"/>
      <w:r>
        <w:rPr>
          <w:sz w:val="28"/>
          <w:szCs w:val="28"/>
          <w:lang w:eastAsia="en-US"/>
        </w:rPr>
        <w:t>т</w:t>
      </w:r>
      <w:bookmarkEnd w:id="11"/>
      <w:r>
        <w:rPr>
          <w:sz w:val="28"/>
          <w:szCs w:val="28"/>
          <w:lang w:eastAsia="en-US"/>
        </w:rPr>
        <w:t xml:space="preserve">ся преимущественно денежная наличность </w:t>
      </w:r>
      <w:bookmarkStart w:id="12" w:name="OCRUncertain102"/>
      <w:r>
        <w:rPr>
          <w:sz w:val="28"/>
          <w:szCs w:val="28"/>
          <w:lang w:eastAsia="en-US"/>
        </w:rPr>
        <w:t>и</w:t>
      </w:r>
      <w:bookmarkEnd w:id="12"/>
      <w:r>
        <w:rPr>
          <w:sz w:val="28"/>
          <w:szCs w:val="28"/>
          <w:lang w:eastAsia="en-US"/>
        </w:rPr>
        <w:t>ли быстро реализуемые активы.</w: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Следует отметить, что одно из «золотых» правил работы с ценными бумагами гласит: нельзя вкладывать все средства в ценные бумаги - необходимо иметь резерв свободной денежной наличности для решения инвестиционных задач, возникающих неожиданно.</w:t>
      </w: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  <w:bookmarkStart w:id="13" w:name="_Toc431012246"/>
      <w:bookmarkStart w:id="14" w:name="_Toc431012338"/>
      <w:bookmarkStart w:id="15" w:name="_Toc431265652"/>
      <w:r>
        <w:rPr>
          <w:b/>
          <w:bCs/>
          <w:sz w:val="28"/>
          <w:szCs w:val="28"/>
          <w:lang w:eastAsia="en-US"/>
        </w:rPr>
        <w:t>Портфель це</w:t>
      </w:r>
      <w:bookmarkStart w:id="16" w:name="OCRUncertain108"/>
      <w:r>
        <w:rPr>
          <w:b/>
          <w:bCs/>
          <w:sz w:val="28"/>
          <w:szCs w:val="28"/>
          <w:lang w:eastAsia="en-US"/>
        </w:rPr>
        <w:t>н</w:t>
      </w:r>
      <w:bookmarkEnd w:id="16"/>
      <w:r>
        <w:rPr>
          <w:b/>
          <w:bCs/>
          <w:sz w:val="28"/>
          <w:szCs w:val="28"/>
          <w:lang w:eastAsia="en-US"/>
        </w:rPr>
        <w:t>ных бумаг, освобожденных от налога</w:t>
      </w:r>
      <w:bookmarkEnd w:id="13"/>
      <w:bookmarkEnd w:id="14"/>
      <w:bookmarkEnd w:id="15"/>
      <w:r>
        <w:rPr>
          <w:b/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Содержит, в основном, государственные долговые обязательства и предполагает сохранение капитала при высокой степени ликви</w:t>
      </w:r>
      <w:bookmarkStart w:id="17" w:name="OCRUncertain109"/>
      <w:r>
        <w:rPr>
          <w:sz w:val="28"/>
          <w:szCs w:val="28"/>
          <w:lang w:eastAsia="en-US"/>
        </w:rPr>
        <w:t>д</w:t>
      </w:r>
      <w:bookmarkEnd w:id="17"/>
      <w:r>
        <w:rPr>
          <w:sz w:val="28"/>
          <w:szCs w:val="28"/>
          <w:lang w:eastAsia="en-US"/>
        </w:rPr>
        <w:t>ности. Отечественный рынок позволяет получить по этим ценным бумагам и самый высокий доход, который, как правило, освобождается от налогов.</w: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bookmarkStart w:id="18" w:name="_Toc431012247"/>
      <w:bookmarkStart w:id="19" w:name="_Toc431012339"/>
      <w:bookmarkStart w:id="20" w:name="_Toc431265653"/>
      <w:r>
        <w:rPr>
          <w:b/>
          <w:bCs/>
          <w:sz w:val="28"/>
          <w:szCs w:val="28"/>
          <w:lang w:eastAsia="en-US"/>
        </w:rPr>
        <w:t>Портфель, состоящий из ценных бумаг государственных структур</w:t>
      </w:r>
      <w:bookmarkEnd w:id="18"/>
      <w:bookmarkEnd w:id="19"/>
      <w:bookmarkEnd w:id="20"/>
      <w:r>
        <w:rPr>
          <w:b/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Эта разновидность портфеля формируется из государственных и муниципальных ценных бумаг и обязательств. Вложения в данные рыночные инструменты обеспечивают держателю портфеля доход, получаемый от разницы в цене приобретения с дисконтом и выкупной ценой и по ставкам выплаты процентов. Немаловажное значение имеет и то, что и центральные, и местные органы власти предоставляют налоговые льготы.</w: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bookmarkStart w:id="21" w:name="_Toc431012248"/>
      <w:bookmarkStart w:id="22" w:name="_Toc431012340"/>
      <w:bookmarkStart w:id="23" w:name="_Toc431265654"/>
      <w:r>
        <w:rPr>
          <w:b/>
          <w:bCs/>
          <w:sz w:val="28"/>
          <w:szCs w:val="28"/>
          <w:lang w:eastAsia="en-US"/>
        </w:rPr>
        <w:t>Портфель, состоящий из цен</w:t>
      </w:r>
      <w:bookmarkStart w:id="24" w:name="OCRUncertain112"/>
      <w:r>
        <w:rPr>
          <w:b/>
          <w:bCs/>
          <w:sz w:val="28"/>
          <w:szCs w:val="28"/>
          <w:lang w:eastAsia="en-US"/>
        </w:rPr>
        <w:t>н</w:t>
      </w:r>
      <w:bookmarkEnd w:id="24"/>
      <w:r>
        <w:rPr>
          <w:b/>
          <w:bCs/>
          <w:sz w:val="28"/>
          <w:szCs w:val="28"/>
          <w:lang w:eastAsia="en-US"/>
        </w:rPr>
        <w:t>ых бумаг различных отраслей промыш</w:t>
      </w:r>
      <w:bookmarkStart w:id="25" w:name="OCRUncertain113"/>
      <w:r>
        <w:rPr>
          <w:b/>
          <w:bCs/>
          <w:sz w:val="28"/>
          <w:szCs w:val="28"/>
          <w:lang w:eastAsia="en-US"/>
        </w:rPr>
        <w:t>л</w:t>
      </w:r>
      <w:bookmarkEnd w:id="25"/>
      <w:r>
        <w:rPr>
          <w:b/>
          <w:bCs/>
          <w:sz w:val="28"/>
          <w:szCs w:val="28"/>
          <w:lang w:eastAsia="en-US"/>
        </w:rPr>
        <w:t>ен</w:t>
      </w:r>
      <w:bookmarkStart w:id="26" w:name="OCRUncertain114"/>
      <w:r>
        <w:rPr>
          <w:b/>
          <w:bCs/>
          <w:sz w:val="28"/>
          <w:szCs w:val="28"/>
          <w:lang w:eastAsia="en-US"/>
        </w:rPr>
        <w:t>н</w:t>
      </w:r>
      <w:bookmarkEnd w:id="26"/>
      <w:r>
        <w:rPr>
          <w:b/>
          <w:bCs/>
          <w:sz w:val="28"/>
          <w:szCs w:val="28"/>
          <w:lang w:eastAsia="en-US"/>
        </w:rPr>
        <w:t>ости</w:t>
      </w:r>
      <w:bookmarkEnd w:id="21"/>
      <w:bookmarkEnd w:id="22"/>
      <w:bookmarkEnd w:id="23"/>
      <w:r>
        <w:rPr>
          <w:b/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Инвестиционная направленность вложений в региональном разрезе приводит к созданию портфелей, сформированных из ценных бумаг различных сторон; ценных бумаг эмитентов, находящихся в одном регионе; различных иностранных ценных бумаг.</w: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Портфель данной разновидности формируется на базе ценных бумаг, выпущенных предприятиями различных о</w:t>
      </w:r>
      <w:bookmarkStart w:id="27" w:name="OCRUncertain115"/>
      <w:r>
        <w:rPr>
          <w:sz w:val="28"/>
          <w:szCs w:val="28"/>
          <w:lang w:eastAsia="en-US"/>
        </w:rPr>
        <w:t>т</w:t>
      </w:r>
      <w:bookmarkEnd w:id="27"/>
      <w:r>
        <w:rPr>
          <w:sz w:val="28"/>
          <w:szCs w:val="28"/>
          <w:lang w:eastAsia="en-US"/>
        </w:rPr>
        <w:t>раслей промышленности, связанных технологически, или какой-либо одной отрасли.</w:t>
      </w:r>
    </w:p>
    <w:p w:rsidR="0012546B" w:rsidRDefault="0012546B">
      <w:pPr>
        <w:spacing w:line="360" w:lineRule="auto"/>
        <w:ind w:left="2124" w:firstLine="708"/>
        <w:jc w:val="both"/>
        <w:rPr>
          <w:b/>
          <w:sz w:val="28"/>
          <w:szCs w:val="28"/>
        </w:rPr>
      </w:pPr>
      <w:bookmarkStart w:id="28" w:name="_Toc430950806"/>
      <w:bookmarkStart w:id="29" w:name="_Toc431012239"/>
      <w:bookmarkStart w:id="30" w:name="_Toc431012331"/>
      <w:bookmarkStart w:id="31" w:name="_Toc470074274"/>
      <w:r>
        <w:rPr>
          <w:b/>
          <w:sz w:val="28"/>
          <w:szCs w:val="28"/>
        </w:rPr>
        <w:t>Типы портфелей</w:t>
      </w:r>
      <w:bookmarkEnd w:id="28"/>
      <w:bookmarkEnd w:id="29"/>
      <w:bookmarkEnd w:id="30"/>
      <w:bookmarkEnd w:id="31"/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Тип портфеля — это его инвестиционная характеристика, основанная на соотношении дохода и риска. При этом важ</w:t>
      </w:r>
      <w:bookmarkStart w:id="32" w:name="OCRUncertain033"/>
      <w:r>
        <w:rPr>
          <w:sz w:val="28"/>
          <w:szCs w:val="28"/>
          <w:lang w:eastAsia="en-US"/>
        </w:rPr>
        <w:t>н</w:t>
      </w:r>
      <w:bookmarkEnd w:id="32"/>
      <w:r>
        <w:rPr>
          <w:sz w:val="28"/>
          <w:szCs w:val="28"/>
          <w:lang w:eastAsia="en-US"/>
        </w:rPr>
        <w:t xml:space="preserve">ым признаком при классификации типа портфеля является то, каким способом и за счет какого </w:t>
      </w:r>
      <w:r>
        <w:rPr>
          <w:sz w:val="28"/>
          <w:szCs w:val="28"/>
          <w:lang w:eastAsia="en-US"/>
        </w:rPr>
        <w:lastRenderedPageBreak/>
        <w:t>источника данный доход получен: за счет роста курсово</w:t>
      </w:r>
      <w:bookmarkStart w:id="33" w:name="OCRUncertain034"/>
      <w:r>
        <w:rPr>
          <w:sz w:val="28"/>
          <w:szCs w:val="28"/>
          <w:lang w:eastAsia="en-US"/>
        </w:rPr>
        <w:t>й</w:t>
      </w:r>
      <w:bookmarkEnd w:id="33"/>
      <w:r>
        <w:rPr>
          <w:sz w:val="28"/>
          <w:szCs w:val="28"/>
          <w:lang w:eastAsia="en-US"/>
        </w:rPr>
        <w:t xml:space="preserve"> стоимости или за счет текущих выплат — дивидендов, процентов.</w:t>
      </w:r>
    </w:p>
    <w:bookmarkStart w:id="34" w:name="_MON_1354709941"/>
    <w:bookmarkEnd w:id="34"/>
    <w:bookmarkStart w:id="35" w:name="_MON_1261646170"/>
    <w:bookmarkEnd w:id="35"/>
    <w:p w:rsidR="0012546B" w:rsidRDefault="00D9368E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object w:dxaOrig="8222" w:dyaOrig="5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19.5pt" o:ole="" fillcolor="window">
            <v:imagedata r:id="rId7" o:title=""/>
          </v:shape>
          <o:OLEObject Type="Embed" ProgID="Excel.Sheet.8" ShapeID="_x0000_i1025" DrawAspect="Content" ObjectID="_1460146251" r:id="rId8"/>
        </w:objec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Выделяют два основных типа портфеля: </w:t>
      </w:r>
    </w:p>
    <w:p w:rsidR="0012546B" w:rsidRDefault="0012546B">
      <w:pPr>
        <w:numPr>
          <w:ilvl w:val="0"/>
          <w:numId w:val="4"/>
        </w:num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портфель, ориентированный на преимущественное получение дохода за счет процентов и дивидендов (</w:t>
      </w:r>
      <w:r>
        <w:rPr>
          <w:i/>
          <w:iCs/>
          <w:sz w:val="28"/>
          <w:szCs w:val="28"/>
          <w:lang w:eastAsia="en-US"/>
        </w:rPr>
        <w:t>портфель дохода</w:t>
      </w:r>
      <w:r>
        <w:rPr>
          <w:sz w:val="28"/>
          <w:szCs w:val="28"/>
          <w:lang w:eastAsia="en-US"/>
        </w:rPr>
        <w:t>);</w:t>
      </w:r>
    </w:p>
    <w:p w:rsidR="0012546B" w:rsidRDefault="0012546B">
      <w:pPr>
        <w:numPr>
          <w:ilvl w:val="0"/>
          <w:numId w:val="4"/>
        </w:num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портфель, направленный на преимущественный прирост курсовой стоимости входящих в него инвестиционных ценностей (</w:t>
      </w:r>
      <w:r>
        <w:rPr>
          <w:i/>
          <w:iCs/>
          <w:sz w:val="28"/>
          <w:szCs w:val="28"/>
          <w:lang w:eastAsia="en-US"/>
        </w:rPr>
        <w:t>портфель роста</w:t>
      </w:r>
      <w:r>
        <w:rPr>
          <w:sz w:val="28"/>
          <w:szCs w:val="28"/>
          <w:lang w:eastAsia="en-US"/>
        </w:rPr>
        <w:t xml:space="preserve">). 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</w:rPr>
      </w:pPr>
      <w:bookmarkStart w:id="36" w:name="_Toc431012240"/>
      <w:bookmarkStart w:id="37" w:name="_Toc431012332"/>
      <w:bookmarkStart w:id="38" w:name="_Toc431265646"/>
      <w:bookmarkStart w:id="39" w:name="_Toc116499492"/>
      <w:r>
        <w:rPr>
          <w:rStyle w:val="22"/>
          <w:rFonts w:ascii="Times New Roman" w:hAnsi="Times New Roman"/>
          <w:b w:val="0"/>
          <w:i w:val="0"/>
          <w:iCs w:val="0"/>
          <w:u w:val="single"/>
        </w:rPr>
        <w:t>Портфель роста</w:t>
      </w:r>
      <w:bookmarkEnd w:id="36"/>
      <w:bookmarkEnd w:id="37"/>
      <w:bookmarkEnd w:id="38"/>
      <w:r>
        <w:rPr>
          <w:rStyle w:val="22"/>
          <w:rFonts w:ascii="Times New Roman" w:hAnsi="Times New Roman"/>
          <w:b w:val="0"/>
          <w:i w:val="0"/>
          <w:iCs w:val="0"/>
          <w:u w:val="single"/>
        </w:rPr>
        <w:t>.</w:t>
      </w:r>
      <w:bookmarkEnd w:id="39"/>
      <w:r>
        <w:rPr>
          <w:sz w:val="28"/>
          <w:szCs w:val="28"/>
        </w:rPr>
        <w:t xml:space="preserve"> Портфель роста формируется из акций компаний, курсовая стоимость которых растет. Цель данного типа портфеля — рост капитальной стоимости портфеля вместе с получением дивидендов. Однако дивидендные выплаты производятся в небольшом размере, поэтому именно темпы роста курсовой стоимости совокупности акций, входящей в портфель, и определяют виды портфелей, входящие в данную группу.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lastRenderedPageBreak/>
        <w:t>Портфель агрессивного роста</w:t>
      </w:r>
      <w:r>
        <w:rPr>
          <w:sz w:val="28"/>
          <w:szCs w:val="28"/>
        </w:rPr>
        <w:t xml:space="preserve"> нацелен на максимальный прирост капитала. В состав данного типа портфеля входят акции молодых, быстрорастущих компаний. Инвестиции в данный тип портфеля являются достаточно рискованными, но вместе с тем они могут приносить самый высокий доход.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t>Портфель консервативного роста</w:t>
      </w:r>
      <w:r>
        <w:rPr>
          <w:sz w:val="28"/>
          <w:szCs w:val="28"/>
        </w:rPr>
        <w:t xml:space="preserve"> является наименее рискованным среди портфелей данной группы. Состоит, в основном, из акций крупных, хорошо известных компаний, характеризующихся, хотя и невысокими, но устойчивыми темпами роста курсовой стоимости. Состав портфеля остается стабильным в течение длительного периода времени. Нацелен на сохранение капитала.</w: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Портфель среднего роста</w:t>
      </w:r>
      <w:r>
        <w:rPr>
          <w:sz w:val="28"/>
          <w:szCs w:val="28"/>
          <w:lang w:eastAsia="en-US"/>
        </w:rPr>
        <w:t xml:space="preserve"> представляет собой сочетание инвестиционных свойств портфелей агрессивного и консервативного роста. При этом обеспечивается средний прирост капитала и умеренная степень риска вложений. 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</w:rPr>
      </w:pPr>
      <w:bookmarkStart w:id="40" w:name="_Toc431012241"/>
      <w:bookmarkStart w:id="41" w:name="_Toc431012333"/>
      <w:bookmarkStart w:id="42" w:name="_Toc431265647"/>
      <w:bookmarkStart w:id="43" w:name="_Toc116499493"/>
      <w:r>
        <w:rPr>
          <w:rStyle w:val="22"/>
          <w:rFonts w:ascii="Times New Roman" w:hAnsi="Times New Roman"/>
          <w:b w:val="0"/>
          <w:i w:val="0"/>
          <w:iCs w:val="0"/>
          <w:u w:val="single"/>
        </w:rPr>
        <w:t>Портфель дохода</w:t>
      </w:r>
      <w:bookmarkEnd w:id="40"/>
      <w:bookmarkEnd w:id="41"/>
      <w:bookmarkEnd w:id="42"/>
      <w:r>
        <w:rPr>
          <w:rStyle w:val="22"/>
          <w:rFonts w:ascii="Times New Roman" w:hAnsi="Times New Roman"/>
          <w:b w:val="0"/>
          <w:i w:val="0"/>
          <w:iCs w:val="0"/>
          <w:u w:val="single"/>
        </w:rPr>
        <w:t>.</w:t>
      </w:r>
      <w:bookmarkEnd w:id="43"/>
      <w:r>
        <w:rPr>
          <w:sz w:val="28"/>
          <w:szCs w:val="28"/>
        </w:rPr>
        <w:t xml:space="preserve"> Данный тип портфеля ориентирован на получение высокого текущего дохода — процентных и дивидендных выплат. Портфель дохода составляется в основном из акций дохода, характеризующихся умеренным ростом курсовой стоимости и высокими дивидендами, облигаций и других ценных бумаг, инвестиционным свойством которых являются высокие текущие выплаты. Особенностью этого типа портфеля является то, что цель его создания — получение соответствующего уровня дохода, величина которого соответствовала бы минима</w:t>
      </w:r>
      <w:bookmarkStart w:id="44" w:name="OCRUncertain084"/>
      <w:r>
        <w:rPr>
          <w:sz w:val="28"/>
          <w:szCs w:val="28"/>
        </w:rPr>
        <w:t>л</w:t>
      </w:r>
      <w:bookmarkEnd w:id="44"/>
      <w:r>
        <w:rPr>
          <w:sz w:val="28"/>
          <w:szCs w:val="28"/>
        </w:rPr>
        <w:t>ьной степени риска, приемлемого для консервативного инвестора. Поэтому об</w:t>
      </w:r>
      <w:bookmarkStart w:id="45" w:name="OCRUncertain085"/>
      <w:r>
        <w:rPr>
          <w:sz w:val="28"/>
          <w:szCs w:val="28"/>
        </w:rPr>
        <w:t>ъ</w:t>
      </w:r>
      <w:bookmarkEnd w:id="45"/>
      <w:r>
        <w:rPr>
          <w:sz w:val="28"/>
          <w:szCs w:val="28"/>
        </w:rPr>
        <w:t>ек</w:t>
      </w:r>
      <w:bookmarkStart w:id="46" w:name="OCRUncertain086"/>
      <w:r>
        <w:rPr>
          <w:sz w:val="28"/>
          <w:szCs w:val="28"/>
        </w:rPr>
        <w:t>т</w:t>
      </w:r>
      <w:bookmarkEnd w:id="46"/>
      <w:r>
        <w:rPr>
          <w:sz w:val="28"/>
          <w:szCs w:val="28"/>
        </w:rPr>
        <w:t>ами портфельного инвестирования являются высоконадежные инструменты фондового рынка с высоким соотношением стабильно выплачиваемого процен</w:t>
      </w:r>
      <w:bookmarkStart w:id="47" w:name="OCRUncertain087"/>
      <w:r>
        <w:rPr>
          <w:sz w:val="28"/>
          <w:szCs w:val="28"/>
        </w:rPr>
        <w:t>т</w:t>
      </w:r>
      <w:bookmarkEnd w:id="47"/>
      <w:r>
        <w:rPr>
          <w:sz w:val="28"/>
          <w:szCs w:val="28"/>
        </w:rPr>
        <w:t>а и курсовой стоимости.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t>Портфель регулярного дохода</w:t>
      </w:r>
      <w:r>
        <w:rPr>
          <w:sz w:val="28"/>
          <w:szCs w:val="28"/>
        </w:rPr>
        <w:t xml:space="preserve"> формируется из высоконадежных ценных бумаг и приносит средний доход при минимальном уровне риска.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lastRenderedPageBreak/>
        <w:t>Портфель доходных бумаг</w:t>
      </w:r>
      <w:r>
        <w:rPr>
          <w:sz w:val="28"/>
          <w:szCs w:val="28"/>
        </w:rPr>
        <w:t xml:space="preserve"> состоят из высокодоходных облигаций корпораций, ценных бумаг, приносящих высокий доход при среднем уровне риска.</w: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Комбинированный. </w:t>
      </w:r>
      <w:r>
        <w:rPr>
          <w:sz w:val="28"/>
          <w:szCs w:val="28"/>
          <w:lang w:eastAsia="en-US"/>
        </w:rPr>
        <w:t>Формирование данного типа портфеля осуществляется во избежание возможных потерь на фондовом рынке как от падения курсовой стоимости, так и от низких дивидендных или процентных выплат. Одна часть финансовых активов, входящих в состав данного портфеля, приносит владельцу рост капитальной стоимости, а другая — доход. Потеря одной части может компенсироваться возрастанием другой. Охарактеризуем виды данного типа портфеля.</w: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Портфель двойного назначения.</w:t>
      </w:r>
      <w:r>
        <w:rPr>
          <w:sz w:val="28"/>
          <w:szCs w:val="28"/>
          <w:lang w:eastAsia="en-US"/>
        </w:rPr>
        <w:t xml:space="preserve"> В состав данного портфеля включаются бумаги, приносящие его владельцу высокий доход при росте вложенного капитала..</w:t>
      </w:r>
    </w:p>
    <w:p w:rsidR="0012546B" w:rsidRDefault="0012546B">
      <w:pPr>
        <w:spacing w:after="120" w:line="360" w:lineRule="auto"/>
        <w:ind w:firstLine="709"/>
        <w:jc w:val="both"/>
        <w:rPr>
          <w:sz w:val="28"/>
          <w:szCs w:val="28"/>
        </w:rPr>
      </w:pPr>
      <w:bookmarkStart w:id="48" w:name="OCRUncertain097"/>
      <w:r>
        <w:rPr>
          <w:i/>
          <w:iCs/>
          <w:sz w:val="28"/>
          <w:szCs w:val="28"/>
          <w:lang w:eastAsia="en-US"/>
        </w:rPr>
        <w:t>Сбалансированный</w:t>
      </w:r>
      <w:bookmarkEnd w:id="48"/>
      <w:r>
        <w:rPr>
          <w:i/>
          <w:iCs/>
          <w:sz w:val="28"/>
          <w:szCs w:val="28"/>
          <w:lang w:eastAsia="en-US"/>
        </w:rPr>
        <w:t xml:space="preserve"> портфель</w:t>
      </w:r>
      <w:r>
        <w:rPr>
          <w:sz w:val="28"/>
          <w:szCs w:val="28"/>
          <w:lang w:eastAsia="en-US"/>
        </w:rPr>
        <w:t xml:space="preserve"> предполагает сбалансированность не только доходов, но и риска, который сопровождает операции с ценными бумагами, и поэтому в определенной пропорции состоит из ценных бумаг с быстрорастущей курсовой стоимостью и из высокодоходных ценных бумаг</w:t>
      </w: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2546B" w:rsidRDefault="0012546B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2546B" w:rsidRDefault="0012546B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портфеля ценных бумаг</w:t>
      </w:r>
    </w:p>
    <w:p w:rsidR="0012546B" w:rsidRDefault="0012546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портфеля ценных бумаг учитывается целенаправленная стратегия вложений в инвестиционные объекты. При этом учитывается взаимосвязь государственной и корпоративной инвестиционной политики.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 инвестиционного портфеля осуществляется в несколько этапов:</w:t>
      </w:r>
    </w:p>
    <w:p w:rsidR="0012546B" w:rsidRDefault="0012546B">
      <w:pPr>
        <w:numPr>
          <w:ilvl w:val="0"/>
          <w:numId w:val="6"/>
        </w:numPr>
        <w:tabs>
          <w:tab w:val="clear" w:pos="720"/>
          <w:tab w:val="num" w:pos="748"/>
        </w:tabs>
        <w:spacing w:line="360" w:lineRule="auto"/>
        <w:ind w:left="74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формулирование целей его создания и определение их приоритетности (в частности, что важнее</w:t>
      </w:r>
      <w:r>
        <w:rPr>
          <w:noProof/>
          <w:sz w:val="28"/>
          <w:szCs w:val="28"/>
          <w:lang w:eastAsia="en-US"/>
        </w:rPr>
        <w:t xml:space="preserve"> -</w:t>
      </w:r>
      <w:r>
        <w:rPr>
          <w:sz w:val="28"/>
          <w:szCs w:val="28"/>
          <w:lang w:eastAsia="en-US"/>
        </w:rPr>
        <w:t xml:space="preserve"> регулярное получение дивидендов или рост стоимости активов), задание уровней риска, минимальной прибыли, отклонения от ожидаемой прибыли и т. п.;</w:t>
      </w:r>
    </w:p>
    <w:p w:rsidR="0012546B" w:rsidRDefault="0012546B">
      <w:pPr>
        <w:numPr>
          <w:ilvl w:val="0"/>
          <w:numId w:val="6"/>
        </w:numPr>
        <w:tabs>
          <w:tab w:val="clear" w:pos="720"/>
          <w:tab w:val="num" w:pos="748"/>
        </w:tabs>
        <w:spacing w:line="360" w:lineRule="auto"/>
        <w:ind w:left="74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выбор финансовой компании (это может быть отечественная или зарубежная фирма; при принятии решения можно использовать ряд критериев: репутация фирмы, ее доступность, виды предлагаемых фирмой портфелей, их доходность, виды используемых инвестиционных инструментов и т. п.);</w:t>
      </w:r>
    </w:p>
    <w:p w:rsidR="0012546B" w:rsidRDefault="0012546B">
      <w:pPr>
        <w:numPr>
          <w:ilvl w:val="0"/>
          <w:numId w:val="6"/>
        </w:numPr>
        <w:tabs>
          <w:tab w:val="clear" w:pos="720"/>
          <w:tab w:val="num" w:pos="748"/>
        </w:tabs>
        <w:spacing w:line="360" w:lineRule="auto"/>
        <w:ind w:left="74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выбор банка, который будет вести инвестиционный счет.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Основной вопрос при ведении портфеля - как определить пропорции между ценными бумагами с различными свойствами. Так, основными принципами построения классического консервативного (малорискового) портфеля являются: принцип консервативности, принцип диверсификации и принцип достаточной ликвидности.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</w:rPr>
      </w:pPr>
      <w:bookmarkStart w:id="49" w:name="_Toc430950803"/>
      <w:bookmarkStart w:id="50" w:name="_Toc431012236"/>
      <w:bookmarkStart w:id="51" w:name="_Toc431012328"/>
      <w:bookmarkStart w:id="52" w:name="_Toc431265642"/>
      <w:bookmarkStart w:id="53" w:name="_Toc116499484"/>
      <w:r>
        <w:rPr>
          <w:rStyle w:val="22"/>
          <w:rFonts w:ascii="Times New Roman" w:hAnsi="Times New Roman"/>
          <w:b w:val="0"/>
          <w:i w:val="0"/>
          <w:u w:val="single"/>
        </w:rPr>
        <w:t>Принцип консервативности</w:t>
      </w:r>
      <w:bookmarkEnd w:id="49"/>
      <w:bookmarkEnd w:id="50"/>
      <w:bookmarkEnd w:id="51"/>
      <w:bookmarkEnd w:id="52"/>
      <w:r>
        <w:rPr>
          <w:rStyle w:val="22"/>
          <w:rFonts w:ascii="Times New Roman" w:hAnsi="Times New Roman"/>
          <w:b w:val="0"/>
          <w:i w:val="0"/>
          <w:u w:val="single"/>
        </w:rPr>
        <w:t>.</w:t>
      </w:r>
      <w:bookmarkEnd w:id="53"/>
      <w:r>
        <w:rPr>
          <w:sz w:val="28"/>
          <w:szCs w:val="28"/>
        </w:rPr>
        <w:t xml:space="preserve"> Соотношение между высоконадежными и рискованными долями поддерживается таким, чтобы возможные потери от рискованной доли с подавляющей вероятностью покрывались доходами от надежных активов.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Инвестиционный риск, таким образом, состоит не в потере части основной суммы, а только в получении недостаточно высокого дохода.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Естественно, не рискуя, нельзя рассчитывать и на какие-то сверхвысокие доходы. Однако практика показывает, что подавляющее большинство клиентов удовлетворены доходами, колеблющимися в пределах от одной до двух депозитных ставок банков высшей категории надежности, и не желают увеличения доходов за счет более высокой степени риска.</w:t>
      </w:r>
    </w:p>
    <w:p w:rsidR="0012546B" w:rsidRDefault="0012546B">
      <w:pPr>
        <w:spacing w:line="360" w:lineRule="auto"/>
        <w:ind w:left="360"/>
        <w:jc w:val="both"/>
        <w:rPr>
          <w:rStyle w:val="a3"/>
          <w:rFonts w:ascii="Times New Roman" w:hAnsi="Times New Roman"/>
          <w:i w:val="0"/>
          <w:iCs w:val="0"/>
        </w:rPr>
      </w:pPr>
      <w:bookmarkStart w:id="54" w:name="_Toc430950804"/>
      <w:bookmarkStart w:id="55" w:name="_Toc431012237"/>
      <w:bookmarkStart w:id="56" w:name="_Toc431012329"/>
      <w:bookmarkStart w:id="57" w:name="_Toc431265643"/>
      <w:bookmarkStart w:id="58" w:name="_Toc116499485"/>
      <w:bookmarkStart w:id="59" w:name="_Toc188010038"/>
      <w:r>
        <w:rPr>
          <w:rStyle w:val="a3"/>
          <w:rFonts w:ascii="Times New Roman" w:hAnsi="Times New Roman"/>
          <w:i w:val="0"/>
          <w:iCs w:val="0"/>
        </w:rPr>
        <w:t>Принцип диверсификации</w:t>
      </w:r>
      <w:bookmarkEnd w:id="54"/>
      <w:bookmarkEnd w:id="55"/>
      <w:bookmarkEnd w:id="56"/>
      <w:bookmarkEnd w:id="57"/>
      <w:r>
        <w:rPr>
          <w:rStyle w:val="a3"/>
          <w:rFonts w:ascii="Times New Roman" w:hAnsi="Times New Roman"/>
          <w:i w:val="0"/>
          <w:iCs w:val="0"/>
        </w:rPr>
        <w:t>.</w:t>
      </w:r>
      <w:bookmarkEnd w:id="58"/>
      <w:bookmarkEnd w:id="59"/>
    </w:p>
    <w:p w:rsidR="0012546B" w:rsidRDefault="0012546B">
      <w:pPr>
        <w:spacing w:line="360" w:lineRule="auto"/>
        <w:ind w:left="360"/>
        <w:jc w:val="both"/>
        <w:rPr>
          <w:rStyle w:val="a3"/>
          <w:rFonts w:ascii="Times New Roman" w:hAnsi="Times New Roman"/>
          <w:b w:val="0"/>
          <w:i w:val="0"/>
          <w:iCs w:val="0"/>
          <w:lang w:val="en-US"/>
        </w:rPr>
      </w:pPr>
      <w:r>
        <w:rPr>
          <w:rStyle w:val="a3"/>
          <w:rFonts w:ascii="Times New Roman" w:hAnsi="Times New Roman"/>
          <w:b w:val="0"/>
          <w:i w:val="0"/>
          <w:iCs w:val="0"/>
        </w:rPr>
        <w:t>Это основной принцип портфельного инвестирования, суть которого в том, что нельзя вкладывать все средства только в одни бумаги, даже самые привлекательные. [</w:t>
      </w:r>
      <w:r>
        <w:rPr>
          <w:rStyle w:val="a3"/>
          <w:rFonts w:ascii="Times New Roman" w:hAnsi="Times New Roman"/>
          <w:b w:val="0"/>
          <w:i w:val="0"/>
          <w:iCs w:val="0"/>
          <w:lang w:val="en-US"/>
        </w:rPr>
        <w:t>3]</w:t>
      </w:r>
    </w:p>
    <w:p w:rsidR="0012546B" w:rsidRDefault="0012546B">
      <w:pPr>
        <w:spacing w:line="360" w:lineRule="auto"/>
        <w:ind w:left="360"/>
        <w:jc w:val="both"/>
        <w:rPr>
          <w:rStyle w:val="a3"/>
          <w:rFonts w:ascii="Times New Roman" w:hAnsi="Times New Roman"/>
          <w:b w:val="0"/>
          <w:i w:val="0"/>
          <w:iCs w:val="0"/>
        </w:rPr>
      </w:pPr>
      <w:r>
        <w:rPr>
          <w:rStyle w:val="a3"/>
          <w:rFonts w:ascii="Times New Roman" w:hAnsi="Times New Roman"/>
          <w:b w:val="0"/>
          <w:i w:val="0"/>
          <w:iCs w:val="0"/>
        </w:rPr>
        <w:t>При диверсификации невысокие доходы по одним ценным бумагам перекрываются высокими доходами по другим. Снизить риск можно и за счет включения в портфель ценных бумаг большого круга отраслей, не связанным между собой, что снижает риск одновременного снижения их деловой активности.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</w:rPr>
      </w:pPr>
      <w:bookmarkStart w:id="60" w:name="_Toc430950805"/>
      <w:bookmarkStart w:id="61" w:name="_Toc431012238"/>
      <w:bookmarkStart w:id="62" w:name="_Toc431012330"/>
      <w:bookmarkStart w:id="63" w:name="_Toc431265644"/>
      <w:bookmarkStart w:id="64" w:name="_Toc116499486"/>
      <w:bookmarkStart w:id="65" w:name="_Toc188010039"/>
      <w:r>
        <w:rPr>
          <w:rStyle w:val="a3"/>
          <w:rFonts w:ascii="Times New Roman" w:hAnsi="Times New Roman"/>
          <w:i w:val="0"/>
          <w:iCs w:val="0"/>
        </w:rPr>
        <w:t>Принцип достаточной ликвидности</w:t>
      </w:r>
      <w:bookmarkEnd w:id="60"/>
      <w:bookmarkEnd w:id="61"/>
      <w:bookmarkEnd w:id="62"/>
      <w:bookmarkEnd w:id="63"/>
      <w:r>
        <w:rPr>
          <w:rStyle w:val="a3"/>
          <w:rFonts w:ascii="Times New Roman" w:hAnsi="Times New Roman"/>
          <w:i w:val="0"/>
          <w:iCs w:val="0"/>
        </w:rPr>
        <w:t>.</w:t>
      </w:r>
      <w:bookmarkEnd w:id="64"/>
      <w:bookmarkEnd w:id="65"/>
      <w:r>
        <w:rPr>
          <w:sz w:val="28"/>
          <w:szCs w:val="28"/>
        </w:rPr>
        <w:t xml:space="preserve"> Он состоит в том, чтобы поддерживать долю быстрореализуемых активов в портфеле не ниже уровня, достаточного для проведения неожиданно подворачивающихся высокодоходных сделок и удовлетворения потребностей клиентов в денежных средствах. Практика показывает, что выгоднее держать определенную часть средств в более ликвидных (пусть даже менее доходных) ценных бумагах, зато иметь возможность быстро реагировать на изменения конъюнктуры рынка и отдельные выгодные предложения. Кроме того, договоры со многими клиентами просто обязывают держать часть их средств в ликвидной форме.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Доходы по портфельным инвестициям представляют собой валовую прибыль по всей совокупности бумаг, включенных в тот или иной портфель с учетом риска. Возникает проблема количественного соответствия между прибылью и риском, которая должна решаться оперативно в целях </w:t>
      </w:r>
      <w:r>
        <w:rPr>
          <w:sz w:val="28"/>
          <w:szCs w:val="28"/>
          <w:lang w:eastAsia="en-US"/>
        </w:rPr>
        <w:lastRenderedPageBreak/>
        <w:t>постоянного совершенствования структуры уже сформированных портфелей и формирования новых, в соответствии с пожеланиями инвесторов. Надо сказать, что указанная проблема относится к числу тех, для решения которых достаточно быстро удается найти общую схему решения, но которые практически не решаются до конца.</w:t>
      </w:r>
    </w:p>
    <w:p w:rsidR="0012546B" w:rsidRDefault="0012546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Рассматривая вопрос о создании портфеля, инвестор должен определить для себя параметры, которыми он будет руководствоваться:</w:t>
      </w:r>
    </w:p>
    <w:p w:rsidR="0012546B" w:rsidRDefault="0012546B">
      <w:pPr>
        <w:numPr>
          <w:ilvl w:val="0"/>
          <w:numId w:val="6"/>
        </w:numPr>
        <w:tabs>
          <w:tab w:val="clear" w:pos="720"/>
          <w:tab w:val="num" w:pos="748"/>
        </w:tabs>
        <w:spacing w:line="360" w:lineRule="auto"/>
        <w:ind w:left="74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необходимо выбрать оптимальный тип портфеля;</w:t>
      </w:r>
    </w:p>
    <w:p w:rsidR="0012546B" w:rsidRDefault="0012546B">
      <w:pPr>
        <w:numPr>
          <w:ilvl w:val="0"/>
          <w:numId w:val="6"/>
        </w:numPr>
        <w:tabs>
          <w:tab w:val="clear" w:pos="720"/>
          <w:tab w:val="num" w:pos="748"/>
        </w:tabs>
        <w:spacing w:line="360" w:lineRule="auto"/>
        <w:ind w:left="74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дохода;</w:t>
      </w:r>
    </w:p>
    <w:p w:rsidR="0012546B" w:rsidRDefault="0012546B">
      <w:pPr>
        <w:numPr>
          <w:ilvl w:val="0"/>
          <w:numId w:val="6"/>
        </w:numPr>
        <w:tabs>
          <w:tab w:val="clear" w:pos="720"/>
          <w:tab w:val="num" w:pos="748"/>
        </w:tabs>
        <w:spacing w:line="360" w:lineRule="auto"/>
        <w:ind w:left="74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определить первоначальный состав портфеля;</w:t>
      </w: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выбрать схему дальнейшего управления портфелем.</w:t>
      </w: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12546B" w:rsidRDefault="0012546B">
      <w:pPr>
        <w:spacing w:line="360" w:lineRule="auto"/>
        <w:jc w:val="both"/>
        <w:rPr>
          <w:sz w:val="28"/>
          <w:szCs w:val="28"/>
          <w:lang w:eastAsia="en-US"/>
        </w:rPr>
      </w:pPr>
    </w:p>
    <w:p w:rsidR="0012546B" w:rsidRDefault="0012546B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управления портфельными рисками</w:t>
      </w:r>
    </w:p>
    <w:p w:rsidR="0012546B" w:rsidRDefault="0012546B">
      <w:pPr>
        <w:spacing w:line="360" w:lineRule="auto"/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Рынок ценных бумаг изменчив. Для того, чтобы состав портфеля и его структура соответствовали типу портфеля необходимо его управление. Под </w:t>
      </w:r>
      <w:r>
        <w:rPr>
          <w:i/>
          <w:iCs/>
          <w:sz w:val="28"/>
          <w:szCs w:val="28"/>
          <w:lang w:eastAsia="en-US"/>
        </w:rPr>
        <w:t>управлением</w:t>
      </w:r>
      <w:r>
        <w:rPr>
          <w:sz w:val="28"/>
          <w:szCs w:val="28"/>
          <w:lang w:eastAsia="en-US"/>
        </w:rPr>
        <w:t xml:space="preserve"> понимается применение к совокупности различных видов ценных бумаг определенных методов и технологических возможностей, которые позволяют:</w:t>
      </w:r>
    </w:p>
    <w:p w:rsidR="0012546B" w:rsidRDefault="0012546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сохранить первоначально инвестированные средства; достигнуть максимального уровня дохода;</w:t>
      </w:r>
    </w:p>
    <w:p w:rsidR="0012546B" w:rsidRDefault="0012546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обеспечить инвестиционную направленность портфеля. 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Иначе говоря, процесс управления направлен на сохранение основного инвестиционного качества портфеля и тех свойств, которые бы соответствовали интересам его держателя.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Существует две модели управления портфелем: активное и пассивное</w:t>
      </w:r>
      <w:bookmarkStart w:id="66" w:name="_Toc430950810"/>
      <w:bookmarkStart w:id="67" w:name="_Toc431012250"/>
      <w:bookmarkStart w:id="68" w:name="_Toc431012342"/>
      <w:bookmarkStart w:id="69" w:name="_Toc431265656"/>
      <w:bookmarkStart w:id="70" w:name="_Toc116499502"/>
      <w:r>
        <w:rPr>
          <w:sz w:val="28"/>
          <w:szCs w:val="28"/>
          <w:lang w:eastAsia="en-US"/>
        </w:rPr>
        <w:t>.</w:t>
      </w:r>
    </w:p>
    <w:bookmarkEnd w:id="66"/>
    <w:bookmarkEnd w:id="67"/>
    <w:bookmarkEnd w:id="68"/>
    <w:bookmarkEnd w:id="69"/>
    <w:bookmarkEnd w:id="70"/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Активная модель управления </w:t>
      </w:r>
      <w:r>
        <w:rPr>
          <w:sz w:val="28"/>
          <w:szCs w:val="28"/>
          <w:lang w:eastAsia="en-US"/>
        </w:rPr>
        <w:t xml:space="preserve">предполагает постоянное наблюдение за состоянием рынка ценных бумаг и быстрое приобретение ценных бумаг, отвечающих инвестиционным целям портфеля, а также быстрое избавление от низкодоходных ценных бумаг. При этом важно не допустить снижение стоимости портфеля и потерю им инвестиционных свойств. Следовательно, необходимо сопоставлять стоимость, доходность, риск и иных характеристкик «нового» портфеля с учетом вновь приобретенных ценных бумаг и продажи низкодоходных. 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управлении портфелем важную роль играет мониторинг, который помогает реагировать на краткосрочные изменения на рынке ценных бумаг и выявлять привлекательные ценные бумаги для инвестирования..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rStyle w:val="22"/>
          <w:rFonts w:ascii="Times New Roman" w:hAnsi="Times New Roman"/>
          <w:i w:val="0"/>
          <w:iCs w:val="0"/>
        </w:rPr>
        <w:t xml:space="preserve">Пассивное управление портфелем </w:t>
      </w:r>
      <w:r>
        <w:rPr>
          <w:sz w:val="28"/>
          <w:szCs w:val="28"/>
          <w:lang w:eastAsia="en-US"/>
        </w:rPr>
        <w:t xml:space="preserve">предполагает создание хорошо диверсифицированных портфелей с заранее определенным уровнем риска, рассчитанным на длительную перспективу. Такой подход возможен при </w:t>
      </w:r>
      <w:r>
        <w:rPr>
          <w:sz w:val="28"/>
          <w:szCs w:val="28"/>
          <w:lang w:eastAsia="en-US"/>
        </w:rPr>
        <w:lastRenderedPageBreak/>
        <w:t>достаточной эффективности рынка, насыщенного ценными бумагами хорошего качества. Продолжительность существования портфеля предполагает стабильность процессов на фондовом рынке. В условиях инфляции, а, следовательно, существования, в основном, рынка краткосрочных ценных бумаг, а также нестабильной конъюнктуры фондового рынка такой подход представляется малоэффективным:</w:t>
      </w:r>
    </w:p>
    <w:p w:rsidR="0012546B" w:rsidRDefault="0012546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Пассивное управление эффективно лишь в отношении портфеля, состоящего из низкорискованных ценных бумаг, а их на отечественном рынке немного.</w:t>
      </w:r>
    </w:p>
    <w:p w:rsidR="0012546B" w:rsidRDefault="0012546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Ценные бумаги должны быть долгосрочными для того, чтобы портфель существовал в неизменном состоянии длительное время. Это позволит реализовать основное преимущество пассивного управления — низкий уровень накладных расходов. Динамизм российского рынка не позволяет портфелю иметь низкий оборот, так как велика вероятность потери не только дохода, но и стоимости.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Примером </w:t>
      </w:r>
      <w:r>
        <w:rPr>
          <w:i/>
          <w:iCs/>
          <w:sz w:val="28"/>
          <w:szCs w:val="28"/>
          <w:lang w:eastAsia="en-US"/>
        </w:rPr>
        <w:t>пассивной</w:t>
      </w:r>
      <w:r>
        <w:rPr>
          <w:sz w:val="28"/>
          <w:szCs w:val="28"/>
          <w:lang w:eastAsia="en-US"/>
        </w:rPr>
        <w:t xml:space="preserve"> стратегии может служить равномерное распределение инвестиций между выпусками разной срочности (метод «лестницы</w:t>
      </w:r>
      <w:bookmarkStart w:id="71" w:name="OCRUncertain126"/>
      <w:r>
        <w:rPr>
          <w:sz w:val="28"/>
          <w:szCs w:val="28"/>
          <w:lang w:eastAsia="en-US"/>
        </w:rPr>
        <w:t>»).</w:t>
      </w:r>
      <w:bookmarkEnd w:id="71"/>
      <w:r>
        <w:rPr>
          <w:sz w:val="28"/>
          <w:szCs w:val="28"/>
          <w:lang w:eastAsia="en-US"/>
        </w:rPr>
        <w:t xml:space="preserve"> Используя метод «лестницы» портфельный менеджер покупает ценные бумаги различной срочности с распределением по срокам до окончания периода существования портфеля. 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Главными параметрами при управлении портфелем являются его ожидаемая доходность и риск. Риск можно значительно уменьшить квалифицированной и эффективной работой в области управления, с применением в этих целях различных методов.</w:t>
      </w:r>
    </w:p>
    <w:p w:rsidR="0012546B" w:rsidRDefault="0012546B">
      <w:pPr>
        <w:spacing w:line="360" w:lineRule="auto"/>
        <w:ind w:firstLine="708"/>
        <w:jc w:val="both"/>
        <w:rPr>
          <w:i/>
          <w:spacing w:val="-4"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Виды рисков на рынке ценных бумаг.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Инвестирование на рынке ценных бумаг не может не сопровождаться риском. </w:t>
      </w: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– это стоимостное выражение вероятностного события ведущего к потерям. В мировой практике существует множество классификаций рисков. </w:t>
      </w:r>
      <w:r>
        <w:rPr>
          <w:sz w:val="28"/>
          <w:szCs w:val="28"/>
        </w:rPr>
        <w:lastRenderedPageBreak/>
        <w:t>Наиболее известная из них – это деление риска на систематический и несистематический.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Всякое инвестирование в финансовые активы подразумевает существование некоторого неблагоприятного события, в результате которого: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-будущий доход может быть меньше ожидаемого;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-доход не будет получен;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-возможна потеря всего капитала вложенного в ценные бумаги. Риски, связанные с формированием и управлением портфелем ценных бумаг делятся на два риска: систематический (недиверсифицированный) риск, несистематический (диверсифицированный) риск.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val="en-US" w:eastAsia="en-US"/>
        </w:rPr>
      </w:pPr>
      <w:r>
        <w:rPr>
          <w:i/>
          <w:sz w:val="28"/>
          <w:szCs w:val="28"/>
          <w:lang w:eastAsia="en-US"/>
        </w:rPr>
        <w:t>Систематический риск-</w:t>
      </w:r>
      <w:r>
        <w:rPr>
          <w:sz w:val="28"/>
          <w:szCs w:val="28"/>
          <w:lang w:eastAsia="en-US"/>
        </w:rPr>
        <w:t>риск не связанный, с какой либо конкретной ценной бумагой, а определяет общий риск на всю совокупность вложений в фондовые инструменты. [</w:t>
      </w:r>
      <w:r>
        <w:rPr>
          <w:sz w:val="28"/>
          <w:szCs w:val="28"/>
          <w:lang w:val="en-US" w:eastAsia="en-US"/>
        </w:rPr>
        <w:t>5]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составляющие систематического риска: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-риск законодательных изменений (например, изменение налогового законодательства)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-инфляционый риск - риск снижения покупательной способности рубля приводит к падению стимулов к инвестированию;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-процентный риск - риск потерь инвесторов в связи с изменением процентных ставок на рынке;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-политический риск – риск финансовых потерь в связи с политической нестабильностью и расстановкой политических сил в обществе;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-валютный риск – риск, связанный с вложениями в валютные ценные бумаги, обусловленный изменениями курса иностранной валюты.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Несистематический риск- </w:t>
      </w:r>
      <w:r>
        <w:rPr>
          <w:sz w:val="28"/>
          <w:szCs w:val="28"/>
          <w:lang w:eastAsia="en-US"/>
        </w:rPr>
        <w:t>риск, связанный с конкретной ценной бумагой. Этот риск может быть снижен за счет диверсификации.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Разновидности диверсифицированного риска: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-селективный риск – риск неправильного выбора ценных бумаг для инвестирования, вследствие неадекватной оценки инвестиционных качеств ценных бумаг;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-временной риск – риск, связанный с несвоевременной покупкой или продажей ценных бумаг;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-риск ликвидности – возникает в следствие затруднений с реализацией ценных бумаг портфеля по адекватной цене;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-кредитный риск – риск, присущий долговым ценным бумагам и обусловлен вероятностью того, что эмитент оказывается неспособным исполнить обязательства по выплате процентов и номинала долга;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-отзывной риск – риск связан с возможными условиями выпуска облигаций, когда эмитент имеет право отзывать (выкупать) облигации у их владельцев до срока погашения;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-риск предприятия – зависит от финансового состояния предприятия-эмитента ценных бумаг, включаемых в портфель;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-операционный риск – возникает в силу нарушений в работе систем, задействованных на рынке;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-конвертируемый риск – риск проявляется при переводе облигаций или привилегированных акций в простые акции;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-управленческий риск – определяется квалификацией менеджеров, осуществляющих управление предприятием.</w:t>
      </w:r>
    </w:p>
    <w:p w:rsidR="0012546B" w:rsidRDefault="0012546B">
      <w:pPr>
        <w:spacing w:after="120" w:line="360" w:lineRule="auto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Методы уклонения от рисков: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-отказ от нежелательных контрагентов;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-отказ от рисковых сделок;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-отказ от новых технологий;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-отказ от ценных бумаг, сдерживающих риск.</w:t>
      </w:r>
    </w:p>
    <w:p w:rsidR="0012546B" w:rsidRDefault="0012546B">
      <w:pPr>
        <w:spacing w:after="120" w:line="360" w:lineRule="auto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lastRenderedPageBreak/>
        <w:t>Методы удерживания риска: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-самострахование;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-минимизация потерь;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-локализация риска;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-хеджирование;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-разделение в пространстве, распределение во времени;</w:t>
      </w:r>
    </w:p>
    <w:p w:rsidR="0012546B" w:rsidRDefault="0012546B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-поиск информации.</w:t>
      </w: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  <w:bookmarkStart w:id="72" w:name="_Toc116499505"/>
      <w:r>
        <w:rPr>
          <w:sz w:val="28"/>
          <w:szCs w:val="28"/>
        </w:rPr>
        <w:t>По уровню риска виды ценных бумаг располагаются следующим образом исходя из принципа: чем выше доходность, тем выше риск, и чем выше гарантированность ценной бумаги, тем ниже риск (рисунок 1.1).</w:t>
      </w:r>
    </w:p>
    <w:p w:rsidR="0012546B" w:rsidRDefault="000A6CC9">
      <w:pPr>
        <w:pStyle w:val="21"/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-24.65pt;margin-top:8.85pt;width:4in;height:302.4pt;z-index:251657728" coordorigin="1440,5040" coordsize="5760,6048" o:allowincell="f">
            <v:group id="_x0000_s1027" style="position:absolute;left:1872;top:5040;width:4608;height:5328" coordorigin="1872,5040" coordsize="4608,532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184;top:9936;width:1296;height:432" stroked="f">
                <v:stroke endarrowwidth="narrow" endarrowlength="long"/>
                <v:textbox style="mso-next-textbox:#_x0000_s1028" inset=".5mm,.3mm,.5mm,.3mm">
                  <w:txbxContent>
                    <w:p w:rsidR="0012546B" w:rsidRDefault="0012546B">
                      <w:pPr>
                        <w:jc w:val="center"/>
                      </w:pPr>
                      <w:r>
                        <w:t>Доходность</w:t>
                      </w:r>
                    </w:p>
                  </w:txbxContent>
                </v:textbox>
              </v:shape>
              <v:shape id="_x0000_s1029" type="#_x0000_t202" style="position:absolute;left:1872;top:5040;width:432;height:720" stroked="f">
                <v:stroke endarrowwidth="narrow" endarrowlength="long"/>
                <v:textbox style="layout-flow:vertical;mso-layout-flow-alt:bottom-to-top;mso-next-textbox:#_x0000_s1029" inset=".5mm,.3mm,.5mm,.3mm">
                  <w:txbxContent>
                    <w:p w:rsidR="0012546B" w:rsidRDefault="0012546B">
                      <w:pPr>
                        <w:jc w:val="center"/>
                      </w:pPr>
                      <w:r>
                        <w:t>Риск</w:t>
                      </w:r>
                    </w:p>
                  </w:txbxContent>
                </v:textbox>
              </v:shape>
              <v:shape id="_x0000_s1030" type="#_x0000_t202" style="position:absolute;left:2304;top:8208;width:2016;height:720" stroked="f">
                <v:stroke endarrowwidth="narrow" endarrowlength="long"/>
                <v:textbox style="mso-next-textbox:#_x0000_s1030" inset=".5mm,.3mm,.5mm,.3mm">
                  <w:txbxContent>
                    <w:p w:rsidR="0012546B" w:rsidRDefault="0012546B">
                      <w:pPr>
                        <w:jc w:val="center"/>
                      </w:pPr>
                      <w:r>
                        <w:t>Государственные</w:t>
                      </w:r>
                      <w:r>
                        <w:br/>
                        <w:t>ценные бумаги</w:t>
                      </w:r>
                    </w:p>
                  </w:txbxContent>
                </v:textbox>
              </v:shape>
              <v:shape id="_x0000_s1031" type="#_x0000_t202" style="position:absolute;left:4176;top:5184;width:1728;height:720" stroked="f">
                <v:stroke endarrowwidth="narrow" endarrowlength="long"/>
                <v:textbox style="mso-next-textbox:#_x0000_s1031" inset=".5mm,.3mm,.5mm,.3mm">
                  <w:txbxContent>
                    <w:p w:rsidR="0012546B" w:rsidRDefault="0012546B">
                      <w:pPr>
                        <w:jc w:val="center"/>
                      </w:pPr>
                      <w:r>
                        <w:t xml:space="preserve">Производные </w:t>
                      </w:r>
                      <w:r>
                        <w:br/>
                        <w:t>ценные бумаги</w:t>
                      </w:r>
                    </w:p>
                  </w:txbxContent>
                </v:textbox>
              </v:shape>
              <v:shape id="_x0000_s1032" type="#_x0000_t202" style="position:absolute;left:4752;top:6048;width:1008;height:432" stroked="f">
                <v:stroke endarrowwidth="narrow" endarrowlength="long"/>
                <v:textbox style="mso-next-textbox:#_x0000_s1032" inset=".5mm,.3mm,.5mm,.3mm">
                  <w:txbxContent>
                    <w:p w:rsidR="0012546B" w:rsidRDefault="0012546B">
                      <w:pPr>
                        <w:jc w:val="center"/>
                      </w:pPr>
                      <w:r>
                        <w:t>Акции</w:t>
                      </w:r>
                    </w:p>
                  </w:txbxContent>
                </v:textbox>
              </v:shape>
              <v:shape id="_x0000_s1033" type="#_x0000_t202" style="position:absolute;left:3456;top:6912;width:1872;height:720" stroked="f">
                <v:stroke endarrowwidth="narrow" endarrowlength="long"/>
                <v:textbox style="mso-next-textbox:#_x0000_s1033" inset=".5mm,.3mm,.5mm,.3mm">
                  <w:txbxContent>
                    <w:p w:rsidR="0012546B" w:rsidRDefault="0012546B">
                      <w:pPr>
                        <w:jc w:val="center"/>
                      </w:pPr>
                      <w:r>
                        <w:t>Корпоративные</w:t>
                      </w:r>
                      <w:r>
                        <w:br/>
                        <w:t>облигации</w:t>
                      </w:r>
                    </w:p>
                  </w:txbxContent>
                </v:textbox>
              </v:shape>
              <v:line id="_x0000_s1034" style="position:absolute;flip:y" from="2304,5040" to="2304,9936">
                <v:stroke endarrow="classic" endarrowwidth="narrow" endarrowlength="long"/>
              </v:line>
              <v:line id="_x0000_s1035" style="position:absolute" from="2304,9936" to="6480,9936">
                <v:stroke endarrow="classic" endarrowwidth="narrow" endarrowlength="long"/>
              </v:line>
              <v:shape id="_x0000_s1036" style="position:absolute;left:2304;top:5184;width:3888;height:4176;mso-wrap-distance-left:9pt;mso-wrap-distance-top:0;mso-wrap-distance-right:9pt;mso-wrap-distance-bottom:0;v-text-anchor:top" coordsize="4176,4176" path="m,4176v408,-24,816,-48,1152,-144c1488,3936,1776,3768,2016,3600v240,-168,384,-336,576,-576c2784,2784,2976,2496,3168,2160v192,-336,408,-792,576,-1152c3912,648,4044,324,4176,e" filled="f" strokeweight="1.5pt">
                <v:stroke endarrowwidth="narrow" endarrowlength="long"/>
                <v:path arrowok="t"/>
              </v:shape>
            </v:group>
            <v:shape id="_x0000_s1037" type="#_x0000_t202" style="position:absolute;left:1440;top:10368;width:5760;height:720" stroked="f">
              <v:stroke endarrowwidth="narrow" endarrowlength="long"/>
              <v:textbox style="mso-next-textbox:#_x0000_s1037" inset=".5mm,.3mm,.5mm,.3mm">
                <w:txbxContent>
                  <w:p w:rsidR="0012546B" w:rsidRDefault="0012546B">
                    <w:pPr>
                      <w:ind w:left="1758" w:hanging="1758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</w:rPr>
                      <w:t>Рисунок 1.1</w:t>
                    </w:r>
                  </w:p>
                </w:txbxContent>
              </v:textbox>
            </v:shape>
            <w10:wrap type="square" side="largest"/>
          </v:group>
        </w:pict>
      </w:r>
      <w:r w:rsidR="0012546B">
        <w:rPr>
          <w:sz w:val="28"/>
          <w:szCs w:val="28"/>
        </w:rPr>
        <w:t>Одним из традиционных методов оценки и управления риском считается статистический метод. Основными инструментами статистического анализа являются – дисперсия, стандартное отклонение, коэффициент вариации. Суть этого метода состоит в анализе статистических данных за возможно больший период времени.</w:t>
      </w: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Хеджирование – это метод, основанный на страховании ценовых потерь на физическом рынке по отношению к фьючерсному или опционному рынку. Механизм хеджирования состоит в том, что участник рынка занимает в каждый момент времени прямо противоположные позиции.</w:t>
      </w: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pStyle w:val="21"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2546B" w:rsidRDefault="001254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вложении средств в ценные бумаги каждый инвестор стремится к максимальной доходности портфеля, однако доход всегда прямо пропорционален риску. Портфель ценных бумаг характеризуется, с одной стороны, более высокой степенью ликвидности и управляемости, а с другой – повышенными инфляционными рисками и ограниченным воздействием на доходность. Поэтому цель любого инвестора – найти наиболее приемлемое сочетание доходности и рисков. К основным факторам, определяющим формирование фондового портфеля, относят: приоритеты целей инвестирования, степень диверсификации инвестиционного портфеля, необходимость обеспечения требуемой ликвидности портфеля, уровень и динамику процентной ставки, уровень налогообложения доходов по различным финансовым инструментам. В соответствии с современной портфельной теорией учета принципа диверсификации ( по отраслям, регионам, эмитентам) портфеля предполагает  подбор ценных бумаг с разнонаправленной динамикой движения курсовой стоимости (дохода).</w:t>
      </w: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pStyle w:val="21"/>
        <w:widowControl w:val="0"/>
        <w:spacing w:line="360" w:lineRule="auto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ind w:left="2123"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  <w:bookmarkEnd w:id="72"/>
      <w:r>
        <w:rPr>
          <w:b/>
          <w:sz w:val="28"/>
          <w:szCs w:val="28"/>
          <w:lang w:eastAsia="en-US"/>
        </w:rPr>
        <w:t>Список литературы</w:t>
      </w:r>
      <w:r>
        <w:rPr>
          <w:b/>
          <w:sz w:val="28"/>
          <w:szCs w:val="28"/>
        </w:rPr>
        <w:t xml:space="preserve"> </w:t>
      </w:r>
    </w:p>
    <w:p w:rsidR="0012546B" w:rsidRDefault="0012546B">
      <w:pPr>
        <w:spacing w:line="360" w:lineRule="auto"/>
        <w:ind w:left="2123" w:firstLine="709"/>
        <w:jc w:val="both"/>
        <w:rPr>
          <w:sz w:val="28"/>
          <w:szCs w:val="28"/>
        </w:rPr>
      </w:pPr>
    </w:p>
    <w:p w:rsidR="0012546B" w:rsidRDefault="0012546B">
      <w:pPr>
        <w:spacing w:line="360" w:lineRule="auto"/>
        <w:ind w:left="2123" w:firstLine="709"/>
        <w:jc w:val="both"/>
        <w:rPr>
          <w:sz w:val="28"/>
          <w:szCs w:val="28"/>
        </w:rPr>
      </w:pPr>
    </w:p>
    <w:p w:rsidR="0012546B" w:rsidRDefault="0012546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№39-ФЗ от 22 апреля 1996г. «О рынке ценных бумаг»</w:t>
      </w:r>
    </w:p>
    <w:p w:rsidR="0012546B" w:rsidRDefault="0012546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Алехин Б.И. Рынок ценных бумаг: Учебное пособие для студентов вузов. – М.: ЮНИТИ-ДАНА, 2004.</w:t>
      </w:r>
    </w:p>
    <w:p w:rsidR="0012546B" w:rsidRDefault="0012546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Рынок ценных бумаг: Учебное пособие для вузов / под ред. проф. Е.Ф. Жукова. – М.: ЮНИТИ-ДАНА, 2002.-399с.</w:t>
      </w:r>
    </w:p>
    <w:p w:rsidR="0012546B" w:rsidRDefault="0012546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Рынок ценных бумаг/ Под ред. В.А. Галанова, А.И. Басова. М.: финансы и статистика,2004.</w:t>
      </w:r>
    </w:p>
    <w:p w:rsidR="0012546B" w:rsidRDefault="0012546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Рынок ценных бумаг: Методический комплекс. – Барнаул: АГПЭК, 2007.-92с.</w:t>
      </w:r>
    </w:p>
    <w:p w:rsidR="0012546B" w:rsidRDefault="0012546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экономический словарь Райзберг Б.А., Позовский Л.Ш., Стародубцева Е.Б., М.:-2003.</w:t>
      </w:r>
    </w:p>
    <w:p w:rsidR="0012546B" w:rsidRDefault="0012546B">
      <w:pPr>
        <w:spacing w:line="360" w:lineRule="auto"/>
        <w:ind w:left="360"/>
        <w:jc w:val="both"/>
        <w:rPr>
          <w:sz w:val="28"/>
          <w:szCs w:val="28"/>
        </w:rPr>
      </w:pPr>
      <w:bookmarkStart w:id="73" w:name="_GoBack"/>
      <w:bookmarkEnd w:id="73"/>
    </w:p>
    <w:sectPr w:rsidR="0012546B" w:rsidSect="00D9368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6B" w:rsidRDefault="0012546B">
      <w:r>
        <w:separator/>
      </w:r>
    </w:p>
  </w:endnote>
  <w:endnote w:type="continuationSeparator" w:id="0">
    <w:p w:rsidR="0012546B" w:rsidRDefault="0012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46B" w:rsidRDefault="001254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546B" w:rsidRDefault="001254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8E" w:rsidRDefault="00D936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CC9">
      <w:rPr>
        <w:noProof/>
      </w:rPr>
      <w:t>- 2 -</w:t>
    </w:r>
    <w:r>
      <w:fldChar w:fldCharType="end"/>
    </w:r>
  </w:p>
  <w:p w:rsidR="0012546B" w:rsidRDefault="001254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6B" w:rsidRDefault="0012546B">
      <w:r>
        <w:separator/>
      </w:r>
    </w:p>
  </w:footnote>
  <w:footnote w:type="continuationSeparator" w:id="0">
    <w:p w:rsidR="0012546B" w:rsidRDefault="0012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F70"/>
    <w:multiLevelType w:val="hybridMultilevel"/>
    <w:tmpl w:val="7E26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328BC"/>
    <w:multiLevelType w:val="hybridMultilevel"/>
    <w:tmpl w:val="E878D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D4169"/>
    <w:multiLevelType w:val="hybridMultilevel"/>
    <w:tmpl w:val="31B0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44085"/>
    <w:multiLevelType w:val="hybridMultilevel"/>
    <w:tmpl w:val="CF3CBC04"/>
    <w:lvl w:ilvl="0" w:tplc="D102DB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F93B76"/>
    <w:multiLevelType w:val="hybridMultilevel"/>
    <w:tmpl w:val="986CFA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55AEB"/>
    <w:multiLevelType w:val="hybridMultilevel"/>
    <w:tmpl w:val="305CA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33DC8"/>
    <w:multiLevelType w:val="hybridMultilevel"/>
    <w:tmpl w:val="A95800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B56B46"/>
    <w:multiLevelType w:val="hybridMultilevel"/>
    <w:tmpl w:val="77963A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817DEF"/>
    <w:multiLevelType w:val="hybridMultilevel"/>
    <w:tmpl w:val="B3847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A7341E"/>
    <w:multiLevelType w:val="hybridMultilevel"/>
    <w:tmpl w:val="620CB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E474E9"/>
    <w:multiLevelType w:val="hybridMultilevel"/>
    <w:tmpl w:val="D1A2F0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7147BC"/>
    <w:multiLevelType w:val="hybridMultilevel"/>
    <w:tmpl w:val="7F4CE9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68E"/>
    <w:rsid w:val="000A6CC9"/>
    <w:rsid w:val="0012546B"/>
    <w:rsid w:val="001A49FD"/>
    <w:rsid w:val="005F5548"/>
    <w:rsid w:val="00D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E63E72EA-6580-4197-AA25-6068B71E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21">
    <w:name w:val="Body Text 2"/>
    <w:basedOn w:val="a"/>
    <w:semiHidden/>
    <w:pPr>
      <w:spacing w:after="120" w:line="480" w:lineRule="auto"/>
    </w:pPr>
  </w:style>
  <w:style w:type="character" w:customStyle="1" w:styleId="22">
    <w:name w:val="Заголовок 2 Знак"/>
    <w:basedOn w:val="a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3">
    <w:name w:val="Знак Знак"/>
    <w:basedOn w:val="a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  <w:ind w:right="36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93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Ленуська</dc:creator>
  <cp:keywords/>
  <dc:description/>
  <cp:lastModifiedBy>admin</cp:lastModifiedBy>
  <cp:revision>2</cp:revision>
  <cp:lastPrinted>2009-12-18T11:03:00Z</cp:lastPrinted>
  <dcterms:created xsi:type="dcterms:W3CDTF">2014-04-27T20:24:00Z</dcterms:created>
  <dcterms:modified xsi:type="dcterms:W3CDTF">2014-04-27T20:24:00Z</dcterms:modified>
</cp:coreProperties>
</file>