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D4" w:rsidRDefault="002F53D4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НАЦИОНАЛЬНАЯ АКАДЕМИЯ УПРАВЛЕНИЯ</w:t>
      </w: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ИННОВАЦИОННЫЙ  МЕНЕДЖМЕНТ</w:t>
      </w: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 О Н Т Р О Л Ь Н А Я   Р А Б О Т А</w:t>
      </w:r>
    </w:p>
    <w:p w:rsidR="00911361" w:rsidRDefault="00911361" w:rsidP="00BB77E1">
      <w:pPr>
        <w:ind w:firstLine="0"/>
        <w:jc w:val="left"/>
        <w:rPr>
          <w:i/>
          <w:i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6"/>
          <w:szCs w:val="36"/>
        </w:rPr>
        <w:t>Зачетная книжка № 97244</w:t>
      </w: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sz w:val="36"/>
          <w:szCs w:val="36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Студентки третьего курса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заочной формы обучения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на базе высшего образования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Твердохлеб Ларисы Васильевны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Преподаватель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к.эк.н.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Притуляк Наталья Николаевна </w:t>
      </w: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</w:p>
    <w:p w:rsidR="00911361" w:rsidRDefault="00911361" w:rsidP="00BB77E1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Киев 2000</w:t>
      </w:r>
    </w:p>
    <w:p w:rsidR="00911361" w:rsidRDefault="00911361" w:rsidP="00BB77E1">
      <w:pPr>
        <w:ind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Роль государственного управления в активизации инновационной деятельности.</w:t>
      </w:r>
    </w:p>
    <w:p w:rsidR="00911361" w:rsidRDefault="00911361" w:rsidP="00BB77E1">
      <w:pPr>
        <w:ind w:left="300" w:firstLine="0"/>
        <w:jc w:val="left"/>
        <w:rPr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Научная деятельность традиционно считается сферой активной государственной политики. Дело в том, что научные идеи не могут быть непосредственно использованы в хозяйственной деятельности, целью которой является прибыль. Поэтому организации и компании весьма сдержанно идут на прямое финансирование исследований, хотя испытывают большую потребность в их результатах. В современных условиях государство во многом берет на себя функцию обеспечения бизнеса одним из важнейших ресурсов инновационного процесса</w:t>
      </w:r>
      <w:r>
        <w:rPr>
          <w:noProof/>
          <w:sz w:val="26"/>
          <w:szCs w:val="26"/>
        </w:rPr>
        <w:t xml:space="preserve"> - </w:t>
      </w:r>
      <w:r>
        <w:rPr>
          <w:sz w:val="26"/>
          <w:szCs w:val="26"/>
        </w:rPr>
        <w:t>научными знаниями и идеями. Именно поэтому НТП в официальных документах ведущих стран рассматривается как единая цепь: научные идеи и разработки - инновационный бизнес - широкомасштабное использование.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Государство призвано формировать цели и принципы своей политики и собственные приоритеты в этой области. Целями научной и инновационной политики ведущих стран мира. как правило, являются -увеличение вклада науки и техники</w:t>
      </w:r>
      <w:r>
        <w:rPr>
          <w:noProof/>
          <w:sz w:val="26"/>
          <w:szCs w:val="26"/>
        </w:rPr>
        <w:t xml:space="preserve"> в</w:t>
      </w:r>
      <w:r>
        <w:rPr>
          <w:sz w:val="26"/>
          <w:szCs w:val="26"/>
        </w:rPr>
        <w:t xml:space="preserve"> развитие экономики страны; обеспечение прогрессивных преобразований в сфере материального производства; повышение конкурентоспособности национального продукта на мировом рынке; укрепление безопасности и обороноспособности страны; улучшение экологически обстановки; сохранение и развитие сложившихся научных школ.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Государство одновременно определяет цели инновационной политики, разрабатывает ее принципы, на основании которых она будет проводиться в науке я инновационной сфере, а также механизм ее реализации. Эти принципы зависят от сложившейся хозяйственной системы страны, глубины воздействия государственных институтов на экономическую деятельность.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регулирование экономики и инновационных процессов, как отмечают многие ученые, является одним из главных условий перевода функционирования экономики на рыночные отношения </w:t>
      </w:r>
    </w:p>
    <w:p w:rsidR="00911361" w:rsidRDefault="00911361" w:rsidP="00BB77E1">
      <w:pPr>
        <w:spacing w:before="40"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Однако украинское правительство не уделяет достаточного внимания проблемам вывода страны из кризиса</w:t>
      </w:r>
    </w:p>
    <w:p w:rsidR="00911361" w:rsidRDefault="00911361" w:rsidP="00BB77E1">
      <w:pPr>
        <w:spacing w:before="80"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Для выхода из кризиса необходимо разработать стратегию сохранения и развития научно-технического и инновационного потенциала страны по следующим направлениям</w:t>
      </w:r>
      <w:r>
        <w:rPr>
          <w:noProof/>
          <w:sz w:val="26"/>
          <w:szCs w:val="26"/>
        </w:rPr>
        <w:t xml:space="preserve"> :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реструктуризация научно-технического потенциала в различных отраслях экономики с учетом концентрации материальных, финансовых и интеллектуальных ресурсов на прорывных направлениях науки и техники,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2)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создание фонда имущества науки и инноваций за счет объектов науки, являющихся государственной собственностью и не используемых по назначению,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3)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разработка системы использования лизинга как эффективного рыночного механизма для субъектов инновационной деятельности, разрабатывающих и производящих наукоемкую продукцию с использованием дорогостоящих приборов и оборудования,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4)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совершенствование механизмов системы привлечения банковского кредита для расширения инновационной деятельности и создания условий для развития рынка капитала,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5)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разработка и использование системы обязательных отчислений части прибыли от экспорта нефти, нефтепродуктов, газа и минерального сырья для создания фонда инноваций в топливно-энергетический комплекс,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6)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создание в финансово-промышленных группах наряду с системой консолидации финансовых и производственных потенциалов специальных инновационных центров, координирующих и реализующих инновационные проекты,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7)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формирование института разработчиков и управляющих инновационными проектами из числа научно-технических работников, ученых и специалистов;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 xml:space="preserve"> 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8)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образование на базе фондов, поддерживающих инновационную деятельность ассоциации фондов с развитым финансовым капиталом для помощи прорывным проектам; 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9)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формирование системы целевого использования средств амортизационного фонда на финансирование мероприятий, связанных с проведением НИОКР, экспериментальных и других видов работ, освоением инноваций, патентованием новых решений, приобретением и освоением отечественных и зарубежных патентных и беспатентных лицензий,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10)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разработка предложений об изменении налогового законодательства, обеспечивающих значительное повышение инновационной активности</w:t>
      </w:r>
    </w:p>
    <w:p w:rsidR="00911361" w:rsidRDefault="00911361" w:rsidP="00BB77E1">
      <w:pPr>
        <w:spacing w:before="12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Инструментами государственного регулирования должны стать</w:t>
      </w:r>
      <w:r>
        <w:rPr>
          <w:noProof/>
          <w:sz w:val="26"/>
          <w:szCs w:val="26"/>
        </w:rPr>
        <w:t xml:space="preserve"> :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социально-экономические и научно-технические прогнозы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политики в области финансов, цен, денежного обращения, воспроизводственной, структурной политики и др.;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государственно-административные, общеэкономические и рыночные регуляторы;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федеральные и региональные программы, балансы и модели оптимизации экономических процессов;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  государственные заказы и современные контрактные системы;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индикативные механизмы и регуляторы деятельности государственных предприятий и организаций и других форм собственности;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 xml:space="preserve">•   </w:t>
      </w:r>
      <w:r>
        <w:rPr>
          <w:sz w:val="26"/>
          <w:szCs w:val="26"/>
        </w:rPr>
        <w:t xml:space="preserve"> механизм интеграции регуляторов и структур.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Государственная научно-техническая программа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 xml:space="preserve"> комплекс взаимосвязанных по ресурсам, срокам и исполнителям мероприятий, обеспечивающих эффективное решение важнейших научно-технических проблем на приоритетных направлениях развития науки и техники. Отбор программ осуществляется. исходя из социально-экономических приоритетов, прогнозов, целей структурной политики, международных обязательств, при соблюдении следующих условий: существенной их значимости для крупных структурных изменений, направленных на формирование нового технологического уклада, принципиальное новизне и взаимосвязанности программных мероприятие (проектов), необходимых для широкомасштабной распространения прогрессивках научно-технических достижений. </w:t>
      </w:r>
    </w:p>
    <w:p w:rsidR="00911361" w:rsidRDefault="00911361" w:rsidP="00BB77E1">
      <w:pPr>
        <w:pStyle w:val="FR1"/>
        <w:spacing w:before="100"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 основным функциям государственных органов в инновационной  сфере относятся следующие: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аккумулирование средств на научные исследования и инновации;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2)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координация инновационной деятельности;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3)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стимулирование инноваций, конкуренции в данной сфере, страхование инновационных рисков, введение государственных санкций за выпуск устаревшей продукции;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4)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создание правовой базы инновационных процессов, особенно системы защиты авторских прав инноваторов и охраны интеллектуальной собственности;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5)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  кадровое обеспечение инновационной деятельности;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6)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формирование научно-инновационной инфраструктуры;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7) институциональное обеспечение инновационных процессов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отраслях государственного сектора;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 xml:space="preserve">       8)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обеспечение социальной и экологической направленности инноваций;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 xml:space="preserve"> 9)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повышение общественного статуса инновационной деятельности;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10)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региональное регулирование инновационных процессов;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регулирование международных аспектов инновационных процессов.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Государство в первую очередь осуществляет программы развития приоритетных  направлений науки и техники. В их числе программы по созданию высокоэффективных процессов производства для агропромышленного комплекса, экологически чистых и ресурсосберегающих технология в энергетике, химии, металлургии; новых материалов; технологий и оборудования для строительства, транспорта, создание технологи, машин для производств будущего, перспективных информационных технологий. В рамках государственных научно-технических программ предусматриваются также создание новых лекарственных средств, развитие медицины и здравоохранения, решение социальных проблем.  Статистическое наблюдение за ходом выполнения государственных научно-технических программ осуществляется в рамках статистики ассигнований на научные исследования и разработки. Внутренние текущие затраты на научные исследования и разработки рассматриваются в разрезе направлений (программ) и крупных областей науки</w:t>
      </w:r>
      <w:r>
        <w:rPr>
          <w:noProof/>
          <w:sz w:val="26"/>
          <w:szCs w:val="26"/>
        </w:rPr>
        <w:t>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Государственная научно-техническая политика не может и не должна ограничиваться лишь финансовой поддержкой научно-технических программ и предоставлением различных льгот хозяйствующим субъектам, которые осуществляют инновационную деятельность. Государство обязано выполнять (посредством своих уполномоченных исполнительных органов прежде всего инновационных научно-технических фондов) функции экономической (коммерческой) реализации научно-технических новшеств, выступать основным инвестором интеллектуального капитала, субъектом присвоения экономических эффектов НТП.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Отбор программ направлений и программ, для отнесения их к уровню государственных приоритетов, должен осуществляться при наличии совокупности следующих условий: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соответствие программы и входящих в ее состав проектов приоритетным направлениям развития науки и техники и перечню критических технологий; существенная значимость решаемой проблемы;   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невозможность решить проблему в приемлемые сроки за счет использования действующего рыночного механизма и необходимость государственной поддержки;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принципиальная новизна и технологическая прогрессивность научно-технических результатов, способных оказать существенное влияние за структурные соотношения в технологическом укладе экономики и повышение эффективности производства;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масштабность сферы применения результатов;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необходимость координации межотраслевых связей технологически сопряжённых отраслей и производств;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достаточность (полнота и взаимосвязанность) системы программных мероприятий для эффективного решения поставленных задач; </w:t>
      </w:r>
    </w:p>
    <w:p w:rsidR="00911361" w:rsidRDefault="00911361" w:rsidP="00BB77E1">
      <w:pPr>
        <w:numPr>
          <w:ilvl w:val="0"/>
          <w:numId w:val="2"/>
        </w:num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реальность решения проблемы, исходя из возможностей созданного задела наличия кадров, материально-технической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базы и иных необходимых ресурсов.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Основные направления поддержки государственной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инновационной политики в Украине: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содействие повышению инновационной активности, обеспечивающей рост конкурентоспособности отечественной продукции на основе освоения научно-технических достижений и обновления производства,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ориентация на всемерную поддержи базисных и улучшающих инноваций составляющих основу современного технологического уклада,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сочетание государственного регулирования инновационной деятельности</w:t>
      </w:r>
      <w:r>
        <w:rPr>
          <w:noProof/>
          <w:sz w:val="26"/>
          <w:szCs w:val="26"/>
        </w:rPr>
        <w:t xml:space="preserve"> с </w:t>
      </w:r>
      <w:r>
        <w:rPr>
          <w:sz w:val="26"/>
          <w:szCs w:val="26"/>
        </w:rPr>
        <w:t>эффективным функционированием конкурентного рыночного инновационного механизма, защитой интеллектуальной собственности,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содействие развитию  инновационной деятельности  в регионах Украины международному трансферту технологий международному инвестиционному сотрудничеству, защите интересов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национального инновационного предпринимательства.</w: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  <w:r>
        <w:rPr>
          <w:sz w:val="26"/>
          <w:szCs w:val="26"/>
        </w:rPr>
        <w:t>Сложившийся механизм государственной, поддержки научной  инновационной деятельности в Украине представлен на рис</w:t>
      </w:r>
      <w:r>
        <w:rPr>
          <w:noProof/>
          <w:sz w:val="26"/>
          <w:szCs w:val="26"/>
        </w:rPr>
        <w:t xml:space="preserve"> 1.</w: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  <w:sz w:val="26"/>
          <w:szCs w:val="26"/>
        </w:rPr>
        <w:t>Рисунок 1.1 Формы поддержки научной деятельности.</w: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6pt;margin-top:15.35pt;width:309.6pt;height:28.8pt;z-index:251648000" o:allowincell="f">
            <o:extrusion v:ext="view" on="t"/>
            <v:textbox>
              <w:txbxContent>
                <w:p w:rsidR="00911361" w:rsidRDefault="00911361">
                  <w:pPr>
                    <w:pStyle w:val="1"/>
                  </w:pPr>
                  <w:r>
                    <w:t>Прямое бюджетное финансирование.</w:t>
                  </w:r>
                </w:p>
              </w:txbxContent>
            </v:textbox>
          </v:shap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oval id="_x0000_s1027" style="position:absolute;margin-left:-7.2pt;margin-top:16.5pt;width:151.2pt;height:129.6pt;z-index:251645952" o:allowincell="f">
            <o:extrusion v:ext="view" on="t"/>
          </v:oval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28" type="#_x0000_t202" style="position:absolute;margin-left:165.6pt;margin-top:7.35pt;width:309.6pt;height:43.2pt;z-index:251649024" o:allowincell="f">
            <o:extrusion v:ext="view" on="t"/>
            <v:textbox>
              <w:txbxContent>
                <w:p w:rsidR="00911361" w:rsidRDefault="00911361">
                  <w:pPr>
                    <w:pStyle w:val="a3"/>
                  </w:pPr>
                  <w:r>
                    <w:t>Льготы налогообложения прибыли, получаемой от реализации научных разработок.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29" style="position:absolute;flip:y;z-index:251653120" from="136.8pt,11.5pt" to="165.6pt,18.7pt" o:allowincell="f" strokeweight="2.25pt">
            <v:stroke endarrow="block"/>
          </v:lin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30" type="#_x0000_t202" style="position:absolute;margin-left:7.2pt;margin-top:14.55pt;width:122.4pt;height:28.8pt;z-index:251646976" o:allowincell="f">
            <v:textbox>
              <w:txbxContent>
                <w:p w:rsidR="00911361" w:rsidRDefault="00911361">
                  <w:pPr>
                    <w:pStyle w:val="2"/>
                  </w:pPr>
                  <w:r>
                    <w:t>Правительство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31" type="#_x0000_t202" style="position:absolute;margin-left:165.6pt;margin-top:12.65pt;width:309.6pt;height:57.6pt;z-index:251650048" o:allowincell="f">
            <o:extrusion v:ext="view" on="t"/>
            <v:textbox>
              <w:txbxContent>
                <w:p w:rsidR="00911361" w:rsidRDefault="00911361">
                  <w:pPr>
                    <w:pStyle w:val="a3"/>
                  </w:pPr>
                  <w:r>
                    <w:t>Освобождение от уплаты налога на собственность и землю, относящихся к научным организациям.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32" style="position:absolute;z-index:251654144" from="2in,16.8pt" to="165.6pt,31.2pt" o:allowincell="f" strokeweight="2.25pt">
            <v:stroke endarrow="block"/>
          </v:lin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33" style="position:absolute;z-index:251655168" from="122.4pt,10.7pt" to="158.4pt,61.1pt" o:allowincell="f" strokeweight="2.25pt">
            <v:stroke endarrow="block"/>
          </v:lin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34" style="position:absolute;flip:y;z-index:251652096" from="122.4pt,-143.55pt" to="158.4pt,-114.75pt" o:allowincell="f" strokeweight="2.25pt">
            <v:stroke endarrow="block"/>
          </v:line>
        </w:pict>
      </w:r>
      <w:r>
        <w:rPr>
          <w:noProof/>
        </w:rPr>
        <w:pict>
          <v:shape id="_x0000_s1035" type="#_x0000_t202" style="position:absolute;margin-left:165.6pt;margin-top:14.85pt;width:309.6pt;height:1in;z-index:251651072" o:allowincell="f">
            <o:extrusion v:ext="view" on="t"/>
            <v:textbox>
              <w:txbxContent>
                <w:p w:rsidR="00911361" w:rsidRDefault="0091136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Освобождение от импортных таможенных пошлин на ввозимое имущество научных организаций, необходимое для проведения научных разработок</w:t>
                  </w:r>
                </w:p>
              </w:txbxContent>
            </v:textbox>
          </v:shap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  <w:sz w:val="26"/>
          <w:szCs w:val="26"/>
        </w:rPr>
        <w:t>Рисунок 1.2. Формы государственной поддержки инновационной деятельности.</w: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36" type="#_x0000_t202" style="position:absolute;margin-left:194.4pt;margin-top:12.5pt;width:252pt;height:28.8pt;z-index:251658240" o:allowincell="f">
            <o:extrusion v:ext="view" on="t"/>
            <v:textbox>
              <w:txbxContent>
                <w:p w:rsidR="00911361" w:rsidRDefault="00911361">
                  <w:pPr>
                    <w:pStyle w:val="1"/>
                  </w:pPr>
                  <w:r>
                    <w:t>Прямое финансирование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37" style="position:absolute;flip:y;z-index:251664384" from="136.8pt,9.45pt" to="194.4pt,45.45pt" o:allowincell="f" strokeweight="2.25pt">
            <v:stroke endarrow="block"/>
          </v:lin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38" type="#_x0000_t202" style="position:absolute;margin-left:194.4pt;margin-top:3.35pt;width:252pt;height:57.6pt;z-index:251659264" o:allowincell="f">
            <o:extrusion v:ext="view" on="t"/>
            <v:textbox>
              <w:txbxContent>
                <w:p w:rsidR="00911361" w:rsidRDefault="00911361">
                  <w:pPr>
                    <w:pStyle w:val="a3"/>
                  </w:pPr>
                  <w:r>
                    <w:t>Предоставление изобретателям и внедренческим предприятиям беспроцентных банковских ссуд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margin-left:-7.2pt;margin-top:10.55pt;width:151.2pt;height:129.6pt;z-index:251656192" o:allowincell="f">
            <o:extrusion v:ext="view" on="t"/>
          </v:oval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40" style="position:absolute;flip:y;z-index:251665408" from="2in,14.7pt" to="194.4pt,36.3pt" o:allowincell="f" strokeweight="2.25pt">
            <v:stroke endarrow="block"/>
          </v:lin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41" type="#_x0000_t202" style="position:absolute;margin-left:7.2pt;margin-top:8.65pt;width:122.4pt;height:28.8pt;z-index:251657216" o:allowincell="f">
            <v:textbox>
              <w:txbxContent>
                <w:p w:rsidR="00911361" w:rsidRDefault="00911361">
                  <w:pPr>
                    <w:pStyle w:val="2"/>
                  </w:pPr>
                  <w:r>
                    <w:t>Правительство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42" type="#_x0000_t202" style="position:absolute;margin-left:194.4pt;margin-top:5.6pt;width:252pt;height:64.8pt;z-index:251660288" o:allowincell="f">
            <o:extrusion v:ext="view" on="t"/>
            <v:textbox>
              <w:txbxContent>
                <w:p w:rsidR="00911361" w:rsidRDefault="00911361">
                  <w:pPr>
                    <w:pStyle w:val="a3"/>
                  </w:pPr>
                  <w:r>
                    <w:t>Создание венчурных инновационных фондов, пользующихся налоговыми льготами</w:t>
                  </w:r>
                </w:p>
              </w:txbxContent>
            </v:textbox>
          </v:shap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43" style="position:absolute;z-index:251666432" from="2in,2.55pt" to="194.4pt,24.15pt" o:allowincell="f" strokeweight="2.25pt">
            <v:stroke endarrow="block"/>
          </v:lin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44" style="position:absolute;z-index:251667456" from="129.6pt,13.9pt" to="194.4pt,78.7pt" o:allowincell="f" strokeweight="2.25pt">
            <v:stroke endarrow="block"/>
          </v:lin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45" style="position:absolute;z-index:251668480" from="108pt,10.9pt" to="187.2pt,118.9pt" o:allowincell="f" strokeweight="2.25pt">
            <v:stroke endarrow="block"/>
          </v:line>
        </w:pict>
      </w: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line id="_x0000_s1046" style="position:absolute;z-index:251669504" from="93.6pt,.65pt" to="187.2pt,166.25pt" o:allowincell="f" strokeweight="2.25pt">
            <v:stroke endarrow="block"/>
          </v:line>
        </w:pict>
      </w:r>
      <w:r>
        <w:rPr>
          <w:noProof/>
        </w:rPr>
        <w:pict>
          <v:shape id="_x0000_s1047" type="#_x0000_t202" style="position:absolute;margin-left:194.4pt;margin-top:15.05pt;width:252pt;height:57.6pt;z-index:251661312" o:allowincell="f">
            <o:extrusion v:ext="view" on="t"/>
            <v:textbox>
              <w:txbxContent>
                <w:p w:rsidR="00911361" w:rsidRDefault="0091136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Снижение государственных патентных пошлин для индивидуальных изобретателей</w:t>
                  </w:r>
                </w:p>
              </w:txbxContent>
            </v:textbox>
          </v:shap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48" type="#_x0000_t202" style="position:absolute;margin-left:194.4pt;margin-top:-.15pt;width:252pt;height:43.2pt;z-index:251662336" o:allowincell="f">
            <o:extrusion v:ext="view" on="t"/>
            <v:textbox>
              <w:txbxContent>
                <w:p w:rsidR="00911361" w:rsidRDefault="0091136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 на ускоренную амортизацию оборудования</w:t>
                  </w:r>
                </w:p>
              </w:txbxContent>
            </v:textbox>
          </v:shap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0171BB" w:rsidP="00BB77E1">
      <w:pPr>
        <w:ind w:firstLine="0"/>
        <w:jc w:val="left"/>
        <w:rPr>
          <w:noProof/>
          <w:sz w:val="26"/>
          <w:szCs w:val="26"/>
        </w:rPr>
      </w:pPr>
      <w:r>
        <w:rPr>
          <w:noProof/>
        </w:rPr>
        <w:pict>
          <v:shape id="_x0000_s1049" type="#_x0000_t202" style="position:absolute;margin-left:194.4pt;margin-top:12.3pt;width:252pt;height:43.2pt;z-index:251663360" o:allowincell="f">
            <o:extrusion v:ext="view" on="t"/>
            <v:textbox>
              <w:txbxContent>
                <w:p w:rsidR="00911361" w:rsidRDefault="0091136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сети технополисов, технопарков</w:t>
                  </w:r>
                </w:p>
              </w:txbxContent>
            </v:textbox>
          </v:shape>
        </w:pict>
      </w: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noProof/>
          <w:sz w:val="26"/>
          <w:szCs w:val="26"/>
        </w:rPr>
      </w:pP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основным принципам государственной политики в научной и инновационной деятельности относятся свобода научного и научно-технического творчества, правовая охрана интеллектуальной собственности, интеграция научной, научно-технической деятельности и образования, поддержка конкуренции в сферах науки и техники, концентрация ресурсов на приоритетных направлениях научного развития, стимулирование деловой активности в научной, научно-технической и инновационной деятельности: развитие международного научного сотрудничества. </w:t>
      </w:r>
    </w:p>
    <w:p w:rsidR="00911361" w:rsidRDefault="00911361" w:rsidP="00BB77E1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 рис. 1 представлены основные формы государственной поддержки научной и инновационной деятельности в развитых странах мира. По уровню и формам поддержки в мировой практике принято выделять государственные стратегии активного вмешательств, децентрализованного регулирования и смешанные.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Центральное место в системе прямого государственного регулирования занимает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финансирование НИОКР и инновационных проектов из бюджетных средств. Государственные ассигнования и субсидии могут предоставляться государственному и негосударственному секторам на собственно инновационные цели или на обеспечение инновационной составляющей инвестиций многоцелевого характера. В целях диверсификации инновационных вложений государства возможно создание специализированных государственных холдинговых и инновационных компаний. Важное значение для генерирования нововведений и создания первоначального спроса на инновации имеют государственные контракты на выполнение НИОКР и государственные заказы на инновационную продукцию. Эффективность инновационных процессов повышается при использовании механизмов конкурсности в распределении бюджетных средств.</w:t>
      </w:r>
    </w:p>
    <w:p w:rsidR="00911361" w:rsidRDefault="00911361" w:rsidP="00BB77E1">
      <w:pPr>
        <w:spacing w:line="220" w:lineRule="auto"/>
        <w:ind w:left="80" w:firstLine="0"/>
        <w:jc w:val="left"/>
        <w:rPr>
          <w:sz w:val="26"/>
          <w:szCs w:val="26"/>
        </w:rPr>
      </w:pPr>
      <w:r>
        <w:rPr>
          <w:sz w:val="26"/>
          <w:szCs w:val="26"/>
        </w:rPr>
        <w:t>Исключительной прерогативой государства является правовое регулирование инновационных процессов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Необходимо законодательное закрепление статуса научной и инновационной деятельности, прав научных работников и инноваторов, механизма выработки и реализации научно-технической и инновационной политики.  Закон должен определить стратегию, принципы и порядок формирования государственной научно-технической политики; место научной и научно-технической деятельности в государстве, обществе, экономике; правовой статус научного работника; закрепить виды научных организаций, множественность источников финансирования отрасли, принципы управления научной деятельностью, основные формы воздействия органов государственной власти на государственном и региональном уровнях в сфере науки; отразить правовые основы регулирования международного научного и научно-технического сотрудничества.</w:t>
      </w:r>
    </w:p>
    <w:p w:rsidR="00911361" w:rsidRDefault="00911361" w:rsidP="00BB77E1">
      <w:pPr>
        <w:spacing w:line="220" w:lineRule="auto"/>
        <w:ind w:left="40" w:firstLine="0"/>
        <w:jc w:val="left"/>
        <w:rPr>
          <w:sz w:val="26"/>
          <w:szCs w:val="26"/>
        </w:rPr>
      </w:pPr>
      <w:r>
        <w:rPr>
          <w:sz w:val="26"/>
          <w:szCs w:val="26"/>
        </w:rPr>
        <w:t>Организационный механизм государственного регулирования инновационной деятельности должен обеспечить учет мнений всех прямо или косвенно заинтересованных структур и в то же время создать условия для согласованного принятия мер по стимулированию инноваций. Субъектами инновационной политики выступают органы государственной власти (центральные и местные), предприятия и организации государственного сектора, самостоятельные хозяйствующие формирования, общественные организации, сами научные работники и инноваторы.</w:t>
      </w:r>
    </w:p>
    <w:p w:rsidR="00911361" w:rsidRDefault="00911361" w:rsidP="00BB77E1">
      <w:pPr>
        <w:spacing w:before="20" w:line="22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К мерам государственного регулирования для всей промышленности  относятся следующие:</w:t>
      </w:r>
    </w:p>
    <w:p w:rsidR="00911361" w:rsidRDefault="00911361" w:rsidP="00BB77E1">
      <w:pPr>
        <w:spacing w:before="60"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Согласование ценовой политики с принятой государственной структурной политикой. Кризис нельзя ликвидировать без</w:t>
      </w:r>
      <w:r>
        <w:rPr>
          <w:noProof/>
          <w:sz w:val="26"/>
          <w:szCs w:val="26"/>
        </w:rPr>
        <w:t xml:space="preserve"> государ</w:t>
      </w:r>
      <w:r>
        <w:rPr>
          <w:sz w:val="26"/>
          <w:szCs w:val="26"/>
        </w:rPr>
        <w:t>ственного регулирования цен.</w:t>
      </w:r>
    </w:p>
    <w:p w:rsidR="00911361" w:rsidRDefault="00911361" w:rsidP="00BB77E1">
      <w:pPr>
        <w:spacing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Формирование финансово-промышленных групп, крупных корпораций, холдинговых компаний, охватывающих технологически связанные цепочки предприятий, путем:</w:t>
      </w:r>
    </w:p>
    <w:p w:rsidR="00911361" w:rsidRDefault="00911361" w:rsidP="00BB77E1">
      <w:pPr>
        <w:spacing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предоставления приоритетного права на приобретение пакетов акций предприятий;</w:t>
      </w:r>
    </w:p>
    <w:p w:rsidR="00911361" w:rsidRDefault="00911361" w:rsidP="00BB77E1">
      <w:pPr>
        <w:spacing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снятие ограничений на деятельность инвестиционных фондов и предоставление налоговых льгот;</w:t>
      </w:r>
    </w:p>
    <w:p w:rsidR="00911361" w:rsidRDefault="00911361" w:rsidP="00BB77E1">
      <w:pPr>
        <w:spacing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содействие формированию государственной системы взаимодействия крупных предприятий с малыми и средними предприятиями.</w:t>
      </w:r>
    </w:p>
    <w:p w:rsidR="00911361" w:rsidRDefault="00911361" w:rsidP="00BB77E1">
      <w:pPr>
        <w:spacing w:before="60" w:line="22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Распределение прав и полномочий по управлению предприятиями различного уровня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федерального, регионального, местного.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4.</w:t>
      </w:r>
      <w:r>
        <w:rPr>
          <w:sz w:val="26"/>
          <w:szCs w:val="26"/>
        </w:rPr>
        <w:t xml:space="preserve"> Регулирование степени открытости внутреннего рынка.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регулирование международных связей в инновационной сфере должно базироваться на ряде общих принципов, таких, как взаимная выгода, недопущение дискриминации, эквивалентная технологическая зависимость сторон, рациональное сочетание либерализации и протекционизма и т. п. Как и при воздействии на внутренние научно-инновационные процессы, здесь используются прямые и косвенные связи. </w:t>
      </w:r>
    </w:p>
    <w:p w:rsidR="00911361" w:rsidRDefault="00911361" w:rsidP="00BB77E1">
      <w:pPr>
        <w:spacing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Государство может инициировать и непосредственно финансировать из бюджетных средств двусторонние и многосторонние международные инновационные программы, деятельность международных</w:t>
      </w:r>
      <w:r>
        <w:rPr>
          <w:noProof/>
          <w:sz w:val="26"/>
          <w:szCs w:val="26"/>
        </w:rPr>
        <w:t>:</w:t>
      </w:r>
      <w:r>
        <w:rPr>
          <w:sz w:val="26"/>
          <w:szCs w:val="26"/>
        </w:rPr>
        <w:t xml:space="preserve"> исследовательских организаций и технологических центров и т.д. Среди косвенных методов регулирования можно назвать как общеэкономические (например, налоговые и кредитные льготы участникам), так и специфические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таможенное регулирование, экспортные и импортные квоты, международные патентно-лицензионные механизмы и др.</w:t>
      </w:r>
    </w:p>
    <w:p w:rsidR="00911361" w:rsidRDefault="00911361" w:rsidP="00BB77E1">
      <w:pPr>
        <w:spacing w:before="100"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 перечне инструментов государственного регулирования международного научно-технического сотрудничества отмечаются также: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выбор и рационализация приоритетных направлений сотрудничества,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финансирование кадровых обменов;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подключение к мировым системам научно-технической информации;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включение в мировое технологическое пространство путем введения в стране международных стандартов и норм;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оказание юридических, посреднических, консультационных и других услуг участникам сотрудничества,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поддержка международных контактов малого и среднего инновационного бизнеса,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государственное стимулирование зарубежных инвестиций в инновационную сферу и аналогичных вложений отечественных инвесторов за границей,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зарубежное патентование за государственный счет,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закупка зарубежной научно-технической литературы,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привлечение зарубежных экспертов к оценке масштабных программ и проектов и другие инструменты.</w:t>
      </w:r>
      <w:r>
        <w:rPr>
          <w:b/>
          <w:bCs/>
          <w:sz w:val="26"/>
          <w:szCs w:val="26"/>
        </w:rPr>
        <w:t xml:space="preserve"> 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Государственная стратегия и тактика в области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международной научно-технической кооперации должны быть дифференцированы по странам и регионам мира, что позволяет увеличить суммарную эффективность международных связей.</w:t>
      </w:r>
    </w:p>
    <w:p w:rsidR="00911361" w:rsidRDefault="00911361" w:rsidP="00BB77E1">
      <w:pPr>
        <w:spacing w:before="120" w:line="220" w:lineRule="auto"/>
        <w:ind w:left="40" w:firstLine="0"/>
        <w:jc w:val="left"/>
        <w:rPr>
          <w:sz w:val="26"/>
          <w:szCs w:val="26"/>
        </w:rPr>
      </w:pPr>
      <w:r>
        <w:rPr>
          <w:sz w:val="26"/>
          <w:szCs w:val="26"/>
        </w:rPr>
        <w:t>К основным внебюджетным формам поддержки инновационной деятельности относятся следующие: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государственная правовая защита и поддержка инноваторов,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особенно малого предпринимательства;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2)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создание государством налоговых, кредитных, таможенных,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аммиртизационных, арендных (в т. ч. лизинговых) льгот инноваторам;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3)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включение без финансирования внебюджетных инновационных проектов в комплексные государственные инновационно-инвестиционные программы:</w:t>
      </w:r>
    </w:p>
    <w:p w:rsidR="00911361" w:rsidRDefault="00911361" w:rsidP="00BB77E1">
      <w:pPr>
        <w:pStyle w:val="FR1"/>
        <w:spacing w:line="22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4)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государственное научно-методическое обеспечение инновационного менеджмента государственными стандартами, методиками, инструкциями, положениями и другими документами по различным аспектам анализа, прогнозирования, оптимизации, экономического обоснования инновационного решения;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5)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государственное обеспечение инновационной деятельности информацией;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6)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проведение государственной протекционистской политики во внешнеэкономической деятельности инноваторов;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7)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оказание государством помощи инноваторам в проведении сертификации, маркетинговых исследований, рекламы и сбыта новой продукции (услуг);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8)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государственной поддержки инноваторам в осуществлении ремонтов сложной техники;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9)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осуществление государственной поддержки в углублении внутренней и международной кооперации;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10)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создание системы государственных внебюджетных фондов, союзов, ассоциаций по поддержке различных аспектов инновационной деятельности;</w:t>
      </w:r>
    </w:p>
    <w:p w:rsidR="00911361" w:rsidRDefault="00911361" w:rsidP="00BB77E1">
      <w:pPr>
        <w:pStyle w:val="FR1"/>
        <w:spacing w:line="240" w:lineRule="auto"/>
        <w:ind w:left="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осуществление государственного учета и контроля использования средств внебюджетных фондов и др.</w:t>
      </w:r>
    </w:p>
    <w:p w:rsidR="00911361" w:rsidRDefault="00911361" w:rsidP="00BB77E1">
      <w:pPr>
        <w:spacing w:before="100" w:line="22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 мировой практике используются следующие виды налоговых льгот, стимулирующие инновационную деятельность</w:t>
      </w:r>
      <w:r>
        <w:rPr>
          <w:noProof/>
          <w:sz w:val="26"/>
          <w:szCs w:val="26"/>
        </w:rPr>
        <w:t xml:space="preserve"> :</w:t>
      </w:r>
    </w:p>
    <w:p w:rsidR="00911361" w:rsidRDefault="00911361" w:rsidP="00BB77E1">
      <w:pPr>
        <w:spacing w:before="20"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предоставление исследовательского и инвестиционного налогового кредита, т. е. отсрочка налоговых платежей в части затрат из прибыли на инновационные цели;</w:t>
      </w:r>
    </w:p>
    <w:p w:rsidR="00911361" w:rsidRDefault="00911361" w:rsidP="00BB77E1">
      <w:pPr>
        <w:spacing w:before="40" w:line="24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уменьшение налога на прирост инновационных затрат;</w:t>
      </w:r>
    </w:p>
    <w:p w:rsidR="00911361" w:rsidRDefault="00911361" w:rsidP="00BB77E1">
      <w:pPr>
        <w:spacing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"налоговые каникулы" в течение нескольких лет на прибыль, полученную от реализации инновационных проектов;</w:t>
      </w:r>
    </w:p>
    <w:p w:rsidR="00911361" w:rsidRDefault="00911361" w:rsidP="00BB77E1">
      <w:pPr>
        <w:spacing w:before="20"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льготное налогообложение дивидендов юридических и физических лиц, полученных по акциям инновационных организаций;</w:t>
      </w:r>
    </w:p>
    <w:p w:rsidR="00911361" w:rsidRDefault="00911361" w:rsidP="00BB77E1">
      <w:pPr>
        <w:spacing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снижение ставок налога на прибыль, направленную на заказные и совместные НИОКР;</w:t>
      </w:r>
    </w:p>
    <w:p w:rsidR="00911361" w:rsidRDefault="00911361" w:rsidP="00BB77E1">
      <w:pPr>
        <w:spacing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связь предоставления льгот с учетом приоритетности выполняемых проектов;</w:t>
      </w:r>
    </w:p>
    <w:p w:rsidR="00911361" w:rsidRDefault="00911361" w:rsidP="00BB77E1">
      <w:pPr>
        <w:spacing w:line="220" w:lineRule="auto"/>
        <w:ind w:left="4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льготное налогообложение прибыли, полученной в результате использования патентов, лицензий, ноу-хау и др. нематериальных активов, входящих в состав интеллектуальной собственности;</w:t>
      </w:r>
    </w:p>
    <w:p w:rsidR="00911361" w:rsidRDefault="00911361" w:rsidP="00BB77E1">
      <w:pPr>
        <w:spacing w:before="20" w:line="220" w:lineRule="auto"/>
        <w:ind w:left="12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уменьшение налогооблагаемой прибыли на сумму стоимости приборов и оборудования, передаваемых вузам, НИИ и другим инновационным организациям;</w:t>
      </w:r>
    </w:p>
    <w:p w:rsidR="00911361" w:rsidRDefault="00911361" w:rsidP="00BB77E1">
      <w:pPr>
        <w:spacing w:before="20" w:line="220" w:lineRule="auto"/>
        <w:ind w:left="12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вычет из налогооблагаемой прибыли взносов в благотворительные фонды, деятельность которых связана с финансированием инноваций;</w:t>
      </w:r>
    </w:p>
    <w:p w:rsidR="00911361" w:rsidRDefault="00911361" w:rsidP="00BB77E1">
      <w:pPr>
        <w:spacing w:before="20" w:line="220" w:lineRule="auto"/>
        <w:ind w:left="12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зачисление части прибыли инновационной организации на специальные счета с последующим льготным налогообложением в случае использования на инновационные цели.</w:t>
      </w:r>
    </w:p>
    <w:p w:rsidR="00911361" w:rsidRDefault="00911361" w:rsidP="00BB77E1">
      <w:pPr>
        <w:spacing w:before="100" w:line="220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>В настоящее время можно выделить три главных типа моделей научно-инновационного развития промышленно развитых стран</w:t>
      </w:r>
      <w:r>
        <w:rPr>
          <w:noProof/>
          <w:sz w:val="26"/>
          <w:szCs w:val="26"/>
        </w:rPr>
        <w:t xml:space="preserve"> :</w:t>
      </w:r>
    </w:p>
    <w:p w:rsidR="00911361" w:rsidRDefault="00911361" w:rsidP="00BB77E1">
      <w:pPr>
        <w:pStyle w:val="FR1"/>
        <w:spacing w:before="60" w:line="220" w:lineRule="auto"/>
        <w:ind w:left="200" w:right="-22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1)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страны, ориентированные на лидерство в науке, реализацию крупномасштабных целевых проектов, охватывающих все стадии научно-производственного цикла, как правило, со значительной долей научно-инновационного потенциала в оборонном секторе (США, Англия, Франция);</w:t>
      </w:r>
    </w:p>
    <w:p w:rsidR="00911361" w:rsidRDefault="00911361" w:rsidP="00BB77E1">
      <w:pPr>
        <w:spacing w:before="20" w:line="220" w:lineRule="auto"/>
        <w:ind w:left="200" w:right="-22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2)</w:t>
      </w:r>
      <w:r>
        <w:rPr>
          <w:sz w:val="26"/>
          <w:szCs w:val="26"/>
        </w:rPr>
        <w:t xml:space="preserve"> страны, ориентированные на распространение нововведений, создание благоприятной инновационной среды, рационализацию всей структуры экономики (Германия, Швеция, Швейцария);</w:t>
      </w:r>
    </w:p>
    <w:p w:rsidR="00911361" w:rsidRDefault="00911361" w:rsidP="00BB77E1">
      <w:pPr>
        <w:spacing w:before="20" w:line="220" w:lineRule="auto"/>
        <w:ind w:left="200"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3) страны, стимулирующие нововведения путем развития инновационной инфраструктуры, обеспечения восприимчивости к достижениям мирового научно-технического прогресса, координации действий различных секторов в области науки и технологий.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Ситуационное задание.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32"/>
          <w:szCs w:val="32"/>
        </w:rPr>
      </w:pPr>
      <w:r>
        <w:rPr>
          <w:sz w:val="32"/>
          <w:szCs w:val="32"/>
        </w:rPr>
        <w:t>Задание 4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 основании приведенной таблицы дайте характеристику инновационной активности в каждой стране. Экономика какой страны имеет высокую инновационную привлекательность?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2316"/>
        <w:gridCol w:w="2316"/>
      </w:tblGrid>
      <w:tr w:rsidR="00911361">
        <w:tc>
          <w:tcPr>
            <w:tcW w:w="53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А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Б</w:t>
            </w:r>
          </w:p>
        </w:tc>
      </w:tr>
      <w:tr w:rsidR="00911361">
        <w:tc>
          <w:tcPr>
            <w:tcW w:w="53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вес расходов на НИОКР в ВВП, %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3,05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911361">
        <w:tc>
          <w:tcPr>
            <w:tcW w:w="53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за счет государственного бюджета, %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16" w:type="dxa"/>
          </w:tcPr>
          <w:p w:rsidR="00911361" w:rsidRDefault="00911361" w:rsidP="00BB77E1">
            <w:pPr>
              <w:spacing w:line="240" w:lineRule="auto"/>
              <w:ind w:right="-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48,3</w:t>
            </w:r>
          </w:p>
        </w:tc>
      </w:tr>
    </w:tbl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Исходя из приведенных данных, можно сказать, что инновационная активность обеих стран достаточно высокая, хотя в стране Б показатель удельного веса расходов на НИОКР немного выше. Что касается показателя части этих расходов в государственном бюджете, то можно сказать, что в стране Б государственная поддержка НИОКР намного выше. Поскольку из государственного бюджета финансируются, как правило, общегосударственные программы, то на мой взгляд страна Б имеет большую инновационную привлекательность.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Для сравнения можно рассмотреть расходы на НИОКР в странах с развитой рыночной экономикой. В США в 1995 году эти расходы составили 2,6% от ВВП, в Германии – 2,3%, в Англии – 2,4%, во Франции – 2,2% в Японии – 3,5%.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Источники финансирования в США: 50% - частные фирмы и организации, 46% - федеральное правительство. В других развитых странах из федеральных бюджетов финансируется от 35 до 45 % расходов на НИОКР.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Следует отметить, что в США из федерального бюджета финансируются в основном: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Американский научный фонд (курирует фундаментальные исследования);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Американский научный совет (курирует промышленность и университеты):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Национальное космическое агентство;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Национальное бюро стандартов;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Национальный институт здравоохранения;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Министерство обороны;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Национальный центр промышленных исследований;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Национальная академия наук и др.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  <w:r>
        <w:rPr>
          <w:sz w:val="26"/>
          <w:szCs w:val="26"/>
        </w:rPr>
        <w:t>В результате активной инновационной деятельности США занимает высокое место по уровню ВВП на душу населения, эффективности использования ресурсов, темпам экономического роста, а соответственно и уровню жизни населения.</w:t>
      </w: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right="-22"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Аналитико-практический блок.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 1. Краткая общая характеристика предприятия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название: ОАО «НЕКТАР»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месторасположение: г. Каменец-Подольский  Хмельницкая область Украина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форма собственности и организационно-правовая форма: Открытое акционерное общество. Акционировано на базе государственного предприятия в 1994 году.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вид деятельности и специализация: производство плодоовощных консервов, концентрата фруктового сока, детского питания.</w:t>
      </w:r>
    </w:p>
    <w:p w:rsidR="00911361" w:rsidRDefault="00911361" w:rsidP="00BB77E1">
      <w:pPr>
        <w:numPr>
          <w:ilvl w:val="0"/>
          <w:numId w:val="2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миссия предприятия: производство высококачественной, полезной продукции с высоким содержанием витаминов, которая была бы по вкусу  всем потребителям от новорожденного до взрослого, доступна по цене, разнообразна по ассортименту, превосходна по качеству.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цели предприятия: 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стабильный рост;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повышение производительности, сокращение издержек;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повышение прибыльности, рентабельности;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улучшение технико-экономических показателей;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увеличение объемов производства и расширение ассортимента продукции которая пользуется постоянным спросом у потребителей;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техническое перевооружение;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выход на новые рынки сбыта;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расширение качества и повышение качества детского питания, ужесточение норм контроля качества сырья и готовой продукции;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повышение квалификации персонала;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1134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улучшение условий труда работников.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организационная структура управления: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Директор – 1 чел.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Зам директора по финансам – 1 чел.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Зам. директора по производству – 1 чел.</w:t>
      </w:r>
    </w:p>
    <w:p w:rsidR="00911361" w:rsidRDefault="00911361" w:rsidP="00BB77E1">
      <w:pPr>
        <w:numPr>
          <w:ilvl w:val="0"/>
          <w:numId w:val="2"/>
        </w:numPr>
        <w:tabs>
          <w:tab w:val="clear" w:pos="660"/>
          <w:tab w:val="num" w:pos="709"/>
        </w:tabs>
        <w:spacing w:line="240" w:lineRule="auto"/>
        <w:ind w:left="1134" w:firstLine="0"/>
        <w:jc w:val="left"/>
        <w:rPr>
          <w:sz w:val="26"/>
          <w:szCs w:val="26"/>
        </w:rPr>
      </w:pPr>
      <w:r>
        <w:rPr>
          <w:sz w:val="26"/>
          <w:szCs w:val="26"/>
        </w:rPr>
        <w:t>Зам. директора по сбыту – 1 чел.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 2. Оценка интелектуально-квалификационного уровня персонала.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numPr>
          <w:ilvl w:val="0"/>
          <w:numId w:val="3"/>
        </w:numPr>
        <w:tabs>
          <w:tab w:val="clear" w:pos="660"/>
          <w:tab w:val="num" w:pos="927"/>
        </w:tabs>
        <w:spacing w:line="240" w:lineRule="auto"/>
        <w:ind w:left="927" w:firstLine="0"/>
        <w:jc w:val="left"/>
        <w:rPr>
          <w:sz w:val="26"/>
          <w:szCs w:val="26"/>
        </w:rPr>
      </w:pPr>
      <w:r>
        <w:rPr>
          <w:sz w:val="26"/>
          <w:szCs w:val="26"/>
        </w:rPr>
        <w:t>Всего количество работающих – 125 чел.</w:t>
      </w:r>
    </w:p>
    <w:p w:rsidR="00911361" w:rsidRDefault="00911361" w:rsidP="00BB77E1">
      <w:pPr>
        <w:numPr>
          <w:ilvl w:val="0"/>
          <w:numId w:val="3"/>
        </w:numPr>
        <w:tabs>
          <w:tab w:val="clear" w:pos="660"/>
          <w:tab w:val="num" w:pos="927"/>
        </w:tabs>
        <w:spacing w:line="240" w:lineRule="auto"/>
        <w:ind w:left="927" w:firstLine="0"/>
        <w:jc w:val="left"/>
        <w:rPr>
          <w:sz w:val="26"/>
          <w:szCs w:val="26"/>
        </w:rPr>
      </w:pPr>
      <w:r>
        <w:rPr>
          <w:sz w:val="26"/>
          <w:szCs w:val="26"/>
        </w:rPr>
        <w:t>Структура персонала по:</w:t>
      </w:r>
    </w:p>
    <w:p w:rsidR="00911361" w:rsidRDefault="00911361" w:rsidP="00BB77E1">
      <w:pPr>
        <w:numPr>
          <w:ilvl w:val="0"/>
          <w:numId w:val="3"/>
        </w:numPr>
        <w:tabs>
          <w:tab w:val="clear" w:pos="660"/>
          <w:tab w:val="num" w:pos="927"/>
        </w:tabs>
        <w:spacing w:line="240" w:lineRule="auto"/>
        <w:ind w:left="927" w:firstLine="0"/>
        <w:jc w:val="left"/>
        <w:rPr>
          <w:sz w:val="26"/>
          <w:szCs w:val="26"/>
        </w:rPr>
      </w:pPr>
      <w:r>
        <w:rPr>
          <w:sz w:val="26"/>
          <w:szCs w:val="26"/>
        </w:rPr>
        <w:t>половым признакам : мужчин – 42 , женщин – 83;</w:t>
      </w:r>
    </w:p>
    <w:p w:rsidR="00911361" w:rsidRDefault="00911361" w:rsidP="00BB77E1">
      <w:pPr>
        <w:numPr>
          <w:ilvl w:val="0"/>
          <w:numId w:val="3"/>
        </w:numPr>
        <w:tabs>
          <w:tab w:val="clear" w:pos="660"/>
          <w:tab w:val="num" w:pos="927"/>
        </w:tabs>
        <w:spacing w:line="240" w:lineRule="auto"/>
        <w:ind w:left="927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возрастным признакам: до 30 лет – 23 чел.; 30–45 лет – 42 чел.; 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45-50 лет – 34 чел.; 50-65 лет – 26 чел.</w:t>
      </w:r>
    </w:p>
    <w:p w:rsidR="00911361" w:rsidRDefault="00911361" w:rsidP="00BB77E1">
      <w:pPr>
        <w:numPr>
          <w:ilvl w:val="0"/>
          <w:numId w:val="4"/>
        </w:numPr>
        <w:tabs>
          <w:tab w:val="clear" w:pos="660"/>
          <w:tab w:val="num" w:pos="1418"/>
        </w:tabs>
        <w:spacing w:line="240" w:lineRule="auto"/>
        <w:ind w:left="1276" w:firstLine="0"/>
        <w:jc w:val="left"/>
        <w:rPr>
          <w:sz w:val="26"/>
          <w:szCs w:val="26"/>
        </w:rPr>
      </w:pPr>
      <w:r>
        <w:rPr>
          <w:sz w:val="26"/>
          <w:szCs w:val="26"/>
        </w:rPr>
        <w:t>образованию: среднее – 69 чел., специальное техническое – 42 чел., высшее – 14 чел.</w:t>
      </w:r>
    </w:p>
    <w:p w:rsidR="00911361" w:rsidRDefault="00911361" w:rsidP="00BB77E1">
      <w:pPr>
        <w:numPr>
          <w:ilvl w:val="0"/>
          <w:numId w:val="4"/>
        </w:numPr>
        <w:tabs>
          <w:tab w:val="clear" w:pos="660"/>
          <w:tab w:val="num" w:pos="1418"/>
        </w:tabs>
        <w:spacing w:line="240" w:lineRule="auto"/>
        <w:ind w:left="1276" w:firstLine="0"/>
        <w:jc w:val="left"/>
        <w:rPr>
          <w:sz w:val="26"/>
          <w:szCs w:val="26"/>
        </w:rPr>
      </w:pPr>
      <w:r>
        <w:rPr>
          <w:sz w:val="26"/>
          <w:szCs w:val="26"/>
        </w:rPr>
        <w:t>удельный вес сотрудников с высшим образованием: 11,2%;</w:t>
      </w:r>
    </w:p>
    <w:p w:rsidR="00911361" w:rsidRDefault="00911361" w:rsidP="00BB77E1">
      <w:pPr>
        <w:numPr>
          <w:ilvl w:val="0"/>
          <w:numId w:val="4"/>
        </w:numPr>
        <w:tabs>
          <w:tab w:val="clear" w:pos="660"/>
          <w:tab w:val="num" w:pos="1418"/>
        </w:tabs>
        <w:spacing w:line="240" w:lineRule="auto"/>
        <w:ind w:left="1276" w:firstLine="0"/>
        <w:jc w:val="left"/>
        <w:rPr>
          <w:sz w:val="26"/>
          <w:szCs w:val="26"/>
        </w:rPr>
      </w:pPr>
      <w:r>
        <w:rPr>
          <w:sz w:val="26"/>
          <w:szCs w:val="26"/>
        </w:rPr>
        <w:t>удельный вес квалифицированного персонала в активном возрасте: 32%;</w:t>
      </w:r>
    </w:p>
    <w:p w:rsidR="00911361" w:rsidRDefault="00911361" w:rsidP="00BB77E1">
      <w:pPr>
        <w:numPr>
          <w:ilvl w:val="0"/>
          <w:numId w:val="4"/>
        </w:numPr>
        <w:tabs>
          <w:tab w:val="clear" w:pos="660"/>
          <w:tab w:val="num" w:pos="1418"/>
        </w:tabs>
        <w:spacing w:line="240" w:lineRule="auto"/>
        <w:ind w:left="1276" w:firstLine="0"/>
        <w:jc w:val="left"/>
        <w:rPr>
          <w:sz w:val="26"/>
          <w:szCs w:val="26"/>
        </w:rPr>
      </w:pPr>
      <w:r>
        <w:rPr>
          <w:sz w:val="26"/>
          <w:szCs w:val="26"/>
        </w:rPr>
        <w:t>количество сотрудников, которые повышали свой профессиональный уровень за период своей деятельности на данном предприятии – 48 чел.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 3. Характеристика стиля управления.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Отношение людей к работе значительно изменилось. Как рядовые сотрудники, так и руководящий состав предприятия стали намного более серьезно относиться к своей работе и своему соответствию ей.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Наблюдается потребность в высококвалифицированных специалистах. Предприятие проводит тренинги и аттестации на соответствие занимаемой должности, в результате которых некоторые работники поощряются, а некоторые увольняются.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Руководители подразделений постоянно контролируют своих подчиненных, помогают им на всех этапах производства, поддерживают дисциплину.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 предприятии существует строгое разделение труда и ответственности за каждую фазу процесса производства. Работа всех подразделений и служб предприятия налажена и требует их тесного сотрудничества между собой.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 4.Оценка обеспеченности предприятия финансовыми средствами.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Таблица 1.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Основные показатели деятельности ОАО «НЕКТАР»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 1997-1999 гг.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4970"/>
        <w:gridCol w:w="1061"/>
        <w:gridCol w:w="1061"/>
        <w:gridCol w:w="1457"/>
      </w:tblGrid>
      <w:tr w:rsidR="00911361">
        <w:tc>
          <w:tcPr>
            <w:tcW w:w="717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right="786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970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1061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</w:tr>
      <w:tr w:rsidR="00911361">
        <w:tc>
          <w:tcPr>
            <w:tcW w:w="717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70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средняя стоимость имущества, тыс. грн.</w:t>
            </w:r>
          </w:p>
        </w:tc>
        <w:tc>
          <w:tcPr>
            <w:tcW w:w="1061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2392,5</w:t>
            </w:r>
          </w:p>
        </w:tc>
        <w:tc>
          <w:tcPr>
            <w:tcW w:w="1061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2651,0</w:t>
            </w:r>
          </w:p>
        </w:tc>
        <w:tc>
          <w:tcPr>
            <w:tcW w:w="1457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+258,5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величина капитала и резервов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1903,0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2271,5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+368,5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Долгосрочные обязательства, тыс. грн.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7639,5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-7175,5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стоимость текущих активов, тыс. грн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1153,0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+225,0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Выручка от реализации, тыс. грн.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4995,0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5608,0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+613,0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прибыль, тыс. грн.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+29,0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Чистая прибыль, тыс. грн.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1507,5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+20,5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рентабельности имущества, %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рентабельности текущих активов, %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-40,0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рентабельности инвестиций, %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-22,0</w:t>
            </w:r>
          </w:p>
        </w:tc>
      </w:tr>
      <w:tr w:rsidR="00911361">
        <w:tc>
          <w:tcPr>
            <w:tcW w:w="71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7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рентабельности собственного капитала, %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06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1457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-8,0</w:t>
            </w:r>
          </w:p>
        </w:tc>
      </w:tr>
      <w:tr w:rsidR="00911361">
        <w:tc>
          <w:tcPr>
            <w:tcW w:w="717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70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рентабельности продукции, %</w:t>
            </w: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-5,0</w:t>
            </w:r>
          </w:p>
        </w:tc>
      </w:tr>
    </w:tbl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Основные направления использования прибыли:</w:t>
      </w:r>
    </w:p>
    <w:p w:rsidR="00911361" w:rsidRDefault="00911361" w:rsidP="00BB77E1">
      <w:pPr>
        <w:numPr>
          <w:ilvl w:val="0"/>
          <w:numId w:val="4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реинвестирование в капитал производства;</w:t>
      </w:r>
    </w:p>
    <w:p w:rsidR="00911361" w:rsidRDefault="00911361" w:rsidP="00BB77E1">
      <w:pPr>
        <w:numPr>
          <w:ilvl w:val="0"/>
          <w:numId w:val="4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выплата дивидендов акционерам.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 5. Состояние активной части основных фондов и эффективность использования производственных мощностей.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Таблица 2.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Объем основных фондов ОАО «НЕКТАР»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 1997-1999 гг.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Тыс. грн.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162"/>
        <w:gridCol w:w="1625"/>
        <w:gridCol w:w="1560"/>
        <w:gridCol w:w="1625"/>
      </w:tblGrid>
      <w:tr w:rsidR="00911361"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62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ОФ</w:t>
            </w:r>
          </w:p>
        </w:tc>
        <w:tc>
          <w:tcPr>
            <w:tcW w:w="1625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01.01.97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0101.98</w:t>
            </w:r>
          </w:p>
        </w:tc>
        <w:tc>
          <w:tcPr>
            <w:tcW w:w="1625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01.01.99</w:t>
            </w:r>
          </w:p>
        </w:tc>
      </w:tr>
      <w:tr w:rsidR="00911361">
        <w:tc>
          <w:tcPr>
            <w:tcW w:w="595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62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Строения</w:t>
            </w:r>
          </w:p>
        </w:tc>
        <w:tc>
          <w:tcPr>
            <w:tcW w:w="1625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271,0</w:t>
            </w:r>
          </w:p>
        </w:tc>
        <w:tc>
          <w:tcPr>
            <w:tcW w:w="1560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271,0</w:t>
            </w:r>
          </w:p>
        </w:tc>
        <w:tc>
          <w:tcPr>
            <w:tcW w:w="1625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271,0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Машины и оборудование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 и инвентарь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280,9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283,6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289,0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ОС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-остаточная стоимость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184,0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193,0</w:t>
            </w:r>
          </w:p>
        </w:tc>
      </w:tr>
      <w:tr w:rsidR="00911361">
        <w:tc>
          <w:tcPr>
            <w:tcW w:w="59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-износ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94,5</w:t>
            </w:r>
          </w:p>
        </w:tc>
        <w:tc>
          <w:tcPr>
            <w:tcW w:w="1560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</w:t>
            </w:r>
          </w:p>
        </w:tc>
        <w:tc>
          <w:tcPr>
            <w:tcW w:w="162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</w:t>
            </w:r>
          </w:p>
        </w:tc>
      </w:tr>
      <w:tr w:rsidR="00911361">
        <w:tc>
          <w:tcPr>
            <w:tcW w:w="595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62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-первичная стоимость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279,5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283,0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</w:tbl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Таблица 3..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Анализ использования активной части основных фондов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ОАО «НЕКТАР»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 1997-1999 гг.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4403"/>
        <w:gridCol w:w="931"/>
        <w:gridCol w:w="931"/>
        <w:gridCol w:w="1215"/>
        <w:gridCol w:w="1215"/>
      </w:tblGrid>
      <w:tr w:rsidR="00911361">
        <w:tc>
          <w:tcPr>
            <w:tcW w:w="572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403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Абсол. Отклон.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роста,%</w:t>
            </w:r>
          </w:p>
        </w:tc>
      </w:tr>
      <w:tr w:rsidR="00911361">
        <w:tc>
          <w:tcPr>
            <w:tcW w:w="572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403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обоснование в фактических ценах, тыс. грн.</w:t>
            </w:r>
          </w:p>
        </w:tc>
        <w:tc>
          <w:tcPr>
            <w:tcW w:w="931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367,0</w:t>
            </w:r>
          </w:p>
        </w:tc>
        <w:tc>
          <w:tcPr>
            <w:tcW w:w="931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274,5</w:t>
            </w:r>
          </w:p>
        </w:tc>
        <w:tc>
          <w:tcPr>
            <w:tcW w:w="1215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-92,5</w:t>
            </w:r>
          </w:p>
        </w:tc>
        <w:tc>
          <w:tcPr>
            <w:tcW w:w="1215" w:type="dxa"/>
            <w:tcBorders>
              <w:top w:val="nil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обоснование в сопоставимых ценах, тыс. грн.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510,0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-235,0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Валовый доход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59,0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Среднегодовая стоимость АЧОФ, тыс. грн.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Фондоотдача в сопоставимых ценах, тыс. грн.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Доходность, %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</w:t>
            </w:r>
          </w:p>
        </w:tc>
      </w:tr>
      <w:tr w:rsidR="00911361">
        <w:tc>
          <w:tcPr>
            <w:tcW w:w="572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403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Фондоемкость в сопоставимых ценах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31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215" w:type="dxa"/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911361">
        <w:tc>
          <w:tcPr>
            <w:tcW w:w="572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03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 оснащенность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911361" w:rsidRDefault="00911361" w:rsidP="00BB77E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</w:tbl>
    <w:p w:rsidR="00911361" w:rsidRDefault="00911361" w:rsidP="00BB77E1">
      <w:pPr>
        <w:ind w:left="40" w:firstLine="0"/>
        <w:jc w:val="left"/>
      </w:pPr>
    </w:p>
    <w:p w:rsidR="00911361" w:rsidRDefault="00911361" w:rsidP="00BB77E1">
      <w:pPr>
        <w:ind w:left="40" w:firstLine="0"/>
        <w:jc w:val="left"/>
      </w:pPr>
    </w:p>
    <w:p w:rsidR="00911361" w:rsidRDefault="00911361" w:rsidP="00BB77E1">
      <w:pPr>
        <w:spacing w:line="240" w:lineRule="auto"/>
        <w:ind w:left="40" w:firstLine="0"/>
        <w:jc w:val="left"/>
        <w:rPr>
          <w:sz w:val="26"/>
          <w:szCs w:val="26"/>
        </w:rPr>
      </w:pPr>
      <w:r>
        <w:rPr>
          <w:sz w:val="26"/>
          <w:szCs w:val="26"/>
        </w:rPr>
        <w:t>Этап</w:t>
      </w:r>
      <w:r>
        <w:rPr>
          <w:noProof/>
          <w:sz w:val="26"/>
          <w:szCs w:val="26"/>
        </w:rPr>
        <w:t xml:space="preserve"> 6.</w:t>
      </w:r>
      <w:r>
        <w:rPr>
          <w:sz w:val="26"/>
          <w:szCs w:val="26"/>
        </w:rPr>
        <w:t xml:space="preserve"> Оценка рыночной устойчивости предприятия (по результатам маркетинговых исследований).</w:t>
      </w:r>
    </w:p>
    <w:p w:rsidR="00911361" w:rsidRDefault="00911361" w:rsidP="00BB77E1">
      <w:pPr>
        <w:spacing w:before="220" w:line="240" w:lineRule="auto"/>
        <w:ind w:left="40"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Практически все консервные заводы , выпускающие свою продукцию на рынок Украины, имеют такую же форму собственности, как и анализируемое нами предприятие, а именно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>государственные предприятия акционированы в ОАО и собственность принадлежит акционерам. В основном, продукция большинства наших конкурентов подобна, но с отклонениями по ассортименту, качеству и, в соответствии с этим, по количеству постоянных покупателей. Также, большое значение имеет сезонность количества и качества начального продукта поставщиков. Основные характеристики некоторых консервных заводов и комбинатов, которые нам составляют наибольшую конкуренцию приведены в таблице</w:t>
      </w:r>
      <w:r>
        <w:rPr>
          <w:noProof/>
          <w:sz w:val="26"/>
          <w:szCs w:val="26"/>
        </w:rPr>
        <w:t xml:space="preserve"> 4.</w:t>
      </w:r>
    </w:p>
    <w:p w:rsidR="00911361" w:rsidRDefault="00911361" w:rsidP="00BB77E1">
      <w:pPr>
        <w:spacing w:before="30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Таблица</w:t>
      </w:r>
      <w:r>
        <w:rPr>
          <w:noProof/>
          <w:sz w:val="26"/>
          <w:szCs w:val="26"/>
        </w:rPr>
        <w:t xml:space="preserve"> 4</w:t>
      </w:r>
    </w:p>
    <w:p w:rsidR="00911361" w:rsidRDefault="00911361" w:rsidP="00BB77E1">
      <w:pPr>
        <w:spacing w:before="240" w:after="280" w:line="240" w:lineRule="auto"/>
        <w:ind w:left="840" w:right="800" w:firstLine="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Сравнительная характеристика показателей деятельности на рынке ОАО «НЕКТАР» с основными конкурентами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560"/>
      </w:tblGrid>
      <w:tr w:rsidR="00911361">
        <w:trPr>
          <w:trHeight w:hRule="exact" w:val="108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"Чумак"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"Верес"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"Нектар»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left="8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Преимущ., недостатки</w:t>
            </w:r>
          </w:p>
          <w:p w:rsidR="00911361" w:rsidRDefault="00911361" w:rsidP="00BB77E1">
            <w:pPr>
              <w:spacing w:before="40" w:line="240" w:lineRule="auto"/>
              <w:ind w:left="400" w:right="400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(+/-)</w:t>
            </w:r>
          </w:p>
        </w:tc>
      </w:tr>
      <w:tr w:rsidR="00911361">
        <w:trPr>
          <w:trHeight w:hRule="exact"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Ассортимент продукции,</w:t>
            </w:r>
            <w:r>
              <w:rPr>
                <w:noProof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+</w:t>
            </w:r>
          </w:p>
        </w:tc>
      </w:tr>
      <w:tr w:rsidR="00911361">
        <w:trPr>
          <w:trHeight w:hRule="exact" w:val="47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продукции,</w:t>
            </w:r>
            <w:r>
              <w:rPr>
                <w:noProof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=</w:t>
            </w:r>
          </w:p>
        </w:tc>
      </w:tr>
      <w:tr w:rsidR="00911361">
        <w:trPr>
          <w:trHeight w:hRule="exact" w:val="106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Квалификация персонала (специально-техническое образование),</w:t>
            </w:r>
            <w:r>
              <w:rPr>
                <w:noProof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+</w:t>
            </w:r>
          </w:p>
        </w:tc>
      </w:tr>
      <w:tr w:rsidR="00911361">
        <w:trPr>
          <w:trHeight w:hRule="exact" w:val="7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сотрудников,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</w:t>
            </w:r>
          </w:p>
        </w:tc>
      </w:tr>
      <w:tr w:rsidR="00911361">
        <w:trPr>
          <w:trHeight w:hRule="exact" w:val="9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стоимость (например) Кетчупа томатного емк . о,25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11361">
        <w:trPr>
          <w:trHeight w:hRule="exact" w:val="10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стоимость (например) Томатов консервированных емк. 1л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+</w:t>
            </w:r>
          </w:p>
        </w:tc>
      </w:tr>
      <w:tr w:rsidR="00911361">
        <w:trPr>
          <w:trHeight w:hRule="exact" w:val="6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Рентабельность основной деятельности,</w:t>
            </w:r>
            <w:r>
              <w:rPr>
                <w:noProof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37,6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4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+</w:t>
            </w:r>
          </w:p>
        </w:tc>
      </w:tr>
      <w:tr w:rsidR="00911361">
        <w:trPr>
          <w:trHeight w:hRule="exact" w:val="40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у покупателей,</w:t>
            </w:r>
            <w:r>
              <w:rPr>
                <w:noProof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61" w:rsidRDefault="00911361" w:rsidP="00BB77E1">
            <w:pPr>
              <w:spacing w:before="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+</w:t>
            </w:r>
          </w:p>
        </w:tc>
      </w:tr>
    </w:tbl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before="440" w:line="240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>Исходя из данных таблицы, можно сделать вывод о том, что по значительному числу показателей ОАО «НЕКТАР» опережает своих конкурентов.</w:t>
      </w:r>
    </w:p>
    <w:p w:rsidR="00911361" w:rsidRDefault="00911361" w:rsidP="00BB77E1">
      <w:pPr>
        <w:spacing w:line="240" w:lineRule="auto"/>
        <w:ind w:left="120" w:firstLine="0"/>
        <w:jc w:val="left"/>
        <w:rPr>
          <w:noProof/>
          <w:sz w:val="26"/>
          <w:szCs w:val="26"/>
        </w:rPr>
      </w:pPr>
      <w:r>
        <w:rPr>
          <w:sz w:val="26"/>
          <w:szCs w:val="26"/>
        </w:rPr>
        <w:t>Однако, руководству ОАО «НЕКТАР» все-таки следует уделить внимание следующим моментам: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повышению квалификации персонала, т.е. более часто проводить тренинги персонала, участвовать в конференциях, обсуждениях специалистов и т.д.;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интенсификации деятельности службы маркетинга ( на заводе работает один специалист по маркетингу в отделе сбыта) по всем направлениям рынка (потребности покупателей, цены на рынке соответствующих продуктов, конкурентоспособность цен и т.д.). Это возможно провести путем создания  отдельного подразделения маркетинга ;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более требовательно относится к качеству поставляемой продукции, постоянно производить поиск других поставщиков исходного сырья;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проводить политику поощрения инновациям различного плана, например, стремиться к постоянному усовершенствованию уже имеющихся и разработке более новых и современных технологий как своими силами, так и с привлечением более высококвалифицированных специалистов, найти возможность подписать долгосрочные договора по сотрудничеству с научно-исследовательскими институтами пищевых технологий ,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разработка и производство новых направлений продукции на предприятии (эксклюзивного и лечебного детского питания).</w:t>
      </w:r>
    </w:p>
    <w:p w:rsidR="00911361" w:rsidRDefault="00911361" w:rsidP="00BB77E1">
      <w:pPr>
        <w:spacing w:before="32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Итак, подводя итоги нашему анализу, можно отметить следующее:</w:t>
      </w:r>
    </w:p>
    <w:p w:rsidR="00911361" w:rsidRDefault="00911361" w:rsidP="00BB77E1">
      <w:pPr>
        <w:spacing w:before="30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Сильные стороны предприятия:</w:t>
      </w:r>
    </w:p>
    <w:p w:rsidR="00911361" w:rsidRDefault="00911361" w:rsidP="00BB77E1">
      <w:pPr>
        <w:spacing w:before="220"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конкурентная позиция на рынке аналогичных продуктов (доля рынка</w:t>
      </w:r>
      <w:r>
        <w:rPr>
          <w:noProof/>
          <w:sz w:val="26"/>
          <w:szCs w:val="26"/>
        </w:rPr>
        <w:t xml:space="preserve"> -15%)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широкий ассортимент высококачественной продукции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доступные цены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пользуется высоким спросом у покупателей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квалифицированные сотрудники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высокий уровень организованности производственного процесса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хорошая технологическая база</w:t>
      </w:r>
    </w:p>
    <w:p w:rsidR="00911361" w:rsidRDefault="00911361" w:rsidP="00BB77E1">
      <w:pPr>
        <w:spacing w:before="30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Слабые стороны предприятия: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неадекватная система налогообложения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не выработана ясная стратегия дальнейшего продвижения продукта на рынке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не поддерживается должный уровень ликвидности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высокие цены на энергоносители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повышение цен поставщиками первичного продукта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сезонность производства</w:t>
      </w:r>
    </w:p>
    <w:p w:rsidR="00911361" w:rsidRDefault="00911361" w:rsidP="00BB77E1">
      <w:pPr>
        <w:spacing w:line="240" w:lineRule="auto"/>
        <w:ind w:left="360" w:right="40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не всегда эффективно используются производственные мощности, наличие периодов недозагрузки</w:t>
      </w:r>
    </w:p>
    <w:p w:rsidR="00911361" w:rsidRDefault="00911361" w:rsidP="00BB77E1">
      <w:pPr>
        <w:spacing w:before="22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Возможности предприятия в корне связаны с использованием инноваций на предприятии:</w:t>
      </w:r>
    </w:p>
    <w:p w:rsidR="00911361" w:rsidRDefault="00911361" w:rsidP="00BB77E1">
      <w:pPr>
        <w:spacing w:before="300"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выход на рынок сбыта с принципиально новыми видами продукции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разработка нового направления продукции (эксклюзивного и лечебного детского питания)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привлечение иностранных инвестиций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выход на международный рынок сбыта</w:t>
      </w:r>
    </w:p>
    <w:p w:rsidR="00911361" w:rsidRDefault="00911361" w:rsidP="00BB77E1">
      <w:pPr>
        <w:spacing w:before="30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Угрозы:</w:t>
      </w:r>
    </w:p>
    <w:p w:rsidR="00911361" w:rsidRDefault="00911361" w:rsidP="00BB77E1">
      <w:pPr>
        <w:spacing w:before="300"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более активная деятельность конкурентов по введению нового продукта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возрастание силы торга у поставщиков</w:t>
      </w:r>
    </w:p>
    <w:p w:rsidR="00911361" w:rsidRDefault="00911361" w:rsidP="00BB77E1">
      <w:pPr>
        <w:spacing w:line="240" w:lineRule="auto"/>
        <w:ind w:left="36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>
        <w:rPr>
          <w:sz w:val="26"/>
          <w:szCs w:val="26"/>
        </w:rPr>
        <w:t xml:space="preserve"> изменение потребностей и вкуса покупателей.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СПИСОК ИСПОЛЬЗОВАННОЙ ЛИТЕРАТУРЫ</w:t>
      </w:r>
    </w:p>
    <w:p w:rsidR="00911361" w:rsidRDefault="00911361" w:rsidP="00BB77E1">
      <w:pPr>
        <w:spacing w:line="240" w:lineRule="auto"/>
        <w:ind w:firstLine="0"/>
        <w:jc w:val="left"/>
        <w:rPr>
          <w:sz w:val="26"/>
          <w:szCs w:val="26"/>
        </w:rPr>
      </w:pPr>
    </w:p>
    <w:p w:rsidR="00911361" w:rsidRDefault="00911361" w:rsidP="00BB77E1">
      <w:pPr>
        <w:numPr>
          <w:ilvl w:val="0"/>
          <w:numId w:val="5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Инновационный процесс в странах развитого капитализма, п.р. Рудаковой И.Е.-М.,1991.</w:t>
      </w:r>
    </w:p>
    <w:p w:rsidR="00911361" w:rsidRDefault="00911361" w:rsidP="00BB77E1">
      <w:pPr>
        <w:numPr>
          <w:ilvl w:val="0"/>
          <w:numId w:val="5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Молчанов Н.Н. Инновационный процесс: организация и маркетинг. Санкт-Петербург., 1995.</w:t>
      </w:r>
    </w:p>
    <w:p w:rsidR="00911361" w:rsidRDefault="00911361" w:rsidP="00BB77E1">
      <w:pPr>
        <w:numPr>
          <w:ilvl w:val="0"/>
          <w:numId w:val="5"/>
        </w:num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Инновационный менеджмент, справочное пособие; Наука, Санкт-Петербург,1997.</w:t>
      </w:r>
      <w:bookmarkStart w:id="0" w:name="_GoBack"/>
      <w:bookmarkEnd w:id="0"/>
    </w:p>
    <w:sectPr w:rsidR="00911361">
      <w:pgSz w:w="11900" w:h="16820"/>
      <w:pgMar w:top="1134" w:right="1410" w:bottom="851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3F9"/>
    <w:multiLevelType w:val="singleLevel"/>
    <w:tmpl w:val="22EC1774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86E2B82"/>
    <w:multiLevelType w:val="singleLevel"/>
    <w:tmpl w:val="C9EC02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CFD2510"/>
    <w:multiLevelType w:val="singleLevel"/>
    <w:tmpl w:val="22EC1774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5DAF4EAD"/>
    <w:multiLevelType w:val="singleLevel"/>
    <w:tmpl w:val="150A7F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6E8B0E06"/>
    <w:multiLevelType w:val="singleLevel"/>
    <w:tmpl w:val="22EC1774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7E1"/>
    <w:rsid w:val="000171BB"/>
    <w:rsid w:val="00085FF3"/>
    <w:rsid w:val="002F53D4"/>
    <w:rsid w:val="00575EDD"/>
    <w:rsid w:val="00642627"/>
    <w:rsid w:val="00911361"/>
    <w:rsid w:val="009C65C8"/>
    <w:rsid w:val="00B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BCE48733-E2D9-4FA6-8C51-AE91BA86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ind w:firstLine="30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hd w:val="clear" w:color="auto" w:fill="FFFFFF"/>
      <w:spacing w:line="240" w:lineRule="auto"/>
      <w:ind w:firstLine="0"/>
      <w:jc w:val="left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line="340" w:lineRule="auto"/>
      <w:ind w:left="1080" w:right="80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R2">
    <w:name w:val="FR2"/>
    <w:uiPriority w:val="99"/>
    <w:pPr>
      <w:widowControl w:val="0"/>
      <w:jc w:val="both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государства в осуществлении инновационной политики</vt:lpstr>
    </vt:vector>
  </TitlesOfParts>
  <Company> 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государства в осуществлении инновационной политики</dc:title>
  <dc:subject/>
  <dc:creator>Vova</dc:creator>
  <cp:keywords/>
  <dc:description/>
  <cp:lastModifiedBy>admin</cp:lastModifiedBy>
  <cp:revision>2</cp:revision>
  <cp:lastPrinted>1999-02-20T12:26:00Z</cp:lastPrinted>
  <dcterms:created xsi:type="dcterms:W3CDTF">2014-04-11T15:39:00Z</dcterms:created>
  <dcterms:modified xsi:type="dcterms:W3CDTF">2014-04-11T15:39:00Z</dcterms:modified>
</cp:coreProperties>
</file>