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18" w:rsidRDefault="00FB6018">
      <w:pPr>
        <w:jc w:val="center"/>
        <w:rPr>
          <w:rFonts w:ascii="PosterBodoni It TL" w:hAnsi="PosterBodoni It TL"/>
          <w:sz w:val="72"/>
        </w:rPr>
      </w:pPr>
    </w:p>
    <w:p w:rsidR="00FB6018" w:rsidRDefault="00FB6018">
      <w:pPr>
        <w:jc w:val="center"/>
        <w:rPr>
          <w:rFonts w:ascii="PosterBodoni It TL" w:hAnsi="PosterBodoni It TL"/>
          <w:sz w:val="72"/>
        </w:rPr>
      </w:pPr>
      <w:r>
        <w:rPr>
          <w:rFonts w:ascii="PosterBodoni It TL" w:hAnsi="PosterBodoni It TL"/>
          <w:sz w:val="72"/>
        </w:rPr>
        <w:t>Līzings.</w:t>
      </w:r>
    </w:p>
    <w:p w:rsidR="00FB6018" w:rsidRDefault="00FB6018">
      <w:pPr>
        <w:jc w:val="both"/>
        <w:rPr>
          <w:rFonts w:ascii="Arial" w:hAnsi="Arial"/>
          <w:sz w:val="28"/>
        </w:rPr>
      </w:pPr>
    </w:p>
    <w:p w:rsidR="00FB6018" w:rsidRDefault="00FB6018">
      <w:pPr>
        <w:jc w:val="both"/>
        <w:rPr>
          <w:rFonts w:ascii="Arial" w:hAnsi="Arial"/>
          <w:sz w:val="28"/>
        </w:rPr>
      </w:pPr>
    </w:p>
    <w:p w:rsidR="00FB6018" w:rsidRDefault="00AB3F78">
      <w:pPr>
        <w:pStyle w:val="a5"/>
      </w:pPr>
      <w:r>
        <w:rPr>
          <w:noProof/>
        </w:rPr>
        <w:pict>
          <v:line id="_x0000_s1029" style="position:absolute;left:0;text-align:left;z-index:251641856" from="442.8pt,3.85pt" to="442.8pt,320.65pt" o:allowincell="f" strokeweight="2.25pt"/>
        </w:pict>
      </w:r>
      <w:r>
        <w:rPr>
          <w:noProof/>
        </w:rPr>
        <w:pict>
          <v:line id="_x0000_s1028" style="position:absolute;left:0;text-align:left;z-index:251640832" from="435.6pt,3.85pt" to="435.6pt,320.65pt" o:allowincell="f" strokeweight="2.25pt"/>
        </w:pict>
      </w:r>
      <w:r>
        <w:rPr>
          <w:noProof/>
        </w:rPr>
        <w:pict>
          <v:line id="_x0000_s1027" style="position:absolute;left:0;text-align:left;z-index:251639808" from="-18pt,3.85pt" to="-18pt,320.65pt" o:allowincell="f" strokeweight="2.25pt"/>
        </w:pict>
      </w:r>
      <w:r>
        <w:rPr>
          <w:noProof/>
        </w:rPr>
        <w:pict>
          <v:line id="_x0000_s1026" style="position:absolute;left:0;text-align:left;flip:x;z-index:251638784" from="-10.8pt,3.85pt" to="-10.8pt,320.65pt" o:allowincell="f" strokeweight="2.25pt"/>
        </w:pict>
      </w:r>
      <w:r w:rsidR="00FB6018">
        <w:t>Līzings(noma):</w:t>
      </w:r>
    </w:p>
    <w:p w:rsidR="00FB6018" w:rsidRDefault="00FB6018">
      <w:pPr>
        <w:numPr>
          <w:ilvl w:val="0"/>
          <w:numId w:val="1"/>
        </w:numPr>
        <w:tabs>
          <w:tab w:val="clear" w:pos="360"/>
          <w:tab w:val="left" w:pos="0"/>
          <w:tab w:val="num" w:pos="180"/>
          <w:tab w:val="left" w:pos="630"/>
        </w:tabs>
        <w:ind w:left="0" w:firstLine="0"/>
        <w:jc w:val="both"/>
        <w:rPr>
          <w:rFonts w:ascii="Arial" w:hAnsi="Arial"/>
          <w:sz w:val="28"/>
        </w:rPr>
      </w:pPr>
      <w:r>
        <w:rPr>
          <w:rFonts w:ascii="Arial" w:hAnsi="Arial"/>
          <w:sz w:val="28"/>
        </w:rPr>
        <w:t>kustamo un nekustamo objektu lietošanas tiesību izmantošana par noteiktu atlīdzību; ražošanas priekšmetu vai iekārtu noma ar vai bez izpirkšanas tiesībām.</w:t>
      </w:r>
      <w:r>
        <w:rPr>
          <w:rStyle w:val="a4"/>
          <w:rFonts w:ascii="Arial" w:hAnsi="Arial"/>
          <w:sz w:val="28"/>
        </w:rPr>
        <w:footnoteReference w:id="1"/>
      </w:r>
    </w:p>
    <w:p w:rsidR="00FB6018" w:rsidRDefault="00FB6018">
      <w:pPr>
        <w:jc w:val="both"/>
        <w:rPr>
          <w:rFonts w:ascii="Arial" w:hAnsi="Arial"/>
          <w:sz w:val="28"/>
        </w:rPr>
      </w:pPr>
    </w:p>
    <w:p w:rsidR="00FB6018" w:rsidRDefault="00FB6018">
      <w:pPr>
        <w:pStyle w:val="a5"/>
      </w:pPr>
      <w:r>
        <w:t>Līzings ir sevišķa kredīta attiecību forma, kura dod iespēju uzņēmējam iegādāties kustamo un nekustamo īpašumu, neizņemot no apgrozības lielas naudas līdzekļu summas investīciju veikšanai.</w:t>
      </w:r>
      <w:r>
        <w:rPr>
          <w:rStyle w:val="a4"/>
        </w:rPr>
        <w:footnoteReference w:id="2"/>
      </w:r>
    </w:p>
    <w:p w:rsidR="00FB6018" w:rsidRDefault="00FB6018">
      <w:pPr>
        <w:jc w:val="both"/>
        <w:rPr>
          <w:rFonts w:ascii="Arial" w:hAnsi="Arial"/>
          <w:sz w:val="28"/>
        </w:rPr>
      </w:pPr>
    </w:p>
    <w:p w:rsidR="00FB6018" w:rsidRDefault="00FB6018">
      <w:pPr>
        <w:pStyle w:val="a6"/>
        <w:ind w:firstLine="270"/>
      </w:pPr>
      <w:r>
        <w:t>Līzings ir finansējuma veids, kura procesā līzinga ņēmējs iegūst līzinga objektu, par kuru ir samaksājis līzinga devējs. Līzinga gaitā līzinga ņēmējs norēķinās ar līzinga devēju par aizdoto naudu (maksā procentus) un atkarībā no līzinga veida maksā mašīnas amortizācijas maksu vai izpirkuma maksu.</w:t>
      </w:r>
      <w:r>
        <w:rPr>
          <w:rStyle w:val="a4"/>
        </w:rPr>
        <w:footnoteReference w:id="3"/>
      </w:r>
    </w:p>
    <w:p w:rsidR="00FB6018" w:rsidRDefault="00FB6018">
      <w:pPr>
        <w:jc w:val="both"/>
        <w:rPr>
          <w:rFonts w:ascii="Arial" w:hAnsi="Arial"/>
          <w:sz w:val="28"/>
        </w:rPr>
      </w:pPr>
    </w:p>
    <w:p w:rsidR="00FB6018" w:rsidRDefault="00FB6018">
      <w:pPr>
        <w:ind w:firstLine="270"/>
        <w:jc w:val="both"/>
        <w:rPr>
          <w:rFonts w:ascii="Arial" w:hAnsi="Arial"/>
          <w:sz w:val="28"/>
        </w:rPr>
      </w:pPr>
      <w:r>
        <w:rPr>
          <w:rFonts w:ascii="Arial" w:hAnsi="Arial"/>
          <w:sz w:val="28"/>
        </w:rPr>
        <w:t xml:space="preserve"> Kas ir līzings un kā tas darbojas. Runājot vienkāršā valodā – jūs aizņematies naudu no kādas līzinga kompānijas un atdodat to veikalam, kurā vēlaties iegādāties kādu preci. Kamēr parāds nav nomaksāts, līzinga objekts ir līzinga kompānijas īpašums, bet tiklīdz tas izdarīts prece ir jūsu.</w:t>
      </w:r>
      <w:r>
        <w:rPr>
          <w:rStyle w:val="a4"/>
          <w:rFonts w:ascii="Arial" w:hAnsi="Arial"/>
          <w:sz w:val="28"/>
        </w:rPr>
        <w:footnoteReference w:id="4"/>
      </w:r>
    </w:p>
    <w:p w:rsidR="00FB6018" w:rsidRDefault="00FB6018">
      <w:pPr>
        <w:ind w:firstLine="270"/>
        <w:jc w:val="both"/>
        <w:rPr>
          <w:rFonts w:ascii="Arial" w:hAnsi="Arial"/>
          <w:sz w:val="28"/>
        </w:rPr>
      </w:pPr>
    </w:p>
    <w:p w:rsidR="00FB6018" w:rsidRDefault="00AB3F78">
      <w:pPr>
        <w:ind w:firstLine="270"/>
        <w:jc w:val="center"/>
        <w:rPr>
          <w:rFonts w:ascii="Arial" w:hAnsi="Arial"/>
          <w:sz w:val="36"/>
        </w:rPr>
      </w:pPr>
      <w:r>
        <w:rPr>
          <w:rFonts w:ascii="Arial" w:hAnsi="Arial"/>
          <w:noProof/>
          <w:sz w:val="28"/>
        </w:rPr>
        <w:pict>
          <v:line id="_x0000_s1032" style="position:absolute;left:0;text-align:left;z-index:251642880" from="-10.8pt,4.2pt" to="435.6pt,4.2pt" o:allowincell="f"/>
        </w:pict>
      </w:r>
    </w:p>
    <w:p w:rsidR="00FB6018" w:rsidRDefault="00FB6018">
      <w:pPr>
        <w:ind w:firstLine="270"/>
        <w:jc w:val="center"/>
        <w:rPr>
          <w:rFonts w:ascii="Arial" w:hAnsi="Arial"/>
          <w:sz w:val="32"/>
        </w:rPr>
      </w:pPr>
      <w:r>
        <w:rPr>
          <w:rFonts w:ascii="Arial" w:hAnsi="Arial"/>
          <w:sz w:val="32"/>
        </w:rPr>
        <w:t>Galvenie ar līzingu saistītie termini.</w:t>
      </w:r>
      <w:r>
        <w:rPr>
          <w:rStyle w:val="a4"/>
          <w:rFonts w:ascii="Arial" w:hAnsi="Arial"/>
          <w:sz w:val="32"/>
        </w:rPr>
        <w:footnoteReference w:customMarkFollows="1" w:id="5"/>
        <w:t>5</w:t>
      </w:r>
    </w:p>
    <w:p w:rsidR="00FB6018" w:rsidRDefault="00FB6018">
      <w:pPr>
        <w:ind w:firstLine="270"/>
        <w:jc w:val="both"/>
        <w:rPr>
          <w:rFonts w:ascii="Arial" w:hAnsi="Arial"/>
          <w:sz w:val="28"/>
        </w:rPr>
      </w:pPr>
    </w:p>
    <w:p w:rsidR="00FB6018" w:rsidRDefault="00FB6018">
      <w:pPr>
        <w:numPr>
          <w:ilvl w:val="0"/>
          <w:numId w:val="12"/>
        </w:numPr>
        <w:jc w:val="both"/>
        <w:rPr>
          <w:rFonts w:ascii="Arial" w:hAnsi="Arial"/>
          <w:sz w:val="28"/>
        </w:rPr>
      </w:pPr>
      <w:r>
        <w:rPr>
          <w:rFonts w:ascii="Arial" w:hAnsi="Arial"/>
          <w:b/>
          <w:sz w:val="24"/>
        </w:rPr>
        <w:t>Līzinga ņēmējs</w:t>
      </w:r>
      <w:r>
        <w:rPr>
          <w:rFonts w:ascii="Arial" w:hAnsi="Arial"/>
          <w:sz w:val="24"/>
        </w:rPr>
        <w:t xml:space="preserve"> ir fiziska vai juridiska persona, kas iegādājas līzinga objektu un maksā ikmēneša maksu kas sastāv no amortizācijas maksas </w:t>
      </w:r>
      <w:r>
        <w:rPr>
          <w:rFonts w:ascii="Arial" w:hAnsi="Arial"/>
          <w:sz w:val="24"/>
        </w:rPr>
        <w:lastRenderedPageBreak/>
        <w:t>(vai izpirkuma maksas), procentiem un citiem maksājumiem (komisijas maksas, papildus maksājumi, soda naudas utt.).</w:t>
      </w:r>
      <w:r>
        <w:rPr>
          <w:rFonts w:ascii="Arial" w:hAnsi="Arial"/>
          <w:sz w:val="28"/>
        </w:rPr>
        <w:t xml:space="preserve"> </w:t>
      </w:r>
    </w:p>
    <w:p w:rsidR="00FB6018" w:rsidRDefault="00FB6018">
      <w:pPr>
        <w:jc w:val="both"/>
        <w:rPr>
          <w:rFonts w:ascii="Arial" w:hAnsi="Arial"/>
          <w:sz w:val="24"/>
        </w:rPr>
      </w:pPr>
      <w:r>
        <w:rPr>
          <w:rFonts w:ascii="Arial" w:hAnsi="Arial"/>
          <w:sz w:val="28"/>
        </w:rPr>
        <w:br/>
      </w:r>
      <w:r>
        <w:rPr>
          <w:rFonts w:ascii="Arial" w:hAnsi="Arial"/>
          <w:sz w:val="24"/>
        </w:rPr>
        <w:t xml:space="preserve">    2. </w:t>
      </w:r>
      <w:r>
        <w:rPr>
          <w:rFonts w:ascii="Arial" w:hAnsi="Arial"/>
          <w:b/>
          <w:sz w:val="24"/>
        </w:rPr>
        <w:t>Līzinga devējs</w:t>
      </w:r>
      <w:r>
        <w:rPr>
          <w:rFonts w:ascii="Arial" w:hAnsi="Arial"/>
          <w:sz w:val="24"/>
        </w:rPr>
        <w:t xml:space="preserve"> ir līzinga kompānija.</w:t>
      </w:r>
    </w:p>
    <w:p w:rsidR="00FB6018" w:rsidRDefault="00FB6018">
      <w:pPr>
        <w:ind w:firstLine="270"/>
        <w:jc w:val="both"/>
        <w:rPr>
          <w:rFonts w:ascii="Arial" w:hAnsi="Arial"/>
          <w:sz w:val="24"/>
        </w:rPr>
      </w:pPr>
      <w:r>
        <w:rPr>
          <w:rFonts w:ascii="Arial" w:hAnsi="Arial"/>
          <w:sz w:val="24"/>
        </w:rPr>
        <w:t xml:space="preserve">3. </w:t>
      </w:r>
      <w:r>
        <w:rPr>
          <w:rFonts w:ascii="Arial" w:hAnsi="Arial"/>
          <w:b/>
          <w:sz w:val="24"/>
        </w:rPr>
        <w:t>Līzinga objekts</w:t>
      </w:r>
      <w:r>
        <w:rPr>
          <w:rFonts w:ascii="Arial" w:hAnsi="Arial"/>
          <w:sz w:val="24"/>
        </w:rPr>
        <w:t xml:space="preserve"> ir tas priekšmets (piemēram mašīna, dzīvoklis, iekārtas u.t.t.), ko līzinga ņēmējs lieto un maksā par to līzinga devējam. </w:t>
      </w:r>
      <w:r>
        <w:rPr>
          <w:rFonts w:ascii="Arial" w:hAnsi="Arial"/>
          <w:sz w:val="24"/>
        </w:rPr>
        <w:br/>
        <w:t xml:space="preserve">    4. </w:t>
      </w:r>
      <w:r>
        <w:rPr>
          <w:rFonts w:ascii="Arial" w:hAnsi="Arial"/>
          <w:b/>
          <w:sz w:val="24"/>
        </w:rPr>
        <w:t>Līzinga maksa</w:t>
      </w:r>
      <w:r>
        <w:rPr>
          <w:rFonts w:ascii="Arial" w:hAnsi="Arial"/>
          <w:sz w:val="24"/>
        </w:rPr>
        <w:t xml:space="preserve"> (tiek saukta arī par nomas maksu, izpirkuma maksu, līzinga maksājumu un tamlīdzīgi) ir maksa, ko līzinga ņēmējs maksā līzinga devējam katru mēnesi (vai ceturksni) un tā sastāv no līzinga objekta izpirkuma maksas, procentiem, komisijas maksas, PVN un, iespējams, citiem maksājumiem. Ir dažādas metodes, kā tiek aprēķināta līzinga maksa, un, atkarībā no tās, līzinga maksa var būt nemainīga visu līzinga periodu vai arī mainîties atkarībā no klienta prasībām. </w:t>
      </w:r>
    </w:p>
    <w:p w:rsidR="00FB6018" w:rsidRDefault="00FB6018">
      <w:pPr>
        <w:ind w:firstLine="270"/>
        <w:jc w:val="both"/>
        <w:rPr>
          <w:rFonts w:ascii="Arial" w:hAnsi="Arial"/>
          <w:sz w:val="24"/>
        </w:rPr>
      </w:pPr>
      <w:r>
        <w:rPr>
          <w:rFonts w:ascii="Arial" w:hAnsi="Arial"/>
          <w:sz w:val="24"/>
        </w:rPr>
        <w:t xml:space="preserve">5. </w:t>
      </w:r>
      <w:r>
        <w:rPr>
          <w:rFonts w:ascii="Arial" w:hAnsi="Arial"/>
          <w:b/>
          <w:sz w:val="24"/>
        </w:rPr>
        <w:t>Līzinga objekta izpirkuma maksa</w:t>
      </w:r>
      <w:r>
        <w:rPr>
          <w:rFonts w:ascii="Arial" w:hAnsi="Arial"/>
          <w:sz w:val="24"/>
        </w:rPr>
        <w:t xml:space="preserve"> ir summa par kuru tiek samazināta līzinga objekta nenomaksātā summa (citiem vārdiem sakot, tā ir līzinga ņēmēja parāda atmaksa līzinga devējam).</w:t>
      </w:r>
    </w:p>
    <w:p w:rsidR="00FB6018" w:rsidRDefault="00FB6018">
      <w:pPr>
        <w:ind w:firstLine="270"/>
        <w:jc w:val="both"/>
        <w:rPr>
          <w:rFonts w:ascii="Arial" w:hAnsi="Arial"/>
          <w:sz w:val="24"/>
        </w:rPr>
      </w:pPr>
      <w:r>
        <w:rPr>
          <w:rFonts w:ascii="Arial" w:hAnsi="Arial"/>
          <w:sz w:val="24"/>
        </w:rPr>
        <w:t xml:space="preserve">6. </w:t>
      </w:r>
      <w:r>
        <w:rPr>
          <w:rFonts w:ascii="Arial" w:hAnsi="Arial"/>
          <w:b/>
          <w:sz w:val="24"/>
        </w:rPr>
        <w:t>Līzinga objekta nenomaksātā summa</w:t>
      </w:r>
      <w:r>
        <w:rPr>
          <w:rFonts w:ascii="Arial" w:hAnsi="Arial"/>
          <w:sz w:val="24"/>
        </w:rPr>
        <w:t xml:space="preserve"> ir tā līzinga objekta daļa, par kuru līzinga ņēmējs vēl nav norēķinājies līzinga devējam (t.i. summa, kuru līzinga ņēmējs vēl ir parādā līzinga devējam). Aprēķināmo procentu lielums ir tieši atkarīgs no šīs summas (jo lielāka summa, jo lielāks procentu maksājums). </w:t>
      </w:r>
    </w:p>
    <w:p w:rsidR="00FB6018" w:rsidRDefault="00FB6018">
      <w:pPr>
        <w:ind w:firstLine="270"/>
        <w:jc w:val="both"/>
        <w:rPr>
          <w:rFonts w:ascii="Arial" w:hAnsi="Arial"/>
          <w:sz w:val="24"/>
        </w:rPr>
      </w:pPr>
      <w:r>
        <w:rPr>
          <w:rFonts w:ascii="Arial" w:hAnsi="Arial"/>
          <w:sz w:val="24"/>
        </w:rPr>
        <w:t xml:space="preserve">7. </w:t>
      </w:r>
      <w:r>
        <w:rPr>
          <w:rFonts w:ascii="Arial" w:hAnsi="Arial"/>
          <w:b/>
          <w:sz w:val="24"/>
        </w:rPr>
        <w:t>Procenti</w:t>
      </w:r>
      <w:r>
        <w:rPr>
          <w:rFonts w:ascii="Arial" w:hAnsi="Arial"/>
          <w:sz w:val="24"/>
        </w:rPr>
        <w:t xml:space="preserve"> tiek aprēķinâti no līzinga objekta nenomaksātās summas par reālo aizdevuma periodu (vairumā gadījumu mēnesi). </w:t>
      </w:r>
    </w:p>
    <w:p w:rsidR="00FB6018" w:rsidRDefault="00FB6018">
      <w:pPr>
        <w:ind w:firstLine="270"/>
        <w:jc w:val="both"/>
        <w:rPr>
          <w:rFonts w:ascii="Arial" w:hAnsi="Arial"/>
          <w:sz w:val="24"/>
        </w:rPr>
      </w:pPr>
      <w:r>
        <w:rPr>
          <w:rFonts w:ascii="Arial" w:hAnsi="Arial"/>
          <w:sz w:val="24"/>
        </w:rPr>
        <w:t xml:space="preserve">8. </w:t>
      </w:r>
      <w:r>
        <w:rPr>
          <w:rFonts w:ascii="Arial" w:hAnsi="Arial"/>
          <w:b/>
          <w:sz w:val="24"/>
        </w:rPr>
        <w:t>Līguma komisijas maksa</w:t>
      </w:r>
      <w:r>
        <w:rPr>
          <w:rFonts w:ascii="Arial" w:hAnsi="Arial"/>
          <w:sz w:val="24"/>
        </w:rPr>
        <w:t xml:space="preserve"> ir komisijas maksa par līzinga līguma sastādīšanu, lietas izskatīšanu un administratīvo procedūru veikšanu. </w:t>
      </w:r>
    </w:p>
    <w:p w:rsidR="00FB6018" w:rsidRDefault="00FB6018">
      <w:pPr>
        <w:pBdr>
          <w:bottom w:val="single" w:sz="6" w:space="11" w:color="auto"/>
        </w:pBdr>
        <w:ind w:firstLine="270"/>
        <w:jc w:val="both"/>
        <w:rPr>
          <w:rFonts w:ascii="Arial" w:hAnsi="Arial"/>
          <w:sz w:val="24"/>
        </w:rPr>
      </w:pPr>
      <w:r>
        <w:rPr>
          <w:rFonts w:ascii="Arial" w:hAnsi="Arial"/>
          <w:sz w:val="24"/>
        </w:rPr>
        <w:t xml:space="preserve">9. </w:t>
      </w:r>
      <w:r>
        <w:rPr>
          <w:rFonts w:ascii="Arial" w:hAnsi="Arial"/>
          <w:b/>
          <w:sz w:val="24"/>
        </w:rPr>
        <w:t>Gada sadārdzinājums</w:t>
      </w:r>
      <w:r>
        <w:rPr>
          <w:rFonts w:ascii="Arial" w:hAnsi="Arial"/>
          <w:sz w:val="24"/>
        </w:rPr>
        <w:t xml:space="preserve"> (reizēm nekorekti saukts arī par līzinga procentu, kaut gan līzinga procenti pēc būtības ne ar ko neatšķiras no parastiem kredītprocentiem) ir procentuāli izteikta summa, ko līzinga ņēmējs pārmaksā par līzinga objektu, t.i. 5% gada sadārdzinājums nozīmē, ka līzinga ņēmējs katru gadu pārmaksās 5% no sākotnējās līzinga (aizdevuma) summas.</w:t>
      </w:r>
    </w:p>
    <w:p w:rsidR="00FB6018" w:rsidRDefault="00FB6018">
      <w:pPr>
        <w:ind w:firstLine="270"/>
        <w:jc w:val="both"/>
        <w:rPr>
          <w:rFonts w:ascii="Arial" w:hAnsi="Arial"/>
          <w:sz w:val="28"/>
        </w:rPr>
      </w:pPr>
    </w:p>
    <w:p w:rsidR="00FB6018" w:rsidRDefault="00FB6018">
      <w:pPr>
        <w:ind w:firstLine="270"/>
        <w:jc w:val="both"/>
        <w:rPr>
          <w:rFonts w:ascii="Arial" w:hAnsi="Arial"/>
          <w:sz w:val="28"/>
        </w:rPr>
      </w:pPr>
      <w:r>
        <w:rPr>
          <w:rFonts w:ascii="Arial" w:hAnsi="Arial"/>
          <w:sz w:val="28"/>
        </w:rPr>
        <w:t>Līzinga devējs iegādājas ražošanas līdzekļus (iekārtas, darba galdus, mašīnas utt.) un tos iznomā nosakot nomas maksu vai procentu likmi. Pastāv dažādi līzinga veidi:</w:t>
      </w:r>
    </w:p>
    <w:p w:rsidR="00FB6018" w:rsidRDefault="00FB6018">
      <w:pPr>
        <w:numPr>
          <w:ilvl w:val="0"/>
          <w:numId w:val="13"/>
        </w:numPr>
        <w:tabs>
          <w:tab w:val="left" w:pos="540"/>
        </w:tabs>
        <w:jc w:val="both"/>
        <w:rPr>
          <w:rFonts w:ascii="Arial" w:hAnsi="Arial"/>
          <w:sz w:val="28"/>
        </w:rPr>
      </w:pPr>
      <w:r>
        <w:rPr>
          <w:rFonts w:ascii="Arial" w:hAnsi="Arial"/>
          <w:sz w:val="28"/>
        </w:rPr>
        <w:t xml:space="preserve">Visbiežāk sastopamais ir </w:t>
      </w:r>
      <w:r>
        <w:rPr>
          <w:rFonts w:ascii="Arial" w:hAnsi="Arial"/>
          <w:b/>
          <w:sz w:val="28"/>
        </w:rPr>
        <w:t>operatīvais līzings</w:t>
      </w:r>
      <w:r>
        <w:rPr>
          <w:rFonts w:ascii="Arial" w:hAnsi="Arial"/>
          <w:sz w:val="28"/>
        </w:rPr>
        <w:t>, kad tiek iznomātas iekārtas dažādu vienreizēju darbu izpildei. Pēc darbu izpildīšanas, bet ne vēlāk kā pēc gada, iekārtas lietotājs to atdod līzinga devējam. Savukārt banka atkal šo iekārtu iznomā nākamajam lietotājam.</w:t>
      </w:r>
    </w:p>
    <w:p w:rsidR="00FB6018" w:rsidRDefault="00FB6018">
      <w:pPr>
        <w:numPr>
          <w:ilvl w:val="0"/>
          <w:numId w:val="14"/>
        </w:numPr>
        <w:tabs>
          <w:tab w:val="left" w:pos="540"/>
        </w:tabs>
        <w:jc w:val="both"/>
        <w:rPr>
          <w:rFonts w:ascii="Arial" w:hAnsi="Arial"/>
          <w:sz w:val="28"/>
        </w:rPr>
      </w:pPr>
      <w:r>
        <w:rPr>
          <w:rFonts w:ascii="Arial" w:hAnsi="Arial"/>
          <w:b/>
          <w:sz w:val="28"/>
        </w:rPr>
        <w:t xml:space="preserve">Finansiālais līzings </w:t>
      </w:r>
      <w:r>
        <w:rPr>
          <w:rFonts w:ascii="Arial" w:hAnsi="Arial"/>
          <w:sz w:val="28"/>
        </w:rPr>
        <w:t>pēc savas būtības ir līdzīgs nomai ar izpirkšanas tiesībām. Līzinga devējs (banka vai līzinga kompānija) nopirktos līzinga objektu nodod līzinga ņēmējam uz vairākiem gadiem ar tiesībām to iegādāties savā īpašumā, samaksājot šī līzinga objekta vērtību.</w:t>
      </w:r>
    </w:p>
    <w:p w:rsidR="00FB6018" w:rsidRDefault="00FB6018">
      <w:pPr>
        <w:pStyle w:val="a6"/>
        <w:ind w:firstLine="270"/>
      </w:pPr>
      <w:r>
        <w:t>Galvenā atšķirība starp līzingu un nomu ir tā, ka, nomājot kādu ražošanas līdzekli ar izpirkšanas tiesībām, uzņēmums uzreiz kļūst par tā īpašnieku, kad izdara pirmo iemaksu. Turpretim līzinga darījumā uzņēmums kļūst par tā īpašnieku tikai tad, kad ražošanas līdzekļu vērtība ir pilnīgi samaksāta.</w:t>
      </w:r>
    </w:p>
    <w:p w:rsidR="00FB6018" w:rsidRDefault="00FB6018">
      <w:pPr>
        <w:pStyle w:val="a6"/>
        <w:ind w:firstLine="270"/>
      </w:pPr>
      <w:r>
        <w:t xml:space="preserve">Finansiālā līzinga izmantošanai ir ļoti svarīga nozīme apstākļos, kad uzņēmumiem jāiegādājas dārgas ražošanas iekārtas, bet šim mērķim nepietiek naudas līdzekļu. Taču nav iespējams aizņemties naudu bankā, jo par kredītu ir noteiktas ļoti augstas procentu likmes. Turpretī līzinga  procentu likme ir zemāka. </w:t>
      </w:r>
    </w:p>
    <w:p w:rsidR="00FB6018" w:rsidRDefault="00FB6018">
      <w:pPr>
        <w:pStyle w:val="a6"/>
        <w:ind w:firstLine="270"/>
      </w:pPr>
      <w:r>
        <w:t>Līzinga darījuma noslēgšanas kārtība.</w:t>
      </w:r>
    </w:p>
    <w:p w:rsidR="00FB6018" w:rsidRDefault="00FB6018">
      <w:pPr>
        <w:pStyle w:val="a6"/>
        <w:numPr>
          <w:ilvl w:val="0"/>
          <w:numId w:val="5"/>
        </w:numPr>
      </w:pPr>
      <w:r>
        <w:t>Līzinga ņēmējs – fiziska persona – iesniedz līzinga devējam pilnīgi un pašrocīgi aizpildītu līzinga ņēmēja deklarāciju un pieteikumu līzinga operācijas veikšanai, pases kopiju.</w:t>
      </w:r>
    </w:p>
    <w:p w:rsidR="00FB6018" w:rsidRDefault="00FB6018">
      <w:pPr>
        <w:pStyle w:val="a6"/>
        <w:numPr>
          <w:ilvl w:val="0"/>
          <w:numId w:val="5"/>
        </w:numPr>
      </w:pPr>
      <w:r>
        <w:t>Līzinga ņēmējs – juridiska persona – iesniedz līzinga kompānijai aizpildītu iesniegumu, reģistrācijas apliecību, sabiedrības statūtus, biznesa plānu, bilanci, pamatlīdzekļu atšifrējumu, peļņas un zaudējumu aprēķinu, audita pārbaudes rezultātus, kreditoru un debitoru sarakstu, kā arī pilnsapulces lēmumu, ar kuru konkrētais pārstāvis tiek pilnvarots slēgt līzinga darījumu.</w:t>
      </w:r>
    </w:p>
    <w:p w:rsidR="00FB6018" w:rsidRDefault="00FB6018">
      <w:pPr>
        <w:pStyle w:val="a6"/>
        <w:numPr>
          <w:ilvl w:val="0"/>
          <w:numId w:val="5"/>
        </w:numPr>
      </w:pPr>
      <w:r>
        <w:t>Līzinga kompānija 1-2 dienu laikā pārbauda iesniegtos dokumentus, izskata un pieņem lēmumu par darījuma noteikumiem: līzinga termiņš, līzinga ņēmēja pirmā iemaksa, procentu likme. Gadījumos, kad klienta deklarācijā (juridiskai personai – uzņēmuma bilancē) redzamas parāda saistības vai nestabils finansiālais stāvoklis, līzinga kompānija var lūgt klientu sagatavot un iesniegt papildu dokumentus darījuma nodrošināšanai, kas var izpausties kā galvojums vai ķīla. Par galvotāju var būt jebkura fiziska vai juridiska persona, kurai ir atbilstoši aktīvi (kustamais vai nekustamais īpašums, noguldījumi).</w:t>
      </w:r>
    </w:p>
    <w:p w:rsidR="00FB6018" w:rsidRDefault="00FB6018">
      <w:pPr>
        <w:pStyle w:val="a6"/>
        <w:numPr>
          <w:ilvl w:val="0"/>
          <w:numId w:val="5"/>
        </w:numPr>
      </w:pPr>
      <w:r>
        <w:t>Ja darījuma noteikumi klientam ir pieņemami, puses noslēdz līzinga līgumu.</w:t>
      </w:r>
    </w:p>
    <w:p w:rsidR="00FB6018" w:rsidRDefault="00FB6018">
      <w:pPr>
        <w:pStyle w:val="a6"/>
        <w:numPr>
          <w:ilvl w:val="0"/>
          <w:numId w:val="5"/>
        </w:numPr>
      </w:pPr>
      <w:r>
        <w:t>Līguma slēgšanas dienā tiek veikta pirmā iemaksa.</w:t>
      </w:r>
    </w:p>
    <w:p w:rsidR="00FB6018" w:rsidRDefault="00FB6018">
      <w:pPr>
        <w:pStyle w:val="a6"/>
        <w:numPr>
          <w:ilvl w:val="0"/>
          <w:numId w:val="5"/>
        </w:numPr>
      </w:pPr>
      <w:r>
        <w:t>Pēc pirmās iemaksas veikšanas banka vienas dienas laikā ar līzinga objekta pārdevēju slēdz pirkuma – pārdevuma līgumu, saskaņā ar kuru apmaksā līzinga objekta vērtību un nodošanu līzinga ņēmējam ekspluatācijā pēc pieņemšanas – nodošanas akta parakstīšanas.</w:t>
      </w:r>
    </w:p>
    <w:p w:rsidR="00FB6018" w:rsidRDefault="00FB6018">
      <w:pPr>
        <w:pStyle w:val="a6"/>
        <w:ind w:firstLine="270"/>
      </w:pPr>
      <w:r>
        <w:t>Līzings atšķirībā no naudas kredīta ir mazāk riskants. Naudas aizdevuma izsniegšanai ir nepieciešams kredīta nodrošinājums, garantijas, kuru vērtība pārsniedz saņemtās naudas summu. Turpretī līzings nozīmē, ka tiek aizdots līzinga objekts, kas ir bankas īpašums: tātad tas vienlaikus ir arī kredīta nodrošinājums. Ja kādu apstākļu dēļ līzinga ņēmējs nevarēs atdot līzinga kompānijai aizdevumu, līzinga kompānijas īpašumā paliek līzinga objekts. Tāpēc arī līzinga procentu likme tiek noteikta daudz zemāka kā par naudas aizdevuma procentu likmi.</w:t>
      </w:r>
    </w:p>
    <w:p w:rsidR="00FB6018" w:rsidRDefault="00FB6018">
      <w:pPr>
        <w:pStyle w:val="a6"/>
        <w:ind w:firstLine="270"/>
      </w:pPr>
      <w:r>
        <w:t>Tādējādi līzings ir ļoti izdevīgs, jo tas ir lētāks.</w:t>
      </w:r>
    </w:p>
    <w:p w:rsidR="00FB6018" w:rsidRDefault="00FB6018">
      <w:pPr>
        <w:pStyle w:val="a6"/>
        <w:ind w:firstLine="270"/>
        <w:rPr>
          <w:sz w:val="24"/>
        </w:rPr>
      </w:pPr>
    </w:p>
    <w:p w:rsidR="00FB6018" w:rsidRDefault="00FB6018">
      <w:pPr>
        <w:pStyle w:val="a6"/>
        <w:ind w:firstLine="270"/>
        <w:jc w:val="center"/>
        <w:rPr>
          <w:b/>
          <w:sz w:val="32"/>
        </w:rPr>
      </w:pPr>
      <w:r>
        <w:rPr>
          <w:b/>
          <w:sz w:val="32"/>
        </w:rPr>
        <w:t>Līzinga līgums.</w:t>
      </w:r>
    </w:p>
    <w:p w:rsidR="00FB6018" w:rsidRDefault="00FB6018">
      <w:pPr>
        <w:pStyle w:val="a6"/>
        <w:ind w:firstLine="270"/>
      </w:pPr>
      <w:r>
        <w:t>Līzinga norises shēma no kontakta nodibināšanas līdz līguma noslēgšanai</w:t>
      </w:r>
    </w:p>
    <w:p w:rsidR="00FB6018" w:rsidRDefault="00FB6018">
      <w:pPr>
        <w:pStyle w:val="a6"/>
        <w:ind w:firstLine="270"/>
        <w:rPr>
          <w:b/>
        </w:rPr>
      </w:pPr>
    </w:p>
    <w:p w:rsidR="00FB6018" w:rsidRDefault="00AB3F78">
      <w:pPr>
        <w:pStyle w:val="a6"/>
        <w:ind w:firstLine="270"/>
        <w:rPr>
          <w:b/>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9.6pt;margin-top:6.95pt;width:100.8pt;height:64.8pt;z-index:251643904" o:allowincell="f">
            <v:textbox style="mso-next-textbox:#_x0000_s1033">
              <w:txbxContent>
                <w:p w:rsidR="00FB6018" w:rsidRDefault="00FB6018"/>
                <w:p w:rsidR="00FB6018" w:rsidRDefault="00FB6018">
                  <w:pPr>
                    <w:pStyle w:val="2"/>
                    <w:jc w:val="center"/>
                    <w:rPr>
                      <w:b/>
                    </w:rPr>
                  </w:pPr>
                  <w:r>
                    <w:rPr>
                      <w:b/>
                    </w:rPr>
                    <w:t>LĪZINGA</w:t>
                  </w:r>
                </w:p>
                <w:p w:rsidR="00FB6018" w:rsidRDefault="00FB6018">
                  <w:pPr>
                    <w:pStyle w:val="20"/>
                  </w:pPr>
                  <w:r>
                    <w:t>KOMPĀNIJA</w:t>
                  </w:r>
                </w:p>
                <w:p w:rsidR="00FB6018" w:rsidRDefault="00FB6018">
                  <w:pPr>
                    <w:jc w:val="center"/>
                    <w:rPr>
                      <w:rFonts w:ascii="Arial" w:hAnsi="Arial"/>
                      <w:sz w:val="28"/>
                    </w:rPr>
                  </w:pPr>
                </w:p>
              </w:txbxContent>
            </v:textbox>
          </v:shape>
        </w:pict>
      </w:r>
      <w:r>
        <w:rPr>
          <w:noProof/>
          <w:sz w:val="24"/>
        </w:rPr>
        <w:pict>
          <v:shape id="_x0000_s1034" type="#_x0000_t202" style="position:absolute;left:0;text-align:left;margin-left:320.4pt;margin-top:6.95pt;width:79.2pt;height:64.8pt;z-index:251644928" o:allowincell="f">
            <v:textbox style="mso-next-textbox:#_x0000_s1034">
              <w:txbxContent>
                <w:p w:rsidR="00FB6018" w:rsidRDefault="00FB6018"/>
                <w:p w:rsidR="00FB6018" w:rsidRDefault="00FB6018">
                  <w:pPr>
                    <w:pStyle w:val="3"/>
                    <w:rPr>
                      <w:b/>
                    </w:rPr>
                  </w:pPr>
                  <w:r>
                    <w:rPr>
                      <w:b/>
                    </w:rPr>
                    <w:t>LĪZINGA</w:t>
                  </w:r>
                </w:p>
                <w:p w:rsidR="00FB6018" w:rsidRDefault="00FB6018">
                  <w:pPr>
                    <w:jc w:val="center"/>
                    <w:rPr>
                      <w:rFonts w:ascii="Arial" w:hAnsi="Arial"/>
                      <w:sz w:val="28"/>
                    </w:rPr>
                  </w:pPr>
                  <w:r>
                    <w:rPr>
                      <w:rFonts w:ascii="Arial" w:hAnsi="Arial"/>
                      <w:b/>
                      <w:sz w:val="28"/>
                    </w:rPr>
                    <w:t>ŅĒMĒJS</w:t>
                  </w:r>
                </w:p>
              </w:txbxContent>
            </v:textbox>
          </v:shape>
        </w:pict>
      </w:r>
    </w:p>
    <w:p w:rsidR="00FB6018" w:rsidRDefault="00AB3F78">
      <w:pPr>
        <w:pStyle w:val="a6"/>
        <w:ind w:firstLine="270"/>
        <w:jc w:val="center"/>
        <w:rPr>
          <w:sz w:val="24"/>
        </w:rPr>
      </w:pPr>
      <w:r>
        <w:rPr>
          <w:noProof/>
          <w:sz w:val="24"/>
        </w:rPr>
        <w:pict>
          <v:line id="_x0000_s1038" style="position:absolute;left:0;text-align:left;flip:y;z-index:251646976" from="298.8pt,7.8pt" to="320.4pt,7.8pt" o:allowincell="f">
            <v:stroke endarrow="classic" endarrowlength="long"/>
          </v:line>
        </w:pict>
      </w:r>
      <w:r>
        <w:rPr>
          <w:noProof/>
          <w:sz w:val="24"/>
        </w:rPr>
        <w:pict>
          <v:line id="_x0000_s1037" style="position:absolute;left:0;text-align:left;flip:x y;z-index:251645952" from="140.4pt,7.8pt" to="162pt,7.8pt" o:allowincell="f">
            <v:stroke endarrow="classic" endarrowlength="long"/>
          </v:line>
        </w:pict>
      </w:r>
      <w:r w:rsidR="00FB6018">
        <w:rPr>
          <w:sz w:val="24"/>
        </w:rPr>
        <w:t xml:space="preserve">     Kontaktu nodibināšana</w:t>
      </w:r>
    </w:p>
    <w:p w:rsidR="00FB6018" w:rsidRDefault="00AB3F78">
      <w:pPr>
        <w:pStyle w:val="a6"/>
        <w:ind w:firstLine="270"/>
        <w:jc w:val="center"/>
        <w:rPr>
          <w:sz w:val="24"/>
        </w:rPr>
      </w:pPr>
      <w:r>
        <w:rPr>
          <w:noProof/>
          <w:sz w:val="24"/>
        </w:rPr>
        <w:pict>
          <v:line id="_x0000_s1040" style="position:absolute;left:0;text-align:left;z-index:251649024" from="284.4pt,5.85pt" to="320.4pt,5.85pt" o:allowincell="f">
            <v:stroke endarrow="classic" endarrowlength="long"/>
          </v:line>
        </w:pict>
      </w:r>
      <w:r>
        <w:rPr>
          <w:noProof/>
          <w:sz w:val="24"/>
        </w:rPr>
        <w:pict>
          <v:line id="_x0000_s1068" style="position:absolute;left:0;text-align:left;flip:y;z-index:251675648" from="18pt,13.05pt" to="18pt,56.25pt" o:allowincell="f"/>
        </w:pict>
      </w:r>
      <w:r>
        <w:rPr>
          <w:noProof/>
          <w:sz w:val="24"/>
        </w:rPr>
        <w:pict>
          <v:line id="_x0000_s1069" style="position:absolute;left:0;text-align:left;z-index:251676672" from="18pt,13.05pt" to="39.6pt,13.05pt" o:allowincell="f">
            <v:stroke endarrow="classic" endarrowlength="long"/>
          </v:line>
        </w:pict>
      </w:r>
      <w:r>
        <w:rPr>
          <w:noProof/>
          <w:sz w:val="24"/>
        </w:rPr>
        <w:pict>
          <v:line id="_x0000_s1039" style="position:absolute;left:0;text-align:left;flip:x;z-index:251648000" from="140.4pt,5.85pt" to="169.2pt,5.85pt" o:allowincell="f">
            <v:stroke endarrow="classic" endarrowlength="long"/>
          </v:line>
        </w:pict>
      </w:r>
      <w:r>
        <w:rPr>
          <w:noProof/>
          <w:sz w:val="24"/>
        </w:rPr>
        <w:pict>
          <v:line id="_x0000_s1058" style="position:absolute;left:0;text-align:left;flip:y;z-index:251665408" from="421.2pt,5.85pt" to="421.2pt,56.25pt" o:allowincell="f"/>
        </w:pict>
      </w:r>
      <w:r>
        <w:rPr>
          <w:noProof/>
          <w:sz w:val="24"/>
        </w:rPr>
        <w:pict>
          <v:line id="_x0000_s1059" style="position:absolute;left:0;text-align:left;flip:x;z-index:251666432" from="399.6pt,5.85pt" to="421.2pt,5.85pt" o:allowincell="f"/>
        </w:pict>
      </w:r>
      <w:r w:rsidR="00FB6018">
        <w:rPr>
          <w:sz w:val="24"/>
        </w:rPr>
        <w:t xml:space="preserve">   Nomas priekšlikumi                                                 </w:t>
      </w:r>
    </w:p>
    <w:p w:rsidR="00FB6018" w:rsidRDefault="00AB3F78">
      <w:pPr>
        <w:pStyle w:val="a6"/>
        <w:ind w:firstLine="270"/>
        <w:jc w:val="center"/>
      </w:pPr>
      <w:r>
        <w:rPr>
          <w:noProof/>
          <w:sz w:val="24"/>
        </w:rPr>
        <w:pict>
          <v:line id="_x0000_s1042" style="position:absolute;left:0;text-align:left;z-index:251651072" from="270pt,6.45pt" to="320.4pt,6.45pt" o:allowincell="f">
            <v:stroke endarrow="classic" endarrowlength="long"/>
          </v:line>
        </w:pict>
      </w:r>
      <w:r>
        <w:rPr>
          <w:noProof/>
          <w:sz w:val="24"/>
        </w:rPr>
        <w:pict>
          <v:line id="_x0000_s1041" style="position:absolute;left:0;text-align:left;flip:x;z-index:251650048" from="140.4pt,6.45pt" to="183.6pt,6.45pt" o:allowincell="f">
            <v:stroke endarrow="classic" endarrowlength="long"/>
          </v:line>
        </w:pict>
      </w:r>
      <w:r w:rsidR="00FB6018">
        <w:rPr>
          <w:sz w:val="24"/>
        </w:rPr>
        <w:t xml:space="preserve">   Pieņemšana</w:t>
      </w:r>
      <w:r w:rsidR="00FB6018">
        <w:t xml:space="preserve"> </w:t>
      </w:r>
    </w:p>
    <w:p w:rsidR="00FB6018" w:rsidRDefault="00AB3F78">
      <w:pPr>
        <w:ind w:firstLine="270"/>
        <w:jc w:val="both"/>
        <w:rPr>
          <w:rFonts w:ascii="Arial" w:hAnsi="Arial"/>
          <w:sz w:val="28"/>
        </w:rPr>
      </w:pPr>
      <w:r>
        <w:rPr>
          <w:rFonts w:ascii="Arial" w:hAnsi="Arial"/>
          <w:noProof/>
          <w:sz w:val="28"/>
        </w:rPr>
        <w:pict>
          <v:line id="_x0000_s1047" style="position:absolute;left:0;text-align:left;z-index:251656192" from="140.4pt,7.05pt" to="234pt,7.05pt" o:allowincell="f">
            <v:stroke startarrow="classic" startarrowlength="long"/>
          </v:line>
        </w:pict>
      </w:r>
      <w:r>
        <w:rPr>
          <w:rFonts w:ascii="Arial" w:hAnsi="Arial"/>
          <w:noProof/>
          <w:sz w:val="28"/>
        </w:rPr>
        <w:pict>
          <v:line id="_x0000_s1055" style="position:absolute;left:0;text-align:left;flip:y;z-index:251662336" from="356.4pt,14.25pt" to="356.4pt,107.85pt" o:allowincell="f">
            <v:stroke endarrow="classic" endarrowlength="long"/>
          </v:line>
        </w:pict>
      </w:r>
      <w:r>
        <w:rPr>
          <w:rFonts w:ascii="Arial" w:hAnsi="Arial"/>
          <w:noProof/>
          <w:sz w:val="28"/>
        </w:rPr>
        <w:pict>
          <v:line id="_x0000_s1054" style="position:absolute;left:0;text-align:left;flip:y;z-index:251661312" from="334.8pt,14.25pt" to="334.8pt,50.25pt" o:allowincell="f"/>
        </w:pict>
      </w:r>
      <w:r>
        <w:rPr>
          <w:rFonts w:ascii="Arial" w:hAnsi="Arial"/>
          <w:noProof/>
          <w:sz w:val="28"/>
        </w:rPr>
        <w:pict>
          <v:line id="_x0000_s1048" style="position:absolute;left:0;text-align:left;z-index:251657216" from="234pt,7.05pt" to="234pt,107.85pt" o:allowincell="f">
            <v:stroke endarrow="classic" endarrowlength="long"/>
          </v:line>
        </w:pict>
      </w:r>
      <w:r>
        <w:rPr>
          <w:rFonts w:ascii="Arial" w:hAnsi="Arial"/>
          <w:noProof/>
          <w:sz w:val="28"/>
        </w:rPr>
        <w:pict>
          <v:line id="_x0000_s1050" style="position:absolute;left:0;text-align:left;z-index:251658240" from="118.8pt,14.25pt" to="118.8pt,35.85pt" o:allowincell="f"/>
        </w:pict>
      </w:r>
    </w:p>
    <w:p w:rsidR="00FB6018" w:rsidRDefault="00FB6018">
      <w:pPr>
        <w:ind w:firstLine="270"/>
        <w:jc w:val="both"/>
        <w:rPr>
          <w:rFonts w:ascii="Arial" w:hAnsi="Arial"/>
          <w:sz w:val="28"/>
        </w:rPr>
      </w:pPr>
    </w:p>
    <w:p w:rsidR="00FB6018" w:rsidRDefault="00AB3F78">
      <w:pPr>
        <w:pStyle w:val="4"/>
      </w:pPr>
      <w:r>
        <w:rPr>
          <w:noProof/>
        </w:rPr>
        <w:pict>
          <v:shape id="_x0000_s1043" type="#_x0000_t202" style="position:absolute;left:0;text-align:left;margin-left:68.4pt;margin-top:3.65pt;width:151.2pt;height:57.6pt;z-index:251652096" o:allowincell="f">
            <v:textbox style="mso-next-textbox:#_x0000_s1043">
              <w:txbxContent>
                <w:p w:rsidR="00FB6018" w:rsidRDefault="00FB6018">
                  <w:pPr>
                    <w:pStyle w:val="30"/>
                  </w:pPr>
                  <w:r>
                    <w:t>RĒĶINA SAMAKSA RAŽOTĀJAM VAI PIEGĀDĀTĀJAM</w:t>
                  </w:r>
                </w:p>
              </w:txbxContent>
            </v:textbox>
          </v:shape>
        </w:pict>
      </w:r>
      <w:r w:rsidR="00FB6018">
        <w:t>N                                                                                                     N</w:t>
      </w:r>
    </w:p>
    <w:p w:rsidR="00FB6018" w:rsidRDefault="00AB3F78">
      <w:pPr>
        <w:pStyle w:val="4"/>
      </w:pPr>
      <w:r>
        <w:rPr>
          <w:noProof/>
        </w:rPr>
        <w:pict>
          <v:line id="_x0000_s1053" style="position:absolute;left:0;text-align:left;z-index:251660288" from="255.6pt,1.95pt" to="334.8pt,1.95pt" o:allowincell="f"/>
        </w:pict>
      </w:r>
      <w:r>
        <w:rPr>
          <w:noProof/>
        </w:rPr>
        <w:pict>
          <v:line id="_x0000_s1052" style="position:absolute;left:0;text-align:left;z-index:251659264" from="255.6pt,1.95pt" to="255.6pt,59.55pt" o:allowincell="f">
            <v:stroke endarrow="classic" endarrowlength="long"/>
          </v:line>
        </w:pict>
      </w:r>
      <w:r w:rsidR="00FB6018">
        <w:t>O                                                                                                     O</w:t>
      </w:r>
    </w:p>
    <w:p w:rsidR="00FB6018" w:rsidRDefault="00FB6018">
      <w:pPr>
        <w:pStyle w:val="4"/>
      </w:pPr>
      <w:r>
        <w:t xml:space="preserve">M                                                                                                     M       </w:t>
      </w:r>
    </w:p>
    <w:p w:rsidR="00FB6018" w:rsidRDefault="00FB6018">
      <w:pPr>
        <w:pStyle w:val="4"/>
      </w:pPr>
      <w:r>
        <w:t>A                                                                                                     A</w:t>
      </w:r>
    </w:p>
    <w:p w:rsidR="00FB6018" w:rsidRDefault="00AB3F78">
      <w:pPr>
        <w:ind w:firstLine="270"/>
        <w:jc w:val="both"/>
        <w:rPr>
          <w:rFonts w:ascii="Arial" w:hAnsi="Arial"/>
          <w:sz w:val="28"/>
        </w:rPr>
      </w:pPr>
      <w:r>
        <w:rPr>
          <w:noProof/>
        </w:rPr>
        <w:pict>
          <v:line id="_x0000_s1067" style="position:absolute;left:0;text-align:left;z-index:251674624" from="18pt,4.05pt" to="18pt,90.45pt" o:allowincell="f"/>
        </w:pict>
      </w:r>
      <w:r>
        <w:rPr>
          <w:rFonts w:ascii="Arial" w:hAnsi="Arial"/>
          <w:noProof/>
          <w:sz w:val="28"/>
        </w:rPr>
        <w:pict>
          <v:line id="_x0000_s1060" style="position:absolute;left:0;text-align:left;z-index:251667456" from="421.2pt,4.05pt" to="421.2pt,90.45pt" o:allowincell="f"/>
        </w:pict>
      </w:r>
      <w:r>
        <w:rPr>
          <w:rFonts w:ascii="Arial" w:hAnsi="Arial"/>
          <w:noProof/>
          <w:sz w:val="28"/>
        </w:rPr>
        <w:pict>
          <v:shape id="_x0000_s1046" type="#_x0000_t202" style="position:absolute;left:0;text-align:left;margin-left:291.6pt;margin-top:11.25pt;width:115.2pt;height:57.6pt;z-index:251655168" o:allowincell="f">
            <v:textbox style="mso-next-textbox:#_x0000_s1046">
              <w:txbxContent>
                <w:p w:rsidR="00FB6018" w:rsidRDefault="00FB6018">
                  <w:pPr>
                    <w:jc w:val="center"/>
                    <w:rPr>
                      <w:rFonts w:ascii="Arial" w:hAnsi="Arial"/>
                      <w:b/>
                      <w:sz w:val="28"/>
                    </w:rPr>
                  </w:pPr>
                  <w:r>
                    <w:rPr>
                      <w:rFonts w:ascii="Arial" w:hAnsi="Arial"/>
                      <w:b/>
                      <w:sz w:val="28"/>
                    </w:rPr>
                    <w:t>NOMAS OBJEKTA PIEGĀDĀTĀJS</w:t>
                  </w:r>
                </w:p>
              </w:txbxContent>
            </v:textbox>
          </v:shape>
        </w:pict>
      </w:r>
      <w:r>
        <w:rPr>
          <w:rFonts w:ascii="Arial" w:hAnsi="Arial"/>
          <w:noProof/>
          <w:sz w:val="28"/>
        </w:rPr>
        <w:pict>
          <v:shape id="_x0000_s1045" type="#_x0000_t202" style="position:absolute;left:0;text-align:left;margin-left:190.8pt;margin-top:11.25pt;width:79.2pt;height:43.2pt;z-index:251654144" o:allowincell="f">
            <v:textbox style="mso-next-textbox:#_x0000_s1045">
              <w:txbxContent>
                <w:p w:rsidR="00FB6018" w:rsidRDefault="00FB6018">
                  <w:pPr>
                    <w:pStyle w:val="30"/>
                  </w:pPr>
                  <w:r>
                    <w:t>LĪZINGA LĪGUMS</w:t>
                  </w:r>
                </w:p>
              </w:txbxContent>
            </v:textbox>
          </v:shape>
        </w:pict>
      </w:r>
      <w:r>
        <w:rPr>
          <w:rFonts w:ascii="Arial" w:hAnsi="Arial"/>
          <w:noProof/>
          <w:sz w:val="28"/>
        </w:rPr>
        <w:pict>
          <v:shape id="_x0000_s1044" type="#_x0000_t202" style="position:absolute;left:0;text-align:left;margin-left:39.6pt;margin-top:11.25pt;width:108pt;height:57.6pt;z-index:251653120" o:allowincell="f">
            <v:textbox style="mso-next-textbox:#_x0000_s1044">
              <w:txbxContent>
                <w:p w:rsidR="00FB6018" w:rsidRDefault="00FB6018">
                  <w:pPr>
                    <w:jc w:val="center"/>
                    <w:rPr>
                      <w:rFonts w:ascii="Arial" w:hAnsi="Arial"/>
                      <w:b/>
                      <w:sz w:val="28"/>
                    </w:rPr>
                  </w:pPr>
                  <w:r>
                    <w:rPr>
                      <w:rFonts w:ascii="Arial" w:hAnsi="Arial"/>
                      <w:b/>
                      <w:sz w:val="28"/>
                    </w:rPr>
                    <w:t>NOMAS OBJEKTA PASŪTĪJUMS</w:t>
                  </w:r>
                </w:p>
              </w:txbxContent>
            </v:textbox>
          </v:shape>
        </w:pict>
      </w:r>
    </w:p>
    <w:p w:rsidR="00FB6018" w:rsidRDefault="00FB6018">
      <w:pPr>
        <w:ind w:firstLine="270"/>
        <w:jc w:val="both"/>
        <w:rPr>
          <w:rFonts w:ascii="Arial" w:hAnsi="Arial"/>
          <w:sz w:val="28"/>
        </w:rPr>
      </w:pPr>
    </w:p>
    <w:p w:rsidR="00FB6018" w:rsidRDefault="00AB3F78">
      <w:pPr>
        <w:ind w:firstLine="270"/>
        <w:jc w:val="both"/>
        <w:rPr>
          <w:rFonts w:ascii="Arial" w:hAnsi="Arial"/>
          <w:sz w:val="28"/>
        </w:rPr>
      </w:pPr>
      <w:r>
        <w:rPr>
          <w:rFonts w:ascii="Arial" w:hAnsi="Arial"/>
          <w:noProof/>
          <w:sz w:val="28"/>
        </w:rPr>
        <w:pict>
          <v:line id="_x0000_s1057" style="position:absolute;left:0;text-align:left;flip:x;z-index:251664384" from="147.6pt,.65pt" to="190.8pt,.65pt" o:allowincell="f"/>
        </w:pict>
      </w:r>
      <w:r>
        <w:rPr>
          <w:rFonts w:ascii="Arial" w:hAnsi="Arial"/>
          <w:noProof/>
          <w:sz w:val="28"/>
        </w:rPr>
        <w:pict>
          <v:line id="_x0000_s1056" style="position:absolute;left:0;text-align:left;z-index:251663360" from="270pt,.65pt" to="291.6pt,.65pt" o:allowincell="f"/>
        </w:pict>
      </w:r>
    </w:p>
    <w:p w:rsidR="00FB6018" w:rsidRDefault="00AB3F78">
      <w:pPr>
        <w:ind w:firstLine="270"/>
        <w:jc w:val="both"/>
        <w:rPr>
          <w:rFonts w:ascii="Arial" w:hAnsi="Arial"/>
          <w:sz w:val="28"/>
        </w:rPr>
      </w:pPr>
      <w:r>
        <w:rPr>
          <w:rFonts w:ascii="Arial" w:hAnsi="Arial"/>
          <w:noProof/>
          <w:sz w:val="28"/>
        </w:rPr>
        <w:pict>
          <v:line id="_x0000_s1064" style="position:absolute;left:0;text-align:left;z-index:251671552" from="219.6pt,6.15pt" to="219.6pt,42.15pt" o:allowincell="f"/>
        </w:pict>
      </w:r>
      <w:r>
        <w:rPr>
          <w:rFonts w:ascii="Arial" w:hAnsi="Arial"/>
          <w:noProof/>
          <w:sz w:val="28"/>
        </w:rPr>
        <w:pict>
          <v:line id="_x0000_s1063" style="position:absolute;left:0;text-align:left;flip:y;z-index:251670528" from="248.4pt,6.15pt" to="248.4pt,42.15pt" o:allowincell="f">
            <v:stroke endarrow="classic" endarrowlength="long"/>
          </v:line>
        </w:pict>
      </w:r>
    </w:p>
    <w:p w:rsidR="00FB6018" w:rsidRDefault="00FB6018">
      <w:pPr>
        <w:ind w:firstLine="270"/>
        <w:jc w:val="both"/>
        <w:rPr>
          <w:rFonts w:ascii="Arial" w:hAnsi="Arial"/>
          <w:sz w:val="28"/>
        </w:rPr>
      </w:pPr>
    </w:p>
    <w:p w:rsidR="00FB6018" w:rsidRDefault="00AB3F78">
      <w:pPr>
        <w:ind w:firstLine="270"/>
        <w:jc w:val="both"/>
        <w:rPr>
          <w:rFonts w:ascii="Arial" w:hAnsi="Arial"/>
          <w:b/>
          <w:sz w:val="28"/>
        </w:rPr>
      </w:pPr>
      <w:r>
        <w:rPr>
          <w:rFonts w:ascii="Arial" w:hAnsi="Arial"/>
          <w:noProof/>
          <w:sz w:val="28"/>
        </w:rPr>
        <w:pict>
          <v:line id="_x0000_s1066" style="position:absolute;left:0;text-align:left;flip:x;z-index:251673600" from="18pt,9.95pt" to="68.4pt,9.95pt" o:allowincell="f"/>
        </w:pict>
      </w:r>
      <w:r>
        <w:rPr>
          <w:rFonts w:ascii="Arial" w:hAnsi="Arial"/>
          <w:noProof/>
          <w:sz w:val="28"/>
        </w:rPr>
        <w:pict>
          <v:line id="_x0000_s1065" style="position:absolute;left:0;text-align:left;flip:x;z-index:251672576" from="118.8pt,9.95pt" to="219.6pt,9.95pt" o:allowincell="f"/>
        </w:pict>
      </w:r>
      <w:r>
        <w:rPr>
          <w:rFonts w:ascii="Arial" w:hAnsi="Arial"/>
          <w:noProof/>
          <w:sz w:val="28"/>
        </w:rPr>
        <w:pict>
          <v:line id="_x0000_s1062" style="position:absolute;left:0;text-align:left;flip:x;z-index:251669504" from="248.4pt,9.95pt" to="320.4pt,9.95pt" o:allowincell="f"/>
        </w:pict>
      </w:r>
      <w:r>
        <w:rPr>
          <w:rFonts w:ascii="Arial" w:hAnsi="Arial"/>
          <w:noProof/>
          <w:sz w:val="28"/>
        </w:rPr>
        <w:pict>
          <v:line id="_x0000_s1061" style="position:absolute;left:0;text-align:left;z-index:251668480" from="370.8pt,9.95pt" to="421.2pt,9.95pt" o:allowincell="f"/>
        </w:pict>
      </w:r>
      <w:r w:rsidR="00FB6018">
        <w:rPr>
          <w:rFonts w:ascii="Arial" w:hAnsi="Arial"/>
          <w:sz w:val="28"/>
        </w:rPr>
        <w:t xml:space="preserve">               </w:t>
      </w:r>
      <w:r w:rsidR="00FB6018">
        <w:rPr>
          <w:rFonts w:ascii="Arial" w:hAnsi="Arial"/>
          <w:b/>
          <w:sz w:val="28"/>
        </w:rPr>
        <w:t>NOMA                                                      NOMA</w:t>
      </w:r>
    </w:p>
    <w:p w:rsidR="00FB6018" w:rsidRDefault="00FB6018">
      <w:pPr>
        <w:ind w:firstLine="270"/>
        <w:jc w:val="both"/>
        <w:rPr>
          <w:rFonts w:ascii="Arial" w:hAnsi="Arial"/>
          <w:b/>
          <w:sz w:val="28"/>
        </w:rPr>
      </w:pPr>
    </w:p>
    <w:p w:rsidR="00FB6018" w:rsidRDefault="00FB6018">
      <w:pPr>
        <w:ind w:firstLine="270"/>
        <w:jc w:val="both"/>
        <w:rPr>
          <w:rFonts w:ascii="Arial" w:hAnsi="Arial"/>
          <w:b/>
          <w:sz w:val="28"/>
        </w:rPr>
      </w:pPr>
    </w:p>
    <w:p w:rsidR="00FB6018" w:rsidRDefault="00FB6018">
      <w:pPr>
        <w:pStyle w:val="a6"/>
        <w:ind w:firstLine="270"/>
      </w:pPr>
      <w:r>
        <w:t>Līzinga līgumus var veidot gan kā pilnas, gan daļējas amortizācijas līgumus.</w:t>
      </w:r>
    </w:p>
    <w:p w:rsidR="00FB6018" w:rsidRDefault="00FB6018">
      <w:pPr>
        <w:pStyle w:val="a6"/>
        <w:numPr>
          <w:ilvl w:val="0"/>
          <w:numId w:val="9"/>
        </w:numPr>
        <w:tabs>
          <w:tab w:val="clear" w:pos="360"/>
          <w:tab w:val="left" w:pos="990"/>
        </w:tabs>
        <w:ind w:left="990"/>
      </w:pPr>
      <w:r>
        <w:t>Pilnas amortizācijas līgumos kopējie līzinga maksājumi, kuri līzinga ņēmējam garantētās pamatīres laikā ir jāatmaksā, sedz vismaz iegādes vai izgatavošanas izdevumus, kā arī visus blakus izdevumus.</w:t>
      </w:r>
    </w:p>
    <w:p w:rsidR="00FB6018" w:rsidRDefault="00FB6018">
      <w:pPr>
        <w:numPr>
          <w:ilvl w:val="0"/>
          <w:numId w:val="7"/>
        </w:numPr>
        <w:tabs>
          <w:tab w:val="clear" w:pos="360"/>
          <w:tab w:val="num" w:pos="990"/>
        </w:tabs>
        <w:ind w:left="990"/>
        <w:jc w:val="both"/>
        <w:rPr>
          <w:rFonts w:ascii="Arial" w:hAnsi="Arial"/>
          <w:sz w:val="28"/>
        </w:rPr>
      </w:pPr>
      <w:r>
        <w:rPr>
          <w:rFonts w:ascii="Arial" w:hAnsi="Arial"/>
          <w:sz w:val="28"/>
        </w:rPr>
        <w:t>Daļējas amortizācijas līgumi ir līgumi, kuros līzinga ņēmējs garantētās pamatīres laikā nesedz visas kopējās izmaksas, kādas ir līzinga kompānijai attiecībā uz līzinga objektu, bet sedz tikai kādu noteiktu daļu.</w:t>
      </w:r>
    </w:p>
    <w:p w:rsidR="00FB6018" w:rsidRDefault="00FB6018">
      <w:pPr>
        <w:ind w:left="630"/>
        <w:jc w:val="both"/>
        <w:rPr>
          <w:rFonts w:ascii="Arial" w:hAnsi="Arial"/>
          <w:sz w:val="28"/>
        </w:rPr>
      </w:pPr>
    </w:p>
    <w:p w:rsidR="00FB6018" w:rsidRDefault="00FB6018">
      <w:pPr>
        <w:pStyle w:val="a6"/>
        <w:jc w:val="center"/>
        <w:rPr>
          <w:b/>
          <w:sz w:val="32"/>
        </w:rPr>
      </w:pPr>
    </w:p>
    <w:p w:rsidR="00FB6018" w:rsidRDefault="00FB6018">
      <w:pPr>
        <w:pStyle w:val="a6"/>
        <w:jc w:val="center"/>
        <w:rPr>
          <w:b/>
          <w:sz w:val="32"/>
        </w:rPr>
      </w:pPr>
      <w:r>
        <w:rPr>
          <w:b/>
          <w:sz w:val="32"/>
        </w:rPr>
        <w:t>Līzinga samaksa.</w:t>
      </w:r>
    </w:p>
    <w:p w:rsidR="00FB6018" w:rsidRDefault="00FB6018">
      <w:pPr>
        <w:ind w:left="630"/>
        <w:jc w:val="center"/>
        <w:rPr>
          <w:rFonts w:ascii="Arial" w:hAnsi="Arial"/>
          <w:sz w:val="28"/>
        </w:rPr>
      </w:pPr>
    </w:p>
    <w:p w:rsidR="00FB6018" w:rsidRDefault="00FB6018">
      <w:pPr>
        <w:pStyle w:val="a6"/>
        <w:ind w:firstLine="270"/>
      </w:pPr>
      <w:r>
        <w:t>Līzinga maksājumi sastāv no divām daļām:</w:t>
      </w:r>
    </w:p>
    <w:p w:rsidR="00FB6018" w:rsidRDefault="00FB6018">
      <w:pPr>
        <w:numPr>
          <w:ilvl w:val="0"/>
          <w:numId w:val="8"/>
        </w:numPr>
        <w:tabs>
          <w:tab w:val="clear" w:pos="360"/>
          <w:tab w:val="num" w:pos="1260"/>
        </w:tabs>
        <w:ind w:left="1260"/>
        <w:jc w:val="both"/>
        <w:rPr>
          <w:rFonts w:ascii="Arial" w:hAnsi="Arial"/>
          <w:sz w:val="28"/>
        </w:rPr>
      </w:pPr>
      <w:r>
        <w:rPr>
          <w:rFonts w:ascii="Arial" w:hAnsi="Arial"/>
          <w:sz w:val="28"/>
        </w:rPr>
        <w:t>maksa par līzinga objektu;</w:t>
      </w:r>
    </w:p>
    <w:p w:rsidR="00FB6018" w:rsidRDefault="00FB6018">
      <w:pPr>
        <w:numPr>
          <w:ilvl w:val="0"/>
          <w:numId w:val="8"/>
        </w:numPr>
        <w:tabs>
          <w:tab w:val="clear" w:pos="360"/>
          <w:tab w:val="num" w:pos="1260"/>
        </w:tabs>
        <w:ind w:left="1260"/>
        <w:jc w:val="both"/>
        <w:rPr>
          <w:rFonts w:ascii="Arial" w:hAnsi="Arial"/>
          <w:sz w:val="28"/>
        </w:rPr>
      </w:pPr>
      <w:r>
        <w:rPr>
          <w:rFonts w:ascii="Arial" w:hAnsi="Arial"/>
          <w:sz w:val="28"/>
        </w:rPr>
        <w:t>līzinga procentu maksa.</w:t>
      </w:r>
    </w:p>
    <w:p w:rsidR="00FB6018" w:rsidRDefault="00FB6018">
      <w:pPr>
        <w:pStyle w:val="a6"/>
        <w:ind w:firstLine="270"/>
      </w:pPr>
      <w:r>
        <w:t xml:space="preserve">Līzinga procenti tiek aprēķināti pēc </w:t>
      </w:r>
      <w:r>
        <w:rPr>
          <w:b/>
        </w:rPr>
        <w:t>annuitātes</w:t>
      </w:r>
      <w:r>
        <w:t xml:space="preserve"> formulas, t.i., ņemot vērā iemaksātos maksājumus.</w:t>
      </w:r>
    </w:p>
    <w:p w:rsidR="00FB6018" w:rsidRDefault="00FB6018">
      <w:pPr>
        <w:pStyle w:val="a6"/>
        <w:ind w:firstLine="270"/>
      </w:pPr>
      <w:r>
        <w:t>Maksājumi parasti tiek izdarīti vienādās daļās visa perioda laikā. Tomēr šo kārtību pēc klienta lūguma var mainīt.</w:t>
      </w:r>
    </w:p>
    <w:p w:rsidR="00FB6018" w:rsidRDefault="00FB6018">
      <w:pPr>
        <w:pStyle w:val="a6"/>
        <w:ind w:firstLine="270"/>
      </w:pPr>
      <w:r>
        <w:t>Ļoti svarīgi līzinga ņēmējam ir saskaņot līzinga maksājumu termiņus līdz līzinga līguma noslēgšanai, jo par maksājumu termiņu neievērošanu parasti ir jāmaksā soda nauda.</w:t>
      </w:r>
    </w:p>
    <w:p w:rsidR="00FB6018" w:rsidRDefault="00FB6018">
      <w:pPr>
        <w:pStyle w:val="a6"/>
        <w:ind w:firstLine="270"/>
      </w:pPr>
      <w:r>
        <w:t>Pēc pēdējās iemaksas īpašuma tiesības uz līzinga objektu pāriet līzinga ņēmējam, kas tiek noformēts ar speciālu aktu.</w:t>
      </w:r>
    </w:p>
    <w:p w:rsidR="00FB6018" w:rsidRDefault="00FB6018">
      <w:pPr>
        <w:pStyle w:val="a6"/>
        <w:ind w:firstLine="270"/>
      </w:pPr>
    </w:p>
    <w:p w:rsidR="00FB6018" w:rsidRDefault="00FB6018">
      <w:pPr>
        <w:pStyle w:val="a6"/>
        <w:ind w:firstLine="270"/>
        <w:jc w:val="center"/>
        <w:rPr>
          <w:b/>
          <w:sz w:val="32"/>
        </w:rPr>
      </w:pPr>
      <w:r>
        <w:rPr>
          <w:b/>
          <w:sz w:val="32"/>
        </w:rPr>
        <w:t>Līzinga priekšrocības un trūkumi.</w:t>
      </w:r>
    </w:p>
    <w:p w:rsidR="00FB6018" w:rsidRDefault="00FB6018">
      <w:pPr>
        <w:pStyle w:val="a6"/>
        <w:ind w:firstLine="270"/>
      </w:pPr>
    </w:p>
    <w:p w:rsidR="00FB6018" w:rsidRDefault="00FB6018">
      <w:pPr>
        <w:pStyle w:val="a6"/>
        <w:ind w:firstLine="270"/>
      </w:pPr>
      <w:r>
        <w:t>Pie līzinga priekšrocībām pieder:</w:t>
      </w:r>
    </w:p>
    <w:p w:rsidR="00FB6018" w:rsidRDefault="00FB6018">
      <w:pPr>
        <w:pStyle w:val="a6"/>
        <w:numPr>
          <w:ilvl w:val="0"/>
          <w:numId w:val="10"/>
        </w:numPr>
        <w:tabs>
          <w:tab w:val="clear" w:pos="360"/>
          <w:tab w:val="num" w:pos="1260"/>
        </w:tabs>
        <w:ind w:left="1260"/>
      </w:pPr>
      <w:r>
        <w:t>finansējums tikai ar svešiem līdzekļiem; pašu kapitāls netiek ilgstoši saistīts;</w:t>
      </w:r>
    </w:p>
    <w:p w:rsidR="00FB6018" w:rsidRDefault="00FB6018">
      <w:pPr>
        <w:pStyle w:val="a6"/>
        <w:numPr>
          <w:ilvl w:val="0"/>
          <w:numId w:val="10"/>
        </w:numPr>
        <w:tabs>
          <w:tab w:val="clear" w:pos="360"/>
          <w:tab w:val="num" w:pos="1260"/>
        </w:tabs>
        <w:ind w:left="1260"/>
      </w:pPr>
      <w:r>
        <w:t>likviditātes uzlabošana;</w:t>
      </w:r>
    </w:p>
    <w:p w:rsidR="00FB6018" w:rsidRDefault="00FB6018">
      <w:pPr>
        <w:pStyle w:val="a6"/>
        <w:numPr>
          <w:ilvl w:val="0"/>
          <w:numId w:val="10"/>
        </w:numPr>
        <w:tabs>
          <w:tab w:val="clear" w:pos="360"/>
          <w:tab w:val="num" w:pos="1260"/>
        </w:tabs>
        <w:ind w:left="1260"/>
      </w:pPr>
      <w:r>
        <w:t>nav prasību pēc kredīta garantijām;</w:t>
      </w:r>
    </w:p>
    <w:p w:rsidR="00FB6018" w:rsidRDefault="00FB6018">
      <w:pPr>
        <w:pStyle w:val="a6"/>
        <w:numPr>
          <w:ilvl w:val="0"/>
          <w:numId w:val="10"/>
        </w:numPr>
        <w:tabs>
          <w:tab w:val="clear" w:pos="360"/>
          <w:tab w:val="num" w:pos="1260"/>
        </w:tabs>
        <w:ind w:left="1260"/>
      </w:pPr>
      <w:r>
        <w:t>nav līdzekļu kustības bilancē, bet gan līzinga atvilkuma procenti kā uzņēmuma izdevumi; līdz ar to arī ienākuma nodokļu samazinājums.</w:t>
      </w:r>
    </w:p>
    <w:p w:rsidR="00FB6018" w:rsidRDefault="00FB6018">
      <w:pPr>
        <w:pStyle w:val="a6"/>
        <w:ind w:firstLine="270"/>
      </w:pPr>
      <w:r>
        <w:t>Pie līzinga trūkumiem var pieskaitīt ilgstošas līgumsaistības, papildizdevumu rašanos un zināmu risku. Šādos gadījumos:</w:t>
      </w:r>
    </w:p>
    <w:p w:rsidR="00FB6018" w:rsidRDefault="00FB6018">
      <w:pPr>
        <w:pStyle w:val="a6"/>
        <w:numPr>
          <w:ilvl w:val="0"/>
          <w:numId w:val="11"/>
        </w:numPr>
        <w:tabs>
          <w:tab w:val="clear" w:pos="360"/>
        </w:tabs>
        <w:ind w:left="1260"/>
      </w:pPr>
      <w:r>
        <w:t>pārdevējs (piegādātājs) paaugstinājis objekta vērtību;</w:t>
      </w:r>
    </w:p>
    <w:p w:rsidR="00FB6018" w:rsidRDefault="00FB6018">
      <w:pPr>
        <w:pStyle w:val="a6"/>
        <w:numPr>
          <w:ilvl w:val="0"/>
          <w:numId w:val="11"/>
        </w:numPr>
        <w:tabs>
          <w:tab w:val="clear" w:pos="360"/>
        </w:tabs>
        <w:ind w:left="1260"/>
      </w:pPr>
      <w:r>
        <w:t>pārdevējs nav līzinga objekta īpašnieks un viņam nav tiesību to pārdot;</w:t>
      </w:r>
    </w:p>
    <w:p w:rsidR="00FB6018" w:rsidRDefault="00FB6018">
      <w:pPr>
        <w:pStyle w:val="a6"/>
        <w:numPr>
          <w:ilvl w:val="0"/>
          <w:numId w:val="11"/>
        </w:numPr>
        <w:tabs>
          <w:tab w:val="clear" w:pos="360"/>
          <w:tab w:val="num" w:pos="1260"/>
        </w:tabs>
        <w:ind w:left="1260"/>
      </w:pPr>
      <w:r>
        <w:t>pārdevējs atsakās pildīt savas saistības kvalitātes pretenziju gadījumā;</w:t>
      </w:r>
    </w:p>
    <w:p w:rsidR="00FB6018" w:rsidRDefault="00FB6018">
      <w:pPr>
        <w:pStyle w:val="a6"/>
        <w:numPr>
          <w:ilvl w:val="0"/>
          <w:numId w:val="11"/>
        </w:numPr>
        <w:tabs>
          <w:tab w:val="clear" w:pos="360"/>
          <w:tab w:val="num" w:pos="1260"/>
        </w:tabs>
        <w:ind w:left="1260"/>
      </w:pPr>
      <w:r>
        <w:t>līzinga objekts ir cietis avārija, apdrošināšanas summa nenosedz zaudējumus, un līzinga ņēmējam nav naudas remonta veikšanai;</w:t>
      </w:r>
    </w:p>
    <w:p w:rsidR="00FB6018" w:rsidRDefault="00FB6018">
      <w:pPr>
        <w:pStyle w:val="a6"/>
        <w:numPr>
          <w:ilvl w:val="0"/>
          <w:numId w:val="11"/>
        </w:numPr>
        <w:tabs>
          <w:tab w:val="clear" w:pos="360"/>
          <w:tab w:val="num" w:pos="1260"/>
        </w:tabs>
        <w:ind w:left="1260"/>
      </w:pPr>
      <w:r>
        <w:t>krasi pasliktinās situācija izejvielu tirgū un gatavās produkcijas realizēšanā;</w:t>
      </w:r>
    </w:p>
    <w:p w:rsidR="00FB6018" w:rsidRDefault="00FB6018">
      <w:pPr>
        <w:pStyle w:val="a6"/>
        <w:numPr>
          <w:ilvl w:val="0"/>
          <w:numId w:val="11"/>
        </w:numPr>
        <w:tabs>
          <w:tab w:val="clear" w:pos="360"/>
          <w:tab w:val="num" w:pos="1260"/>
        </w:tabs>
        <w:ind w:left="1260"/>
        <w:jc w:val="left"/>
      </w:pPr>
      <w:r>
        <w:t>notiek līzinga objekta arests;</w:t>
      </w:r>
    </w:p>
    <w:p w:rsidR="00FB6018" w:rsidRDefault="00FB6018">
      <w:pPr>
        <w:pStyle w:val="a6"/>
        <w:numPr>
          <w:ilvl w:val="0"/>
          <w:numId w:val="11"/>
        </w:numPr>
        <w:tabs>
          <w:tab w:val="clear" w:pos="360"/>
          <w:tab w:val="num" w:pos="1260"/>
        </w:tabs>
        <w:ind w:left="1260"/>
        <w:jc w:val="left"/>
      </w:pPr>
      <w:r>
        <w:t>notiek zādzība vai bojāšana.</w:t>
      </w:r>
    </w:p>
    <w:p w:rsidR="00FB6018" w:rsidRDefault="00FB6018">
      <w:pPr>
        <w:jc w:val="center"/>
        <w:rPr>
          <w:rFonts w:ascii="Arial" w:hAnsi="Arial"/>
          <w:sz w:val="32"/>
        </w:rPr>
      </w:pPr>
      <w:r>
        <w:rPr>
          <w:rFonts w:ascii="Arial" w:hAnsi="Arial"/>
          <w:sz w:val="32"/>
        </w:rPr>
        <w:t>Līzinga maksājumu grafiks(DM).</w:t>
      </w:r>
      <w:r>
        <w:rPr>
          <w:rStyle w:val="a4"/>
          <w:rFonts w:ascii="Arial" w:hAnsi="Arial"/>
          <w:sz w:val="32"/>
        </w:rPr>
        <w:footnoteReference w:customMarkFollows="1" w:id="6"/>
        <w:sym w:font="Symbol" w:char="F031"/>
      </w:r>
    </w:p>
    <w:p w:rsidR="00FB6018" w:rsidRDefault="00FB6018">
      <w:pPr>
        <w:rPr>
          <w:rFonts w:ascii="Arial" w:hAnsi="Arial"/>
          <w:sz w:val="24"/>
        </w:rPr>
      </w:pPr>
    </w:p>
    <w:tbl>
      <w:tblPr>
        <w:tblW w:w="0" w:type="auto"/>
        <w:tblInd w:w="-273" w:type="dxa"/>
        <w:tblLayout w:type="fixed"/>
        <w:tblCellMar>
          <w:left w:w="30" w:type="dxa"/>
          <w:right w:w="30" w:type="dxa"/>
        </w:tblCellMar>
        <w:tblLook w:val="0000" w:firstRow="0" w:lastRow="0" w:firstColumn="0" w:lastColumn="0" w:noHBand="0" w:noVBand="0"/>
      </w:tblPr>
      <w:tblGrid>
        <w:gridCol w:w="900"/>
        <w:gridCol w:w="1350"/>
        <w:gridCol w:w="1530"/>
        <w:gridCol w:w="1080"/>
        <w:gridCol w:w="1080"/>
        <w:gridCol w:w="990"/>
        <w:gridCol w:w="990"/>
        <w:gridCol w:w="1170"/>
      </w:tblGrid>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Maksā-juma Nr.</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p>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Termiņš</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Neizmaksātā īpašuma vērtība</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Maksā-jums</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p>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Atlīdzība</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p>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PVN</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p>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Procenti</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Līguma maksā-jums</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w:t>
            </w:r>
            <w:r>
              <w:rPr>
                <w:rStyle w:val="a4"/>
                <w:rFonts w:ascii="Arial" w:hAnsi="Arial"/>
                <w:snapToGrid w:val="0"/>
                <w:color w:val="000000"/>
                <w:sz w:val="24"/>
                <w:lang w:eastAsia="en-US"/>
              </w:rPr>
              <w:footnoteReference w:customMarkFollows="1" w:id="7"/>
              <w:sym w:font="Symbol" w:char="F02A"/>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01.07.98</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19660,00</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2949,00</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294,9</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583,90</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3827,80</w:t>
            </w:r>
          </w:p>
        </w:tc>
      </w:tr>
      <w:tr w:rsidR="00FB6018">
        <w:trPr>
          <w:trHeight w:val="265"/>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01.08.98</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16711,00</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836,05</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150,49</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203,32</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1189,86</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2</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01.09.98</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15874,95</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846,22</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152,32</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199,15</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1197,69</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3</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01.10.98</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15028,72</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856,52</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154,17</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182,85</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1193,54</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4</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01.11.98</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14172,20</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866,94</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156,05</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172,43</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1195,42</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5</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01.12.98</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13305,26</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877,49</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157,95</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161,88</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1197,32</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6</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01.01.99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12427,78</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888,16</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159,87</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151,20</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1199,23</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7</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01.02.99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11539,61</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898,97</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161,81</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140,40</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1201,18</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8</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01.03.99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10640,64</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909,97</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163,79</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140,40</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1214,16</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01.04.99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9730,73</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920,98</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165,78</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118,39</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1205,15</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10</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01.05.99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8809,75</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932,18</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167,79</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107,19</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1207,16</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11</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01.06.99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7877,57</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946,53</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170,38</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95,84</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1212,75</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01.07.99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6934,05</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955,00</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171,90</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84,36</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1211,26</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13</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01.08.99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5979,04</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966,62</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173,99</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72,74</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1213,35</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14</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01.09.99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5012,42</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978,38</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176,11</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60,98</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1215,47</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15</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01.10.99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4034,03</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990,29</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178,25</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49,08</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1217,62</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16</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01.11.99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3043,74</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1002,34</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180,42</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37,03</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1219,79</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17</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01.12.99</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2041,41</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1014,53</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182,62</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37,03</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1234,18</w:t>
            </w:r>
          </w:p>
        </w:tc>
      </w:tr>
      <w:tr w:rsidR="00FB6018">
        <w:trPr>
          <w:trHeight w:val="247"/>
        </w:trPr>
        <w:tc>
          <w:tcPr>
            <w:tcW w:w="90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18</w:t>
            </w:r>
          </w:p>
        </w:tc>
        <w:tc>
          <w:tcPr>
            <w:tcW w:w="135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01.01.2000</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1026,88</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1026,88</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184,84</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12,49</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1224,21</w:t>
            </w:r>
          </w:p>
        </w:tc>
      </w:tr>
      <w:tr w:rsidR="00FB6018">
        <w:trPr>
          <w:cantSplit/>
          <w:trHeight w:val="247"/>
        </w:trPr>
        <w:tc>
          <w:tcPr>
            <w:tcW w:w="2250" w:type="dxa"/>
            <w:gridSpan w:val="2"/>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z w:val="24"/>
              </w:rPr>
            </w:pPr>
            <w:r>
              <w:rPr>
                <w:rFonts w:ascii="Arial" w:hAnsi="Arial"/>
                <w:sz w:val="24"/>
              </w:rPr>
              <w:t>KOPĀ</w:t>
            </w:r>
          </w:p>
        </w:tc>
        <w:tc>
          <w:tcPr>
            <w:tcW w:w="153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0</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19660</w:t>
            </w:r>
          </w:p>
        </w:tc>
        <w:tc>
          <w:tcPr>
            <w:tcW w:w="108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294,9</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3591,88</w:t>
            </w:r>
          </w:p>
        </w:tc>
        <w:tc>
          <w:tcPr>
            <w:tcW w:w="99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1997,64</w:t>
            </w:r>
          </w:p>
        </w:tc>
        <w:tc>
          <w:tcPr>
            <w:tcW w:w="1170" w:type="dxa"/>
            <w:tcBorders>
              <w:top w:val="single" w:sz="2" w:space="0" w:color="000000"/>
              <w:left w:val="single" w:sz="2" w:space="0" w:color="000000"/>
              <w:bottom w:val="single" w:sz="2" w:space="0" w:color="000000"/>
              <w:right w:val="single" w:sz="2" w:space="0" w:color="000000"/>
            </w:tcBorders>
          </w:tcPr>
          <w:p w:rsidR="00FB6018" w:rsidRDefault="00FB6018">
            <w:pPr>
              <w:jc w:val="center"/>
              <w:rPr>
                <w:rFonts w:ascii="Arial" w:hAnsi="Arial"/>
                <w:snapToGrid w:val="0"/>
                <w:color w:val="000000"/>
                <w:sz w:val="24"/>
                <w:lang w:eastAsia="en-US"/>
              </w:rPr>
            </w:pPr>
            <w:r>
              <w:rPr>
                <w:rFonts w:ascii="Arial" w:hAnsi="Arial"/>
                <w:snapToGrid w:val="0"/>
                <w:color w:val="000000"/>
                <w:sz w:val="24"/>
                <w:lang w:eastAsia="en-US"/>
              </w:rPr>
              <w:t>25444,42</w:t>
            </w:r>
          </w:p>
        </w:tc>
      </w:tr>
    </w:tbl>
    <w:p w:rsidR="00FB6018" w:rsidRDefault="00FB6018">
      <w:pPr>
        <w:jc w:val="center"/>
        <w:rPr>
          <w:rFonts w:ascii="Arial" w:hAnsi="Arial"/>
          <w:sz w:val="24"/>
        </w:rPr>
      </w:pPr>
    </w:p>
    <w:p w:rsidR="00FB6018" w:rsidRDefault="00FB6018"/>
    <w:p w:rsidR="00FB6018" w:rsidRDefault="00FB6018">
      <w:pPr>
        <w:jc w:val="center"/>
        <w:rPr>
          <w:rFonts w:ascii="Arial" w:hAnsi="Arial"/>
        </w:rPr>
      </w:pPr>
    </w:p>
    <w:p w:rsidR="00FB6018" w:rsidRDefault="00FB6018">
      <w:pPr>
        <w:tabs>
          <w:tab w:val="left" w:pos="720"/>
        </w:tabs>
        <w:jc w:val="center"/>
        <w:rPr>
          <w:rFonts w:ascii="Arial" w:hAnsi="Arial"/>
          <w:sz w:val="32"/>
        </w:rPr>
      </w:pPr>
      <w:r>
        <w:rPr>
          <w:rFonts w:ascii="Arial" w:hAnsi="Arial"/>
          <w:sz w:val="32"/>
        </w:rPr>
        <w:t>Izmantotā literatūra.</w:t>
      </w:r>
    </w:p>
    <w:p w:rsidR="00FB6018" w:rsidRDefault="00FB6018">
      <w:pPr>
        <w:tabs>
          <w:tab w:val="left" w:pos="720"/>
        </w:tabs>
        <w:jc w:val="center"/>
        <w:rPr>
          <w:rFonts w:ascii="Arial" w:hAnsi="Arial"/>
          <w:sz w:val="32"/>
        </w:rPr>
      </w:pPr>
    </w:p>
    <w:p w:rsidR="00FB6018" w:rsidRDefault="00FB6018">
      <w:pPr>
        <w:pStyle w:val="a6"/>
        <w:tabs>
          <w:tab w:val="left" w:pos="720"/>
        </w:tabs>
      </w:pPr>
      <w:r>
        <w:t>Rurāne M. Uzņēmuma finansu vadība Turības bibliotēka, 1997.</w:t>
      </w:r>
    </w:p>
    <w:p w:rsidR="00FB6018" w:rsidRDefault="00FB6018">
      <w:pPr>
        <w:tabs>
          <w:tab w:val="left" w:pos="720"/>
        </w:tabs>
        <w:jc w:val="both"/>
        <w:rPr>
          <w:rFonts w:ascii="Arial" w:hAnsi="Arial"/>
          <w:sz w:val="28"/>
        </w:rPr>
      </w:pPr>
      <w:r>
        <w:rPr>
          <w:rFonts w:ascii="Arial" w:hAnsi="Arial"/>
          <w:sz w:val="28"/>
        </w:rPr>
        <w:t>Klauss A.  Uzņēmējdarbība. Lekciju materiāli Ventspils Augstskola 1998.</w:t>
      </w:r>
    </w:p>
    <w:p w:rsidR="00FB6018" w:rsidRDefault="00FB6018">
      <w:pPr>
        <w:pStyle w:val="a3"/>
        <w:rPr>
          <w:sz w:val="28"/>
        </w:rPr>
      </w:pPr>
      <w:r>
        <w:rPr>
          <w:rFonts w:ascii="Arial" w:hAnsi="Arial"/>
          <w:sz w:val="28"/>
        </w:rPr>
        <w:t>http://www.lizings.lv/latvframe.htm</w:t>
      </w:r>
    </w:p>
    <w:p w:rsidR="00FB6018" w:rsidRDefault="00FB6018">
      <w:pPr>
        <w:pStyle w:val="a3"/>
        <w:rPr>
          <w:rFonts w:ascii="Arial" w:hAnsi="Arial"/>
          <w:sz w:val="28"/>
        </w:rPr>
      </w:pPr>
      <w:r>
        <w:rPr>
          <w:rFonts w:ascii="Arial" w:hAnsi="Arial"/>
          <w:sz w:val="28"/>
        </w:rPr>
        <w:t>Laikraksts “Vakara ziņas” R., 1998.g.20.jūlijs</w:t>
      </w:r>
    </w:p>
    <w:p w:rsidR="00FB6018" w:rsidRDefault="00FB6018">
      <w:pPr>
        <w:pStyle w:val="a3"/>
        <w:rPr>
          <w:rFonts w:ascii="Arial" w:hAnsi="Arial"/>
          <w:sz w:val="28"/>
        </w:rPr>
      </w:pPr>
      <w:r>
        <w:rPr>
          <w:rFonts w:ascii="Arial" w:hAnsi="Arial"/>
          <w:sz w:val="28"/>
        </w:rPr>
        <w:t>Laikraksts “Bizness un Baltija” R., 1998.g.18.aug.,(latv.val.Nr.32)</w:t>
      </w:r>
    </w:p>
    <w:p w:rsidR="00FB6018" w:rsidRDefault="00FB6018">
      <w:pPr>
        <w:jc w:val="both"/>
        <w:rPr>
          <w:rFonts w:ascii="Arial" w:hAnsi="Arial"/>
          <w:sz w:val="28"/>
        </w:rPr>
      </w:pPr>
      <w:bookmarkStart w:id="0" w:name="_GoBack"/>
      <w:bookmarkEnd w:id="0"/>
    </w:p>
    <w:sectPr w:rsidR="00FB6018">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018" w:rsidRDefault="00FB6018">
      <w:r>
        <w:separator/>
      </w:r>
    </w:p>
  </w:endnote>
  <w:endnote w:type="continuationSeparator" w:id="0">
    <w:p w:rsidR="00FB6018" w:rsidRDefault="00FB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UnivrstyRoman TL">
    <w:altName w:val="Gabriola"/>
    <w:charset w:val="00"/>
    <w:family w:val="decorative"/>
    <w:pitch w:val="variable"/>
    <w:sig w:usb0="00000001" w:usb1="00000048" w:usb2="00000000" w:usb3="00000000" w:csb0="00000097" w:csb1="00000000"/>
  </w:font>
  <w:font w:name="Wingdings">
    <w:panose1 w:val="05000000000000000000"/>
    <w:charset w:val="02"/>
    <w:family w:val="auto"/>
    <w:pitch w:val="variable"/>
    <w:sig w:usb0="00000000" w:usb1="10000000" w:usb2="00000000" w:usb3="00000000" w:csb0="80000000" w:csb1="00000000"/>
  </w:font>
  <w:font w:name="Revue TL">
    <w:altName w:val="Courier New"/>
    <w:charset w:val="00"/>
    <w:family w:val="decorative"/>
    <w:pitch w:val="variable"/>
    <w:sig w:usb0="800000EF" w:usb1="00000048" w:usb2="00000000" w:usb3="00000000" w:csb0="00000093" w:csb1="00000000"/>
  </w:font>
  <w:font w:name="Symbol">
    <w:panose1 w:val="05050102010706020507"/>
    <w:charset w:val="02"/>
    <w:family w:val="roman"/>
    <w:pitch w:val="variable"/>
    <w:sig w:usb0="00000000" w:usb1="10000000" w:usb2="00000000" w:usb3="00000000" w:csb0="80000000" w:csb1="00000000"/>
  </w:font>
  <w:font w:name="PosterBodoni It TL">
    <w:altName w:val="Georgia"/>
    <w:charset w:val="00"/>
    <w:family w:val="roman"/>
    <w:pitch w:val="variable"/>
    <w:sig w:usb0="800000EF" w:usb1="00000048" w:usb2="00000000" w:usb3="00000000" w:csb0="0000009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18" w:rsidRDefault="00FB6018">
    <w:pPr>
      <w:pStyle w:val="a8"/>
      <w:rPr>
        <w:rFonts w:ascii="Arial" w:hAnsi="Arial"/>
      </w:rPr>
    </w:pPr>
    <w:r>
      <w:rPr>
        <w:rFonts w:ascii="Arial" w:hAnsi="Arial"/>
      </w:rPr>
      <w:t>1999.gada aprīlis</w:t>
    </w:r>
    <w:r>
      <w:rPr>
        <w:rFonts w:ascii="Arial" w:hAnsi="Arial"/>
      </w:rPr>
      <w:tab/>
      <w:t>Arnis Dabars</w:t>
    </w:r>
    <w:r>
      <w:rPr>
        <w:rFonts w:ascii="Arial" w:hAnsi="Arial"/>
      </w:rPr>
      <w:tab/>
    </w:r>
    <w:r>
      <w:rPr>
        <w:rStyle w:val="a9"/>
        <w:rFonts w:ascii="Arial" w:hAnsi="Arial"/>
      </w:rPr>
      <w:fldChar w:fldCharType="begin"/>
    </w:r>
    <w:r>
      <w:rPr>
        <w:rStyle w:val="a9"/>
        <w:rFonts w:ascii="Arial" w:hAnsi="Arial"/>
      </w:rPr>
      <w:instrText xml:space="preserve"> PAGE </w:instrText>
    </w:r>
    <w:r>
      <w:rPr>
        <w:rStyle w:val="a9"/>
        <w:rFonts w:ascii="Arial" w:hAnsi="Arial"/>
      </w:rPr>
      <w:fldChar w:fldCharType="separate"/>
    </w:r>
    <w:r w:rsidR="00AB3F78">
      <w:rPr>
        <w:rStyle w:val="a9"/>
        <w:rFonts w:ascii="Arial" w:hAnsi="Arial"/>
        <w:noProof/>
      </w:rPr>
      <w:t>1</w:t>
    </w:r>
    <w:r>
      <w:rPr>
        <w:rStyle w:val="a9"/>
        <w:rFonts w:ascii="Arial" w:hAnsi="Arial"/>
      </w:rPr>
      <w:fldChar w:fldCharType="end"/>
    </w:r>
    <w:r>
      <w:rPr>
        <w:rFonts w:ascii="Arial" w:hAnsi="Arial"/>
      </w:rPr>
      <w:tab/>
    </w:r>
    <w:r>
      <w:rPr>
        <w:rStyle w:val="a9"/>
        <w:rFonts w:ascii="Arial" w:hAnsi="Arial"/>
        <w:snapToGrid w:val="0"/>
        <w:lang w:eastAsia="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018" w:rsidRDefault="00FB6018">
      <w:r>
        <w:separator/>
      </w:r>
    </w:p>
  </w:footnote>
  <w:footnote w:type="continuationSeparator" w:id="0">
    <w:p w:rsidR="00FB6018" w:rsidRDefault="00FB6018">
      <w:r>
        <w:continuationSeparator/>
      </w:r>
    </w:p>
  </w:footnote>
  <w:footnote w:id="1">
    <w:p w:rsidR="00FB6018" w:rsidRDefault="00FB6018">
      <w:pPr>
        <w:pStyle w:val="a3"/>
      </w:pPr>
      <w:r>
        <w:rPr>
          <w:rStyle w:val="a4"/>
          <w:rFonts w:ascii="Arial" w:hAnsi="Arial"/>
        </w:rPr>
        <w:footnoteRef/>
      </w:r>
      <w:r>
        <w:rPr>
          <w:rFonts w:ascii="Arial" w:hAnsi="Arial"/>
        </w:rPr>
        <w:t xml:space="preserve">  Klauss A. Uzņēmējdarbība. Lekciju materiāli  Ventspils Augstskola, 1998., .lpp</w:t>
      </w:r>
    </w:p>
  </w:footnote>
  <w:footnote w:id="2">
    <w:p w:rsidR="00FB6018" w:rsidRDefault="00FB6018">
      <w:pPr>
        <w:pStyle w:val="a3"/>
        <w:rPr>
          <w:rFonts w:ascii="Arial" w:hAnsi="Arial"/>
        </w:rPr>
      </w:pPr>
      <w:r>
        <w:rPr>
          <w:rStyle w:val="a4"/>
          <w:rFonts w:ascii="Arial" w:hAnsi="Arial"/>
        </w:rPr>
        <w:footnoteRef/>
      </w:r>
      <w:r>
        <w:t xml:space="preserve"> </w:t>
      </w:r>
      <w:r>
        <w:rPr>
          <w:rFonts w:ascii="Arial" w:hAnsi="Arial"/>
        </w:rPr>
        <w:t xml:space="preserve"> Rurāne M. Uzņēmuma finansu vadība Turības bibliotēka, 1997., 83.lpp.</w:t>
      </w:r>
    </w:p>
    <w:p w:rsidR="00FB6018" w:rsidRDefault="00FB6018">
      <w:pPr>
        <w:pStyle w:val="a3"/>
      </w:pPr>
      <w:r>
        <w:rPr>
          <w:rStyle w:val="a4"/>
          <w:rFonts w:ascii="Arial" w:hAnsi="Arial"/>
        </w:rPr>
        <w:t>3</w:t>
      </w:r>
      <w:r>
        <w:t xml:space="preserve">  </w:t>
      </w:r>
      <w:r>
        <w:rPr>
          <w:rFonts w:ascii="Arial" w:hAnsi="Arial"/>
        </w:rPr>
        <w:t>http://www.lizings.lv/latvframe.htm</w:t>
      </w:r>
    </w:p>
  </w:footnote>
  <w:footnote w:id="3">
    <w:p w:rsidR="00FB6018" w:rsidRDefault="00FB6018">
      <w:pPr>
        <w:pStyle w:val="a3"/>
        <w:rPr>
          <w:rFonts w:ascii="Arial" w:hAnsi="Arial"/>
        </w:rPr>
      </w:pPr>
      <w:r>
        <w:rPr>
          <w:rStyle w:val="a4"/>
          <w:rFonts w:ascii="Arial" w:hAnsi="Arial"/>
        </w:rPr>
        <w:t>4</w:t>
      </w:r>
      <w:r>
        <w:rPr>
          <w:rFonts w:ascii="Arial" w:hAnsi="Arial"/>
        </w:rPr>
        <w:t xml:space="preserve">  Laikraksts “Vakara ziņas” R., 1998.g.20.jūlijs,6.llp.</w:t>
      </w:r>
    </w:p>
  </w:footnote>
  <w:footnote w:id="4">
    <w:p w:rsidR="00FB6018" w:rsidRDefault="00FB6018">
      <w:pPr>
        <w:pStyle w:val="a3"/>
      </w:pPr>
      <w:r>
        <w:rPr>
          <w:rStyle w:val="a4"/>
          <w:rFonts w:ascii="Arial" w:hAnsi="Arial"/>
        </w:rPr>
        <w:t>5</w:t>
      </w:r>
      <w:r>
        <w:rPr>
          <w:rFonts w:ascii="Arial" w:hAnsi="Arial"/>
        </w:rPr>
        <w:t xml:space="preserve"> </w:t>
      </w:r>
      <w:r>
        <w:t xml:space="preserve"> </w:t>
      </w:r>
      <w:r>
        <w:rPr>
          <w:rFonts w:ascii="Arial" w:hAnsi="Arial"/>
        </w:rPr>
        <w:t>http://www.lizings.lv/latvframe.htm</w:t>
      </w:r>
    </w:p>
    <w:p w:rsidR="00FB6018" w:rsidRDefault="00FB6018">
      <w:pPr>
        <w:pStyle w:val="a3"/>
        <w:rPr>
          <w:rFonts w:ascii="Arial" w:hAnsi="Arial"/>
        </w:rPr>
      </w:pPr>
    </w:p>
  </w:footnote>
  <w:footnote w:id="5">
    <w:p w:rsidR="00FB6018" w:rsidRDefault="00FB6018">
      <w:pPr>
        <w:pStyle w:val="a3"/>
        <w:rPr>
          <w:rFonts w:ascii="Arial" w:hAnsi="Arial"/>
        </w:rPr>
      </w:pPr>
    </w:p>
  </w:footnote>
  <w:footnote w:id="6">
    <w:p w:rsidR="00FB6018" w:rsidRDefault="00FB6018">
      <w:pPr>
        <w:pStyle w:val="a3"/>
        <w:rPr>
          <w:rFonts w:ascii="Arial" w:hAnsi="Arial"/>
        </w:rPr>
      </w:pPr>
      <w:r>
        <w:rPr>
          <w:rStyle w:val="a4"/>
        </w:rPr>
        <w:sym w:font="Symbol" w:char="F031"/>
      </w:r>
      <w:r>
        <w:rPr>
          <w:rFonts w:ascii="Arial" w:hAnsi="Arial"/>
        </w:rPr>
        <w:t xml:space="preserve">  Laikraksts “Bizness un Baltija” R., 1998.g.18.aug.,11.llp.(latv.val.Nr.32)</w:t>
      </w:r>
    </w:p>
    <w:p w:rsidR="00FB6018" w:rsidRDefault="00FB6018">
      <w:pPr>
        <w:pStyle w:val="a3"/>
      </w:pPr>
    </w:p>
  </w:footnote>
  <w:footnote w:id="7">
    <w:p w:rsidR="00FB6018" w:rsidRDefault="00FB6018">
      <w:pPr>
        <w:pStyle w:val="a3"/>
        <w:rPr>
          <w:rFonts w:ascii="Arial" w:hAnsi="Arial"/>
        </w:rPr>
      </w:pPr>
      <w:r>
        <w:rPr>
          <w:rStyle w:val="a4"/>
          <w:rFonts w:ascii="Arial" w:hAnsi="Arial"/>
        </w:rPr>
        <w:sym w:font="Symbol" w:char="F02A"/>
      </w:r>
      <w:r>
        <w:rPr>
          <w:rFonts w:ascii="Arial" w:hAnsi="Arial"/>
        </w:rPr>
        <w:t xml:space="preserve"> Šis ir pirmais maksājums, kurā ietilpst sākotnējā iemaksa (15%)PVN un atlīdzība līzinga firmai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90C"/>
    <w:multiLevelType w:val="singleLevel"/>
    <w:tmpl w:val="0D3C2930"/>
    <w:lvl w:ilvl="0">
      <w:numFmt w:val="bullet"/>
      <w:lvlText w:val="-"/>
      <w:lvlJc w:val="left"/>
      <w:pPr>
        <w:tabs>
          <w:tab w:val="num" w:pos="360"/>
        </w:tabs>
        <w:ind w:left="360" w:hanging="360"/>
      </w:pPr>
      <w:rPr>
        <w:rFonts w:ascii="Times New Roman" w:hAnsi="Times New Roman" w:hint="default"/>
      </w:rPr>
    </w:lvl>
  </w:abstractNum>
  <w:abstractNum w:abstractNumId="1">
    <w:nsid w:val="20372665"/>
    <w:multiLevelType w:val="singleLevel"/>
    <w:tmpl w:val="E48C8852"/>
    <w:lvl w:ilvl="0">
      <w:start w:val="1"/>
      <w:numFmt w:val="decimal"/>
      <w:lvlText w:val="%1."/>
      <w:lvlJc w:val="left"/>
      <w:pPr>
        <w:tabs>
          <w:tab w:val="num" w:pos="360"/>
        </w:tabs>
        <w:ind w:left="360" w:hanging="360"/>
      </w:pPr>
      <w:rPr>
        <w:rFonts w:ascii="Arial" w:hAnsi="Arial" w:hint="default"/>
        <w:outline w:val="0"/>
        <w:shadow w:val="0"/>
        <w:emboss w:val="0"/>
        <w:imprint w:val="0"/>
      </w:rPr>
    </w:lvl>
  </w:abstractNum>
  <w:abstractNum w:abstractNumId="2">
    <w:nsid w:val="23702C73"/>
    <w:multiLevelType w:val="singleLevel"/>
    <w:tmpl w:val="0809000F"/>
    <w:lvl w:ilvl="0">
      <w:start w:val="1"/>
      <w:numFmt w:val="decimal"/>
      <w:lvlText w:val="%1."/>
      <w:lvlJc w:val="left"/>
      <w:pPr>
        <w:tabs>
          <w:tab w:val="num" w:pos="360"/>
        </w:tabs>
        <w:ind w:left="360" w:hanging="360"/>
      </w:pPr>
    </w:lvl>
  </w:abstractNum>
  <w:abstractNum w:abstractNumId="3">
    <w:nsid w:val="25707D68"/>
    <w:multiLevelType w:val="singleLevel"/>
    <w:tmpl w:val="084CB046"/>
    <w:lvl w:ilvl="0">
      <w:start w:val="1"/>
      <w:numFmt w:val="bullet"/>
      <w:lvlText w:val=""/>
      <w:lvlJc w:val="left"/>
      <w:pPr>
        <w:tabs>
          <w:tab w:val="num" w:pos="360"/>
        </w:tabs>
        <w:ind w:left="360" w:hanging="360"/>
      </w:pPr>
      <w:rPr>
        <w:rFonts w:ascii="UnivrstyRoman TL" w:hAnsi="UnivrstyRoman TL" w:hint="default"/>
        <w:sz w:val="28"/>
      </w:rPr>
    </w:lvl>
  </w:abstractNum>
  <w:abstractNum w:abstractNumId="4">
    <w:nsid w:val="2C382E01"/>
    <w:multiLevelType w:val="singleLevel"/>
    <w:tmpl w:val="084CB046"/>
    <w:lvl w:ilvl="0">
      <w:start w:val="1"/>
      <w:numFmt w:val="bullet"/>
      <w:lvlText w:val=""/>
      <w:lvlJc w:val="left"/>
      <w:pPr>
        <w:tabs>
          <w:tab w:val="num" w:pos="360"/>
        </w:tabs>
        <w:ind w:left="360" w:hanging="360"/>
      </w:pPr>
      <w:rPr>
        <w:rFonts w:ascii="UnivrstyRoman TL" w:hAnsi="UnivrstyRoman TL" w:hint="default"/>
        <w:sz w:val="28"/>
      </w:rPr>
    </w:lvl>
  </w:abstractNum>
  <w:abstractNum w:abstractNumId="5">
    <w:nsid w:val="3EDB1430"/>
    <w:multiLevelType w:val="singleLevel"/>
    <w:tmpl w:val="903E0698"/>
    <w:lvl w:ilvl="0">
      <w:start w:val="1"/>
      <w:numFmt w:val="bullet"/>
      <w:lvlText w:val=""/>
      <w:lvlJc w:val="left"/>
      <w:pPr>
        <w:tabs>
          <w:tab w:val="num" w:pos="360"/>
        </w:tabs>
        <w:ind w:left="360" w:hanging="360"/>
      </w:pPr>
      <w:rPr>
        <w:rFonts w:ascii="Wingdings" w:hAnsi="Wingdings" w:hint="default"/>
        <w:sz w:val="16"/>
      </w:rPr>
    </w:lvl>
  </w:abstractNum>
  <w:abstractNum w:abstractNumId="6">
    <w:nsid w:val="42F15153"/>
    <w:multiLevelType w:val="singleLevel"/>
    <w:tmpl w:val="084CB046"/>
    <w:lvl w:ilvl="0">
      <w:start w:val="1"/>
      <w:numFmt w:val="bullet"/>
      <w:lvlText w:val=""/>
      <w:lvlJc w:val="left"/>
      <w:pPr>
        <w:tabs>
          <w:tab w:val="num" w:pos="360"/>
        </w:tabs>
        <w:ind w:left="360" w:hanging="360"/>
      </w:pPr>
      <w:rPr>
        <w:rFonts w:ascii="UnivrstyRoman TL" w:hAnsi="UnivrstyRoman TL" w:hint="default"/>
        <w:sz w:val="28"/>
      </w:rPr>
    </w:lvl>
  </w:abstractNum>
  <w:abstractNum w:abstractNumId="7">
    <w:nsid w:val="43FA191C"/>
    <w:multiLevelType w:val="singleLevel"/>
    <w:tmpl w:val="084CB046"/>
    <w:lvl w:ilvl="0">
      <w:start w:val="1"/>
      <w:numFmt w:val="bullet"/>
      <w:lvlText w:val=""/>
      <w:lvlJc w:val="left"/>
      <w:pPr>
        <w:tabs>
          <w:tab w:val="num" w:pos="360"/>
        </w:tabs>
        <w:ind w:left="360" w:hanging="360"/>
      </w:pPr>
      <w:rPr>
        <w:rFonts w:ascii="UnivrstyRoman TL" w:hAnsi="Revue TL" w:hint="default"/>
        <w:sz w:val="28"/>
      </w:rPr>
    </w:lvl>
  </w:abstractNum>
  <w:abstractNum w:abstractNumId="8">
    <w:nsid w:val="45300A4F"/>
    <w:multiLevelType w:val="singleLevel"/>
    <w:tmpl w:val="5DB8C8D8"/>
    <w:lvl w:ilvl="0">
      <w:start w:val="1"/>
      <w:numFmt w:val="bullet"/>
      <w:lvlText w:val=""/>
      <w:lvlJc w:val="left"/>
      <w:pPr>
        <w:tabs>
          <w:tab w:val="num" w:pos="360"/>
        </w:tabs>
        <w:ind w:left="360" w:hanging="360"/>
      </w:pPr>
      <w:rPr>
        <w:rFonts w:ascii="Symbol" w:hAnsi="Symbol" w:hint="default"/>
        <w:sz w:val="28"/>
      </w:rPr>
    </w:lvl>
  </w:abstractNum>
  <w:abstractNum w:abstractNumId="9">
    <w:nsid w:val="47F70FC6"/>
    <w:multiLevelType w:val="singleLevel"/>
    <w:tmpl w:val="084CB046"/>
    <w:lvl w:ilvl="0">
      <w:start w:val="1"/>
      <w:numFmt w:val="bullet"/>
      <w:lvlText w:val=""/>
      <w:lvlJc w:val="left"/>
      <w:pPr>
        <w:tabs>
          <w:tab w:val="num" w:pos="360"/>
        </w:tabs>
        <w:ind w:left="360" w:hanging="360"/>
      </w:pPr>
      <w:rPr>
        <w:rFonts w:ascii="UnivrstyRoman TL" w:hAnsi="Revue TL" w:hint="default"/>
        <w:sz w:val="28"/>
      </w:rPr>
    </w:lvl>
  </w:abstractNum>
  <w:abstractNum w:abstractNumId="10">
    <w:nsid w:val="571C03CE"/>
    <w:multiLevelType w:val="singleLevel"/>
    <w:tmpl w:val="084CB046"/>
    <w:lvl w:ilvl="0">
      <w:start w:val="1"/>
      <w:numFmt w:val="bullet"/>
      <w:lvlText w:val=""/>
      <w:lvlJc w:val="left"/>
      <w:pPr>
        <w:tabs>
          <w:tab w:val="num" w:pos="360"/>
        </w:tabs>
        <w:ind w:left="360" w:hanging="360"/>
      </w:pPr>
      <w:rPr>
        <w:rFonts w:ascii="UnivrstyRoman TL" w:hAnsi="UnivrstyRoman TL" w:hint="default"/>
        <w:sz w:val="28"/>
      </w:rPr>
    </w:lvl>
  </w:abstractNum>
  <w:abstractNum w:abstractNumId="11">
    <w:nsid w:val="6F380B30"/>
    <w:multiLevelType w:val="singleLevel"/>
    <w:tmpl w:val="084CB046"/>
    <w:lvl w:ilvl="0">
      <w:start w:val="1"/>
      <w:numFmt w:val="bullet"/>
      <w:lvlText w:val=""/>
      <w:lvlJc w:val="left"/>
      <w:pPr>
        <w:tabs>
          <w:tab w:val="num" w:pos="360"/>
        </w:tabs>
        <w:ind w:left="360" w:hanging="360"/>
      </w:pPr>
      <w:rPr>
        <w:rFonts w:ascii="UnivrstyRoman TL" w:hAnsi="UnivrstyRoman TL" w:hint="default"/>
        <w:sz w:val="28"/>
      </w:rPr>
    </w:lvl>
  </w:abstractNum>
  <w:abstractNum w:abstractNumId="12">
    <w:nsid w:val="728B1BBA"/>
    <w:multiLevelType w:val="singleLevel"/>
    <w:tmpl w:val="5DB8C8D8"/>
    <w:lvl w:ilvl="0">
      <w:start w:val="1"/>
      <w:numFmt w:val="bullet"/>
      <w:lvlText w:val=""/>
      <w:lvlJc w:val="left"/>
      <w:pPr>
        <w:tabs>
          <w:tab w:val="num" w:pos="360"/>
        </w:tabs>
        <w:ind w:left="360" w:hanging="360"/>
      </w:pPr>
      <w:rPr>
        <w:rFonts w:ascii="Symbol" w:hAnsi="Symbol" w:hint="default"/>
        <w:sz w:val="28"/>
      </w:rPr>
    </w:lvl>
  </w:abstractNum>
  <w:abstractNum w:abstractNumId="13">
    <w:nsid w:val="74DC5F38"/>
    <w:multiLevelType w:val="singleLevel"/>
    <w:tmpl w:val="84923F94"/>
    <w:lvl w:ilvl="0">
      <w:start w:val="1"/>
      <w:numFmt w:val="decimal"/>
      <w:lvlText w:val="%1."/>
      <w:lvlJc w:val="left"/>
      <w:pPr>
        <w:tabs>
          <w:tab w:val="num" w:pos="630"/>
        </w:tabs>
        <w:ind w:left="630" w:hanging="360"/>
      </w:pPr>
      <w:rPr>
        <w:rFonts w:hint="default"/>
      </w:rPr>
    </w:lvl>
  </w:abstractNum>
  <w:num w:numId="1">
    <w:abstractNumId w:val="0"/>
  </w:num>
  <w:num w:numId="2">
    <w:abstractNumId w:val="5"/>
  </w:num>
  <w:num w:numId="3">
    <w:abstractNumId w:val="8"/>
  </w:num>
  <w:num w:numId="4">
    <w:abstractNumId w:val="2"/>
  </w:num>
  <w:num w:numId="5">
    <w:abstractNumId w:val="1"/>
  </w:num>
  <w:num w:numId="6">
    <w:abstractNumId w:val="12"/>
  </w:num>
  <w:num w:numId="7">
    <w:abstractNumId w:val="11"/>
  </w:num>
  <w:num w:numId="8">
    <w:abstractNumId w:val="10"/>
  </w:num>
  <w:num w:numId="9">
    <w:abstractNumId w:val="3"/>
  </w:num>
  <w:num w:numId="10">
    <w:abstractNumId w:val="6"/>
  </w:num>
  <w:num w:numId="11">
    <w:abstractNumId w:val="4"/>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018"/>
    <w:rsid w:val="00AB3F78"/>
    <w:rsid w:val="00C24D21"/>
    <w:rsid w:val="00FB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8B3DE7BE-18DE-4F31-A2AF-6B703595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lv-LV"/>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rFonts w:ascii="Arial" w:hAnsi="Arial"/>
      <w:sz w:val="28"/>
    </w:rPr>
  </w:style>
  <w:style w:type="paragraph" w:styleId="3">
    <w:name w:val="heading 3"/>
    <w:basedOn w:val="a"/>
    <w:next w:val="a"/>
    <w:qFormat/>
    <w:pPr>
      <w:keepNext/>
      <w:jc w:val="center"/>
      <w:outlineLvl w:val="2"/>
    </w:pPr>
    <w:rPr>
      <w:rFonts w:ascii="Arial" w:hAnsi="Arial"/>
      <w:sz w:val="28"/>
    </w:rPr>
  </w:style>
  <w:style w:type="paragraph" w:styleId="4">
    <w:name w:val="heading 4"/>
    <w:basedOn w:val="a"/>
    <w:next w:val="a"/>
    <w:qFormat/>
    <w:pPr>
      <w:keepNext/>
      <w:ind w:firstLine="270"/>
      <w:jc w:val="both"/>
      <w:outlineLvl w:val="3"/>
    </w:pPr>
    <w:rPr>
      <w:rFonts w:ascii="Arial" w:hAnsi="Arial"/>
      <w:b/>
      <w:sz w:val="28"/>
    </w:rPr>
  </w:style>
  <w:style w:type="paragraph" w:styleId="5">
    <w:name w:val="heading 5"/>
    <w:basedOn w:val="a"/>
    <w:next w:val="a"/>
    <w:qFormat/>
    <w:pPr>
      <w:keepNext/>
      <w:ind w:firstLine="270"/>
      <w:jc w:val="both"/>
      <w:outlineLvl w:val="4"/>
    </w:pPr>
    <w:rPr>
      <w:rFonts w:ascii="Arial" w:hAnsi="Arial"/>
      <w:sz w:val="28"/>
    </w:rPr>
  </w:style>
  <w:style w:type="paragraph" w:styleId="6">
    <w:name w:val="heading 6"/>
    <w:basedOn w:val="a"/>
    <w:next w:val="a"/>
    <w:qFormat/>
    <w:pPr>
      <w:keepNext/>
      <w:ind w:firstLine="270"/>
      <w:outlineLvl w:val="5"/>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Indent"/>
    <w:basedOn w:val="a"/>
    <w:pPr>
      <w:ind w:firstLine="270"/>
      <w:jc w:val="both"/>
    </w:pPr>
    <w:rPr>
      <w:rFonts w:ascii="Arial" w:hAnsi="Arial"/>
      <w:sz w:val="28"/>
    </w:rPr>
  </w:style>
  <w:style w:type="paragraph" w:styleId="a6">
    <w:name w:val="Body Text"/>
    <w:basedOn w:val="a"/>
    <w:pPr>
      <w:jc w:val="both"/>
    </w:pPr>
    <w:rPr>
      <w:rFonts w:ascii="Arial" w:hAnsi="Arial"/>
      <w:sz w:val="28"/>
    </w:rPr>
  </w:style>
  <w:style w:type="paragraph" w:styleId="20">
    <w:name w:val="Body Text 2"/>
    <w:basedOn w:val="a"/>
    <w:rPr>
      <w:rFonts w:ascii="Arial" w:hAnsi="Arial"/>
      <w:b/>
      <w:sz w:val="28"/>
    </w:rPr>
  </w:style>
  <w:style w:type="paragraph" w:styleId="30">
    <w:name w:val="Body Text 3"/>
    <w:basedOn w:val="a"/>
    <w:pPr>
      <w:jc w:val="center"/>
    </w:pPr>
    <w:rPr>
      <w:rFonts w:ascii="Arial" w:hAnsi="Arial"/>
      <w:b/>
      <w:sz w:val="28"/>
    </w:rPr>
  </w:style>
  <w:style w:type="paragraph" w:styleId="21">
    <w:name w:val="Body Text Indent 2"/>
    <w:basedOn w:val="a"/>
    <w:pPr>
      <w:ind w:firstLine="270"/>
    </w:pPr>
    <w:rPr>
      <w:rFonts w:ascii="Arial" w:hAnsi="Arial"/>
      <w:sz w:val="28"/>
    </w:r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9170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Līzings</vt:lpstr>
      <vt:lpstr>Līzings</vt:lpstr>
    </vt:vector>
  </TitlesOfParts>
  <Company>Ventspils Augstskola</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Līzings</dc:title>
  <dc:subject/>
  <dc:creator>ArnisDa</dc:creator>
  <cp:keywords/>
  <dc:description/>
  <cp:lastModifiedBy>admin</cp:lastModifiedBy>
  <cp:revision>2</cp:revision>
  <cp:lastPrinted>1999-05-24T05:55:00Z</cp:lastPrinted>
  <dcterms:created xsi:type="dcterms:W3CDTF">2014-06-21T09:10:00Z</dcterms:created>
  <dcterms:modified xsi:type="dcterms:W3CDTF">2014-06-21T09:10:00Z</dcterms:modified>
</cp:coreProperties>
</file>