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1EEB" w:rsidRDefault="007561DA">
      <w:pPr>
        <w:spacing w:line="360" w:lineRule="auto"/>
        <w:ind w:firstLine="708"/>
        <w:jc w:val="both"/>
      </w:pPr>
      <w:r>
        <w:t xml:space="preserve">В последнее время сфера недвижимости все больше привлекает инвесторов. Рынок недвижимости неразрывно связан с </w:t>
      </w:r>
      <w:hyperlink r:id="rId6" w:anchor="_blank" w:history="1">
        <w:r>
          <w:rPr>
            <w:rStyle w:val="a5"/>
          </w:rPr>
          <w:t>инвестиционной</w:t>
        </w:r>
      </w:hyperlink>
      <w:r>
        <w:t xml:space="preserve"> деятельностью. Инвестиции осуществляются и на первичном - новое строительство, и на вторичном </w:t>
      </w:r>
      <w:hyperlink r:id="rId7" w:anchor="_blank" w:history="1">
        <w:r>
          <w:rPr>
            <w:rStyle w:val="a5"/>
          </w:rPr>
          <w:t>рынках</w:t>
        </w:r>
      </w:hyperlink>
      <w:r>
        <w:t xml:space="preserve"> недвижимости - перемещение прав собственности на объекты. </w:t>
      </w:r>
    </w:p>
    <w:p w:rsidR="00101EEB" w:rsidRDefault="007561DA">
      <w:pPr>
        <w:spacing w:line="360" w:lineRule="auto"/>
        <w:ind w:firstLine="709"/>
        <w:jc w:val="both"/>
      </w:pPr>
      <w:r>
        <w:t>Во всем мире недвижимость является одним из самых распространенных и эффективных финансовых инструментов. Между тем инвестированные в эту отрасль деньги не пропадут даже при самой неблагоприятной конъюнктуре, а в большинстве случаев приносят в несколько раз большие дивиденды(</w:t>
      </w:r>
      <w:r>
        <w:rPr>
          <w:b/>
          <w:bCs/>
        </w:rPr>
        <w:t>доход, выплачиваемый акционерам корпорации</w:t>
      </w:r>
      <w:r>
        <w:t>), чем банковские вклады. Именно сейчас ситуация на рынке недвижимости очень комфортна для частных инвестиций. </w:t>
      </w:r>
    </w:p>
    <w:p w:rsidR="00101EEB" w:rsidRDefault="007561DA">
      <w:pPr>
        <w:spacing w:line="360" w:lineRule="auto"/>
        <w:ind w:firstLine="709"/>
        <w:jc w:val="both"/>
      </w:pPr>
      <w:r>
        <w:t xml:space="preserve">На инвестиционную деятельность оказывают влияние существующие особенности рынка недвижимости. Выделяют три основных направления для инвестиций: жилье, земельные участки и коммерческая недвижимость, приносящая доход. </w:t>
      </w:r>
    </w:p>
    <w:p w:rsidR="00101EEB" w:rsidRDefault="007561DA">
      <w:pPr>
        <w:spacing w:line="360" w:lineRule="auto"/>
        <w:ind w:firstLine="709"/>
        <w:jc w:val="both"/>
      </w:pPr>
      <w:r>
        <w:t>Рынок недвижимости является привлекательным для потенциальных инвесторов по следующим причинам:</w:t>
      </w:r>
    </w:p>
    <w:p w:rsidR="00101EEB" w:rsidRDefault="007561DA">
      <w:pPr>
        <w:spacing w:line="360" w:lineRule="auto"/>
        <w:ind w:firstLine="709"/>
        <w:jc w:val="both"/>
      </w:pPr>
      <w:r>
        <w:t xml:space="preserve">- инвестиции в объекты недвижимости характеризуются большей степенью сохранности, безопасности и возможностью контролирования инвестором, чем, например, инвестиции в акции; </w:t>
      </w:r>
    </w:p>
    <w:p w:rsidR="00101EEB" w:rsidRDefault="007561DA">
      <w:pPr>
        <w:spacing w:line="360" w:lineRule="auto"/>
        <w:ind w:firstLine="709"/>
        <w:jc w:val="both"/>
      </w:pPr>
      <w:r>
        <w:t xml:space="preserve">- в момент приобретения дома, квартиры, гаража, дачи и прочее, инвестор получает пакет прав, в то время как большинство иных объектов инвестирования не влечет за собой право собственности; </w:t>
      </w:r>
    </w:p>
    <w:p w:rsidR="00101EEB" w:rsidRDefault="007561DA">
      <w:pPr>
        <w:spacing w:line="360" w:lineRule="auto"/>
        <w:ind w:firstLine="709"/>
        <w:jc w:val="both"/>
      </w:pPr>
      <w:r>
        <w:t xml:space="preserve">- при быстром обесценивании денежных средств, недостаточной надежности их сохранности в кредитных учреждениях и ограниченности более доходных направлений инвестирования, вложения в недвижимость позволяют сохранить средства от инфляции; </w:t>
      </w:r>
    </w:p>
    <w:p w:rsidR="00101EEB" w:rsidRDefault="007561DA">
      <w:pPr>
        <w:spacing w:line="360" w:lineRule="auto"/>
        <w:jc w:val="both"/>
      </w:pPr>
      <w:r>
        <w:t>1.2 Формы дохода и привлекательность инвестирования в недвижимость</w:t>
      </w:r>
    </w:p>
    <w:p w:rsidR="00101EEB" w:rsidRDefault="007561DA">
      <w:pPr>
        <w:spacing w:line="360" w:lineRule="auto"/>
        <w:ind w:firstLine="708"/>
        <w:jc w:val="both"/>
      </w:pPr>
      <w:r>
        <w:t>Существуют следующие формы дохода от инвестирования в недвижимость:</w:t>
      </w:r>
    </w:p>
    <w:p w:rsidR="00101EEB" w:rsidRDefault="007561DA">
      <w:pPr>
        <w:spacing w:line="360" w:lineRule="auto"/>
        <w:ind w:firstLine="709"/>
        <w:jc w:val="both"/>
      </w:pPr>
      <w:r>
        <w:t>– увеличение стоимости недвижимости за счет изменения рыночных цен, приобретения новых и развития старых объектов;</w:t>
      </w:r>
    </w:p>
    <w:p w:rsidR="00101EEB" w:rsidRDefault="007561DA">
      <w:pPr>
        <w:spacing w:line="360" w:lineRule="auto"/>
        <w:ind w:firstLine="709"/>
        <w:jc w:val="both"/>
      </w:pPr>
      <w:r>
        <w:t>– будущие периодические потоки денежных средств;</w:t>
      </w:r>
    </w:p>
    <w:p w:rsidR="00101EEB" w:rsidRDefault="007561DA">
      <w:pPr>
        <w:spacing w:line="360" w:lineRule="auto"/>
        <w:ind w:firstLine="709"/>
        <w:jc w:val="both"/>
      </w:pPr>
      <w:r>
        <w:t>– доход от перепродажи объекта в конце периода владения.</w:t>
      </w:r>
    </w:p>
    <w:p w:rsidR="00101EEB" w:rsidRDefault="007561DA">
      <w:pPr>
        <w:spacing w:line="360" w:lineRule="auto"/>
        <w:ind w:firstLine="709"/>
        <w:jc w:val="both"/>
      </w:pPr>
      <w:r>
        <w:t>Привлекательность инвестирования в недвижимость объясняется следующими факторами:</w:t>
      </w:r>
    </w:p>
    <w:p w:rsidR="00101EEB" w:rsidRDefault="007561DA">
      <w:pPr>
        <w:spacing w:line="360" w:lineRule="auto"/>
        <w:ind w:firstLine="709"/>
        <w:jc w:val="both"/>
      </w:pPr>
      <w:r>
        <w:t>– в момент приобретения недвижимости инвестор получает пакет прав, в то время как многие объекты инвестирования не влекут за собой права собственности;</w:t>
      </w:r>
    </w:p>
    <w:p w:rsidR="00101EEB" w:rsidRDefault="007561DA">
      <w:pPr>
        <w:spacing w:line="360" w:lineRule="auto"/>
        <w:ind w:firstLine="709"/>
        <w:jc w:val="both"/>
      </w:pPr>
      <w:r>
        <w:t>– сохранностью вложенных денежных средств вообще (в обычных условиях недвижимость невозможно потерять, похитить) и инфляцией в частности (инфляционные процессы сопровождаются ростом цен на недвижимость и доходов от нее);</w:t>
      </w:r>
    </w:p>
    <w:p w:rsidR="00101EEB" w:rsidRDefault="007561DA">
      <w:pPr>
        <w:spacing w:line="360" w:lineRule="auto"/>
        <w:ind w:firstLine="709"/>
        <w:jc w:val="both"/>
      </w:pPr>
      <w:r>
        <w:t>– возможностью получать от недвижимости доход в денежном выражении и иной полезный эффект проживания, престижности владения определенным объектом и т.п.</w:t>
      </w:r>
    </w:p>
    <w:p w:rsidR="00101EEB" w:rsidRDefault="007561DA">
      <w:pPr>
        <w:spacing w:line="360" w:lineRule="auto"/>
        <w:ind w:firstLine="709"/>
        <w:jc w:val="both"/>
      </w:pPr>
      <w:r>
        <w:t xml:space="preserve"> Инвестиции в недвижимость имеют такие положительные черты, как возможность многолетнего использования объекта и сохранения капитала.</w:t>
      </w:r>
    </w:p>
    <w:p w:rsidR="00101EEB" w:rsidRDefault="007561DA">
      <w:pPr>
        <w:spacing w:line="360" w:lineRule="auto"/>
        <w:jc w:val="both"/>
      </w:pPr>
      <w:r>
        <w:t>2. Участники и источники процесса финансирования недвижимости</w:t>
      </w:r>
    </w:p>
    <w:p w:rsidR="00101EEB" w:rsidRDefault="007561DA">
      <w:pPr>
        <w:spacing w:line="360" w:lineRule="auto"/>
        <w:ind w:firstLine="709"/>
        <w:jc w:val="both"/>
      </w:pPr>
      <w:r>
        <w:t>2.1 Федеральные и местные органы власти и управления, кредитно-финансовые учреждения, инвесторы</w:t>
      </w:r>
    </w:p>
    <w:p w:rsidR="00101EEB" w:rsidRDefault="007561DA">
      <w:pPr>
        <w:spacing w:line="360" w:lineRule="auto"/>
        <w:ind w:firstLine="708"/>
        <w:jc w:val="both"/>
      </w:pPr>
      <w:bookmarkStart w:id="0" w:name="_Toc34540523"/>
      <w:bookmarkEnd w:id="0"/>
      <w:r>
        <w:t xml:space="preserve">Традиционно участников процесса финансирования недвижимости делят на следующие категории: </w:t>
      </w:r>
    </w:p>
    <w:p w:rsidR="00101EEB" w:rsidRDefault="007561DA">
      <w:pPr>
        <w:spacing w:line="360" w:lineRule="auto"/>
        <w:ind w:firstLine="709"/>
        <w:jc w:val="both"/>
      </w:pPr>
      <w:r>
        <w:t>– федеральные и местные органы власти и управления;</w:t>
      </w:r>
    </w:p>
    <w:p w:rsidR="00101EEB" w:rsidRDefault="007561DA">
      <w:pPr>
        <w:spacing w:line="360" w:lineRule="auto"/>
        <w:ind w:firstLine="709"/>
        <w:jc w:val="both"/>
      </w:pPr>
      <w:r>
        <w:t>– кредитно-финансовые учреждения;</w:t>
      </w:r>
    </w:p>
    <w:p w:rsidR="00101EEB" w:rsidRDefault="007561DA">
      <w:pPr>
        <w:spacing w:line="360" w:lineRule="auto"/>
        <w:ind w:firstLine="709"/>
        <w:jc w:val="both"/>
      </w:pPr>
      <w:r>
        <w:t xml:space="preserve">– инвесторы и пр. </w:t>
      </w:r>
    </w:p>
    <w:p w:rsidR="00101EEB" w:rsidRDefault="007561DA">
      <w:pPr>
        <w:spacing w:line="360" w:lineRule="auto"/>
        <w:ind w:firstLine="709"/>
        <w:jc w:val="both"/>
      </w:pPr>
      <w:r>
        <w:t>Федеральные и местные органы власти и управления обеспечивают экономико-правовые отношения между участниками процесса финансирования недвижимости. устанавливает льготы либо накладывает ограничения (законодательные ограничения, особенности налогообложения) на инвестиции в недвижимость. Кроме того, государство выступает как собственник множества объектов недвижимости.</w:t>
      </w:r>
    </w:p>
    <w:p w:rsidR="00101EEB" w:rsidRDefault="007561DA">
      <w:pPr>
        <w:spacing w:line="360" w:lineRule="auto"/>
        <w:ind w:firstLine="709"/>
        <w:jc w:val="both"/>
      </w:pPr>
      <w:r>
        <w:t xml:space="preserve">Кредитно-финансовые учреждения предоставляют капитал инвесторам, не располагающим достаточными средствами. </w:t>
      </w:r>
    </w:p>
    <w:p w:rsidR="00101EEB" w:rsidRDefault="007561DA">
      <w:pPr>
        <w:spacing w:line="360" w:lineRule="auto"/>
        <w:ind w:firstLine="709"/>
        <w:jc w:val="both"/>
      </w:pPr>
      <w:r>
        <w:t>В качестве инвесторов выступают физические и юридические лица (резиденты и нерезиденты), которые приобретают недвижимость и поддерживают ее в функционально пригодном состоянии.</w:t>
      </w:r>
    </w:p>
    <w:p w:rsidR="00101EEB" w:rsidRDefault="007561DA">
      <w:pPr>
        <w:spacing w:line="360" w:lineRule="auto"/>
        <w:ind w:firstLine="709"/>
        <w:jc w:val="both"/>
      </w:pPr>
      <w:r>
        <w:t>Инвесторов можно разделить на два типа:</w:t>
      </w:r>
    </w:p>
    <w:p w:rsidR="00101EEB" w:rsidRDefault="007561DA">
      <w:pPr>
        <w:spacing w:line="360" w:lineRule="auto"/>
        <w:ind w:firstLine="709"/>
        <w:jc w:val="both"/>
      </w:pPr>
      <w:r>
        <w:t>1) активные – финансируют и занимаются строительством, развитием или управлением объекта;</w:t>
      </w:r>
    </w:p>
    <w:p w:rsidR="00101EEB" w:rsidRDefault="007561DA">
      <w:pPr>
        <w:spacing w:line="360" w:lineRule="auto"/>
        <w:ind w:firstLine="709"/>
        <w:jc w:val="both"/>
      </w:pPr>
      <w:r>
        <w:t>2) пассивные – только финансируют проект, не принимая в нем дальнейшее участие.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Инвестирование в недвижимость, приносящую доход, является наиболее прибыльным. Привлекательность приобретения доходной недвижимости заключается в отдаче от инвестиций после погашения операционных расходов. Однако в этом случае выше риск из-за низкой ликвидности недвижимости и длительности срока окупаемости вложенных средств.</w:t>
      </w:r>
    </w:p>
    <w:p w:rsidR="00101EEB" w:rsidRDefault="007561DA">
      <w:pPr>
        <w:pStyle w:val="15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Методы и преимущества инвестирования</w:t>
      </w:r>
    </w:p>
    <w:p w:rsidR="00101EEB" w:rsidRDefault="00101EEB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Методы инвестирования на рынке недвижимости могут быть </w:t>
      </w:r>
      <w:r>
        <w:rPr>
          <w:b/>
          <w:bCs/>
          <w:sz w:val="28"/>
          <w:szCs w:val="28"/>
        </w:rPr>
        <w:t>прямыми и косвенными.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Прямые</w:t>
      </w:r>
      <w:r>
        <w:rPr>
          <w:sz w:val="28"/>
          <w:szCs w:val="28"/>
        </w:rPr>
        <w:t xml:space="preserve"> – приобретение недвижимости на торгах в соответствии с частным договором, покупка с обратной арендой.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Косвенные</w:t>
      </w:r>
      <w:r>
        <w:rPr>
          <w:sz w:val="28"/>
          <w:szCs w:val="28"/>
        </w:rPr>
        <w:t xml:space="preserve"> – покупка ценных бумаг компаний, специализирующихся на инвестициях в недвижимость, инвестиции в обеспеченные недвижимостью закладные.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Вложения в недвижимость, как и вложения в корпоративные ценные бумаги, – долгосрочные.</w:t>
      </w:r>
    </w:p>
    <w:p w:rsidR="00101EEB" w:rsidRDefault="007561DA">
      <w:pPr>
        <w:pStyle w:val="15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Инвестиции в недвижимость характеризуются большей степенью сохранности, безопасности и возможностью контролирования инвестором, чем инвестиции в акции.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источники и величину инвестиций в недвижимость влияют: ожидаемый доход на инвестиции; ставка банковского процента; налоговая политика в целом и в инвестиционной сфере в частности; темпы инфляции; степень риска инвестиций в недвижимость. 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привлекательности вложений в недвижимость в условиях инфляции: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быстрое обесценение денег при недостаточной надежности их сохранности в кредитных учреждениях;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частое несоответствие банковской ставки уровню инфляции;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ограниченность более доходных направлений инвестирования;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остаточная доступность и простота инвестирования в жилье;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инвестирующий в недвижимость, приносящую доход, может в этих условиях повышать арендную плату, сохраняя тем самым вложенные средства.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казахстанской  экономики с высокими темпами инфляции инвестиционная деятельность подвержена значительным рискам, что приводит к снижению инвестиционной активности на рынке недвижимости. Ограниченность инвестиционных ресурсов обусловила процесс свертывания строительства практически во всех отраслях экономики.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Казахстане инвестиционная активность на рынке недвижимости снижена. Даже рынок жилья, который является самым активным сегментом рынка недвижимости, оказался не обеспечен соответствующими кредитно-финансовыми механизмами, которые поддержали бы платежеспособный спрос населения и сделали бы возможным улучшение жилищных условий населения в массовом порядке. Сбалансированность интересов всех участников процесса финансирования недвижимости – необходимая составляющая нормального функционирования рынка недвижимости.</w:t>
      </w:r>
    </w:p>
    <w:p w:rsidR="00101EEB" w:rsidRDefault="007561DA">
      <w:pPr>
        <w:spacing w:line="360" w:lineRule="auto"/>
        <w:ind w:firstLine="708"/>
        <w:jc w:val="both"/>
      </w:pPr>
      <w:bookmarkStart w:id="1" w:name="1"/>
      <w:bookmarkEnd w:id="1"/>
      <w:r>
        <w:t>Инвестирование в недвижимость, приносящую доход, является наиболее прибыльным. Привлекательность приобретения доходной недвижимости заключается в отдаче от инвестиций после погашения операционных расходов. Однако в этом случае выше риск из-за низкой ликвидности недвижимости и длительности срока окупаемости вложенных средств. Методы инвестирования на рынке недвижимости могут быть прямыми и косвенными.</w:t>
      </w:r>
    </w:p>
    <w:p w:rsidR="00101EEB" w:rsidRDefault="007561DA">
      <w:pPr>
        <w:pStyle w:val="1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источники и величину инвестиций в недвижимость влияют: ожидаемый доход на инвестиции; ставка банковского процента; налоговая политика в целом и в инвестиционной сфере в частности; темпы инфляции; степень риска инвестиций в недвижимость. </w:t>
      </w:r>
    </w:p>
    <w:p w:rsidR="00101EEB" w:rsidRDefault="007561DA">
      <w:pPr>
        <w:spacing w:before="120" w:after="240" w:line="336" w:lineRule="atLeast"/>
        <w:jc w:val="both"/>
        <w:rPr>
          <w:color w:val="232322"/>
          <w:sz w:val="24"/>
          <w:szCs w:val="24"/>
        </w:rPr>
      </w:pPr>
      <w:r>
        <w:rPr>
          <w:color w:val="232322"/>
        </w:rPr>
        <w:t xml:space="preserve">Понятие инвестиционного климата включает в себя условия, созданные в стране для бизнеса, а также возможности, которые предоставляются инвесторам. </w:t>
      </w:r>
      <w:r>
        <w:rPr>
          <w:color w:val="232322"/>
          <w:sz w:val="24"/>
          <w:szCs w:val="24"/>
        </w:rPr>
        <w:t xml:space="preserve">Задача по улучшению инвестиционного климата существовала всегда, и постоянно мы работаем над тем, чтобы его совершенствовать. Как результат: Всемирный банк включил Казахстан в двадцатку наиболее привлекательных стран мира, а по итогам 2008 года по индексу легкости ведения бизнеса мы поднялись на 10 позиций вверх с 80-го на 70-е место. В 2009 году методология расчета рейтинга изменилась, и Казахстан занял 63-е место в рейтинге Всемирного банка Doing Business-2010. </w:t>
      </w:r>
    </w:p>
    <w:p w:rsidR="00101EEB" w:rsidRDefault="007561DA">
      <w:pPr>
        <w:spacing w:before="120" w:after="240" w:line="336" w:lineRule="atLeast"/>
        <w:jc w:val="both"/>
        <w:rPr>
          <w:color w:val="232322"/>
          <w:sz w:val="24"/>
          <w:szCs w:val="24"/>
        </w:rPr>
      </w:pPr>
      <w:r>
        <w:rPr>
          <w:color w:val="232322"/>
          <w:sz w:val="24"/>
          <w:szCs w:val="24"/>
        </w:rPr>
        <w:t xml:space="preserve">Новый налоговый кодекс, вступивший в силу в этом году, существенно снизил нагрузку на несырьевой сектор экономики. Как результат - в прошлом году был привлечен рекордный объем прямых иностранных инвестиций в Казахстан - 19 млрд. долларов США. Рост по сравнению с 2007 годом составил 7 процентов. Несмотря на кризис. </w:t>
      </w:r>
    </w:p>
    <w:p w:rsidR="00101EEB" w:rsidRDefault="007561DA">
      <w:pPr>
        <w:spacing w:before="120" w:after="240" w:line="336" w:lineRule="atLeast"/>
        <w:jc w:val="both"/>
        <w:rPr>
          <w:color w:val="232322"/>
          <w:sz w:val="24"/>
          <w:szCs w:val="24"/>
        </w:rPr>
      </w:pPr>
      <w:r>
        <w:rPr>
          <w:color w:val="232322"/>
          <w:sz w:val="24"/>
          <w:szCs w:val="24"/>
        </w:rPr>
        <w:t xml:space="preserve">В этом году, если сравнивать с первым кварталом 2008 года, имеется небольшой спад. Я думаю это общемировое явление и не связано с ухудшением инвестиционного климата в стране. Для сравнения, данный спад в два раза меньше, чем в той же России… </w:t>
      </w:r>
    </w:p>
    <w:p w:rsidR="00101EEB" w:rsidRDefault="007561DA">
      <w:pPr>
        <w:spacing w:before="120" w:after="240" w:line="336" w:lineRule="atLeast"/>
        <w:jc w:val="both"/>
        <w:rPr>
          <w:color w:val="232322"/>
          <w:sz w:val="24"/>
          <w:szCs w:val="24"/>
        </w:rPr>
      </w:pPr>
      <w:r>
        <w:rPr>
          <w:color w:val="232322"/>
          <w:sz w:val="24"/>
          <w:szCs w:val="24"/>
        </w:rPr>
        <w:t xml:space="preserve">Астана, как столица, как динамично развивающийся город, в экономическом и политическом смысле, естественно, остается одним из привлекательных регионом для инвестиций. Кончено, в части развития частного бизнеса вне конкуренции город Алматы. Если смотреть статистику именно в части иностранных инвестиций, то здесь лидерами являются западные регионы - это сырьевой сектор - Атырауская, Западно-Казахстанская и Мангыстауская области. Если говорить по обрабатывающей промышленности, то следует отметить Восточно-Казахстанскую и Карагандинскую области. В целом, у каждого региона есть свое направление, своя ниша, которая позволяет реализовать свой потенциал привлечения инвестиции. </w:t>
      </w:r>
    </w:p>
    <w:p w:rsidR="00101EEB" w:rsidRDefault="007561DA">
      <w:pPr>
        <w:pStyle w:val="15"/>
        <w:spacing w:before="0" w:after="0" w:line="360" w:lineRule="auto"/>
        <w:ind w:firstLine="709"/>
        <w:jc w:val="both"/>
      </w:pPr>
      <w:r>
        <w:t>«Насколько же «справедлива» (обоснована) была стоимость квадратного метра жилья на первичном рынке до середины 2007 года, можно легко понять, вспомнив, что пик цен тогда пришелся на июнь и составил по первичному жилью эконом- и бизнес-класса в среднем по г. Алматы 3100-3200 долларов США за кв. м. На сегодняшний день цены в данном секторе снизились более чем на 30%. По вторичному рынку среднее снижение составило 58,5%. Наибольшее в спальных микрорайонах - 63,5%, наименьшее по «золотому квадрату» - до 50%», - добавляет Александр Калинин.</w:t>
      </w:r>
      <w:bookmarkStart w:id="2" w:name="_GoBack"/>
      <w:bookmarkEnd w:id="2"/>
    </w:p>
    <w:sectPr w:rsidR="00101EEB">
      <w:headerReference w:type="even" r:id="rId8"/>
      <w:headerReference w:type="default" r:id="rId9"/>
      <w:headerReference w:type="first" r:id="rId10"/>
      <w:footnotePr>
        <w:pos w:val="beneathText"/>
        <w:numRestart w:val="eachPage"/>
      </w:footnotePr>
      <w:pgSz w:w="11905" w:h="16837"/>
      <w:pgMar w:top="720" w:right="720" w:bottom="720" w:left="720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EB" w:rsidRDefault="007561DA">
      <w:r>
        <w:separator/>
      </w:r>
    </w:p>
  </w:endnote>
  <w:endnote w:type="continuationSeparator" w:id="0">
    <w:p w:rsidR="00101EEB" w:rsidRDefault="0075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EB" w:rsidRDefault="007561DA">
      <w:r>
        <w:separator/>
      </w:r>
    </w:p>
  </w:footnote>
  <w:footnote w:type="continuationSeparator" w:id="0">
    <w:p w:rsidR="00101EEB" w:rsidRDefault="0075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EB" w:rsidRDefault="008C7630">
    <w:pPr>
      <w:pStyle w:val="13"/>
      <w:tabs>
        <w:tab w:val="center" w:pos="4677"/>
        <w:tab w:val="right" w:pos="9355"/>
      </w:tabs>
      <w:spacing w:before="0" w:after="0"/>
      <w:ind w:right="360" w:firstLine="0"/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8pt;margin-top:0;width:26.45pt;height:16.8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101EEB" w:rsidRDefault="007561DA">
                <w:pPr>
                  <w:pStyle w:val="13"/>
                  <w:tabs>
                    <w:tab w:val="center" w:pos="4677"/>
                    <w:tab w:val="right" w:pos="9355"/>
                  </w:tabs>
                  <w:spacing w:before="0" w:after="0"/>
                  <w:ind w:firstLine="0"/>
                </w:pPr>
                <w:r>
                  <w:rPr>
                    <w:rFonts w:eastAsia="Times New Roman" w:cs="Times New Roman"/>
                    <w:b w:val="0"/>
                    <w:bCs w:val="0"/>
                    <w:color w:val="auto"/>
                    <w:sz w:val="28"/>
                    <w:szCs w:val="28"/>
                  </w:rPr>
                  <w:fldChar w:fldCharType="begin"/>
                </w:r>
                <w:r>
                  <w:rPr>
                    <w:rFonts w:eastAsia="Times New Roman" w:cs="Times New Roman"/>
                    <w:b w:val="0"/>
                    <w:bCs w:val="0"/>
                    <w:color w:val="auto"/>
                    <w:sz w:val="28"/>
                    <w:szCs w:val="28"/>
                  </w:rPr>
                  <w:instrText xml:space="preserve"> PAGE \*Arabic </w:instrText>
                </w:r>
                <w:r>
                  <w:rPr>
                    <w:rFonts w:eastAsia="Times New Roman" w:cs="Times New Roman"/>
                    <w:b w:val="0"/>
                    <w:bCs w:val="0"/>
                    <w:color w:val="auto"/>
                    <w:sz w:val="28"/>
                    <w:szCs w:val="28"/>
                  </w:rPr>
                  <w:fldChar w:fldCharType="separate"/>
                </w:r>
                <w:r>
                  <w:rPr>
                    <w:rFonts w:eastAsia="Times New Roman" w:cs="Times New Roman"/>
                    <w:b w:val="0"/>
                    <w:bCs w:val="0"/>
                    <w:color w:val="auto"/>
                    <w:sz w:val="28"/>
                    <w:szCs w:val="28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b w:val="0"/>
                    <w:bCs w:val="0"/>
                    <w:color w:val="auto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EB" w:rsidRDefault="007561DA">
    <w:pPr>
      <w:pStyle w:val="13"/>
      <w:jc w:val="right"/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pPr>
    <w:r>
      <w:fldChar w:fldCharType="begin"/>
    </w:r>
    <w:r>
      <w:instrText xml:space="preserve"> PAGE \*Arabic </w:instrText>
    </w:r>
    <w:r>
      <w:fldChar w:fldCharType="separate"/>
    </w:r>
    <w:r>
      <w:t>5</w:t>
    </w:r>
    <w:r>
      <w:fldChar w:fldCharType="end"/>
    </w:r>
  </w:p>
  <w:p w:rsidR="00101EEB" w:rsidRDefault="00101EEB">
    <w:pPr>
      <w:pStyle w:val="13"/>
      <w:tabs>
        <w:tab w:val="center" w:pos="4677"/>
        <w:tab w:val="right" w:pos="9355"/>
      </w:tabs>
      <w:spacing w:before="0" w:after="0"/>
      <w:ind w:right="360" w:firstLine="0"/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EB" w:rsidRDefault="00101E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1DA"/>
    <w:rsid w:val="00101EEB"/>
    <w:rsid w:val="007561DA"/>
    <w:rsid w:val="008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BAF2DE0-676A-49C8-9E67-092AFA2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Symbol" w:eastAsia="Symbol" w:hAnsi="Symbol" w:cs="Symbol"/>
      <w:sz w:val="20"/>
      <w:szCs w:val="20"/>
    </w:rPr>
  </w:style>
  <w:style w:type="character" w:customStyle="1" w:styleId="RTFNum23">
    <w:name w:val="RTF_Num 2 3"/>
    <w:rPr>
      <w:rFonts w:ascii="Symbol" w:eastAsia="Symbol" w:hAnsi="Symbol" w:cs="Symbol"/>
      <w:sz w:val="20"/>
      <w:szCs w:val="20"/>
    </w:rPr>
  </w:style>
  <w:style w:type="character" w:customStyle="1" w:styleId="RTFNum24">
    <w:name w:val="RTF_Num 2 4"/>
    <w:rPr>
      <w:rFonts w:ascii="Symbol" w:eastAsia="Symbol" w:hAnsi="Symbol" w:cs="Symbol"/>
      <w:sz w:val="20"/>
      <w:szCs w:val="20"/>
    </w:rPr>
  </w:style>
  <w:style w:type="character" w:customStyle="1" w:styleId="RTFNum25">
    <w:name w:val="RTF_Num 2 5"/>
    <w:rPr>
      <w:rFonts w:ascii="Symbol" w:eastAsia="Symbol" w:hAnsi="Symbol" w:cs="Symbol"/>
      <w:sz w:val="20"/>
      <w:szCs w:val="20"/>
    </w:rPr>
  </w:style>
  <w:style w:type="character" w:customStyle="1" w:styleId="RTFNum26">
    <w:name w:val="RTF_Num 2 6"/>
    <w:rPr>
      <w:rFonts w:ascii="Symbol" w:eastAsia="Symbol" w:hAnsi="Symbol" w:cs="Symbol"/>
      <w:sz w:val="20"/>
      <w:szCs w:val="20"/>
    </w:rPr>
  </w:style>
  <w:style w:type="character" w:customStyle="1" w:styleId="RTFNum27">
    <w:name w:val="RTF_Num 2 7"/>
    <w:rPr>
      <w:rFonts w:ascii="Symbol" w:eastAsia="Symbol" w:hAnsi="Symbol" w:cs="Symbol"/>
      <w:sz w:val="20"/>
      <w:szCs w:val="20"/>
    </w:rPr>
  </w:style>
  <w:style w:type="character" w:customStyle="1" w:styleId="RTFNum28">
    <w:name w:val="RTF_Num 2 8"/>
    <w:rPr>
      <w:rFonts w:ascii="Symbol" w:eastAsia="Symbol" w:hAnsi="Symbol" w:cs="Symbol"/>
      <w:sz w:val="20"/>
      <w:szCs w:val="20"/>
    </w:rPr>
  </w:style>
  <w:style w:type="character" w:customStyle="1" w:styleId="RTFNum29">
    <w:name w:val="RTF_Num 2 9"/>
    <w:rPr>
      <w:rFonts w:ascii="Symbol" w:eastAsia="Symbol" w:hAnsi="Symbol" w:cs="Symbol"/>
      <w:sz w:val="20"/>
      <w:szCs w:val="20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ascii="Symbol" w:eastAsia="Symbol" w:hAnsi="Symbol" w:cs="Symbol"/>
      <w:sz w:val="20"/>
      <w:szCs w:val="20"/>
    </w:rPr>
  </w:style>
  <w:style w:type="character" w:customStyle="1" w:styleId="RTFNum62">
    <w:name w:val="RTF_Num 6 2"/>
    <w:rPr>
      <w:rFonts w:ascii="Courier New" w:eastAsia="Courier New" w:hAnsi="Courier New" w:cs="Courier New"/>
      <w:sz w:val="20"/>
      <w:szCs w:val="20"/>
    </w:rPr>
  </w:style>
  <w:style w:type="character" w:customStyle="1" w:styleId="RTFNum63">
    <w:name w:val="RTF_Num 6 3"/>
    <w:rPr>
      <w:rFonts w:ascii="Wingdings" w:eastAsia="Wingdings" w:hAnsi="Wingdings" w:cs="Wingdings"/>
      <w:sz w:val="20"/>
      <w:szCs w:val="20"/>
    </w:rPr>
  </w:style>
  <w:style w:type="character" w:customStyle="1" w:styleId="RTFNum64">
    <w:name w:val="RTF_Num 6 4"/>
    <w:rPr>
      <w:rFonts w:ascii="Wingdings" w:eastAsia="Wingdings" w:hAnsi="Wingdings" w:cs="Wingdings"/>
      <w:sz w:val="20"/>
      <w:szCs w:val="20"/>
    </w:rPr>
  </w:style>
  <w:style w:type="character" w:customStyle="1" w:styleId="RTFNum65">
    <w:name w:val="RTF_Num 6 5"/>
    <w:rPr>
      <w:rFonts w:ascii="Wingdings" w:eastAsia="Wingdings" w:hAnsi="Wingdings" w:cs="Wingdings"/>
      <w:sz w:val="20"/>
      <w:szCs w:val="20"/>
    </w:rPr>
  </w:style>
  <w:style w:type="character" w:customStyle="1" w:styleId="RTFNum66">
    <w:name w:val="RTF_Num 6 6"/>
    <w:rPr>
      <w:rFonts w:ascii="Wingdings" w:eastAsia="Wingdings" w:hAnsi="Wingdings" w:cs="Wingdings"/>
      <w:sz w:val="20"/>
      <w:szCs w:val="20"/>
    </w:rPr>
  </w:style>
  <w:style w:type="character" w:customStyle="1" w:styleId="RTFNum67">
    <w:name w:val="RTF_Num 6 7"/>
    <w:rPr>
      <w:rFonts w:ascii="Wingdings" w:eastAsia="Wingdings" w:hAnsi="Wingdings" w:cs="Wingdings"/>
      <w:sz w:val="20"/>
      <w:szCs w:val="20"/>
    </w:rPr>
  </w:style>
  <w:style w:type="character" w:customStyle="1" w:styleId="RTFNum68">
    <w:name w:val="RTF_Num 6 8"/>
    <w:rPr>
      <w:rFonts w:ascii="Wingdings" w:eastAsia="Wingdings" w:hAnsi="Wingdings" w:cs="Wingdings"/>
      <w:sz w:val="20"/>
      <w:szCs w:val="20"/>
    </w:rPr>
  </w:style>
  <w:style w:type="character" w:customStyle="1" w:styleId="RTFNum69">
    <w:name w:val="RTF_Num 6 9"/>
    <w:rPr>
      <w:rFonts w:ascii="Wingdings" w:eastAsia="Wingdings" w:hAnsi="Wingdings" w:cs="Wingdings"/>
      <w:sz w:val="20"/>
      <w:szCs w:val="20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RTFNum81">
    <w:name w:val="RTF_Num 8 1"/>
    <w:rPr>
      <w:rFonts w:ascii="Symbol" w:eastAsia="Symbol" w:hAnsi="Symbol" w:cs="Symbol"/>
      <w:sz w:val="20"/>
      <w:szCs w:val="20"/>
    </w:rPr>
  </w:style>
  <w:style w:type="character" w:customStyle="1" w:styleId="RTFNum82">
    <w:name w:val="RTF_Num 8 2"/>
    <w:rPr>
      <w:rFonts w:ascii="Symbol" w:eastAsia="Symbol" w:hAnsi="Symbol" w:cs="Symbol"/>
      <w:sz w:val="20"/>
      <w:szCs w:val="20"/>
    </w:rPr>
  </w:style>
  <w:style w:type="character" w:customStyle="1" w:styleId="RTFNum83">
    <w:name w:val="RTF_Num 8 3"/>
    <w:rPr>
      <w:rFonts w:ascii="Symbol" w:eastAsia="Symbol" w:hAnsi="Symbol" w:cs="Symbol"/>
      <w:sz w:val="20"/>
      <w:szCs w:val="20"/>
    </w:rPr>
  </w:style>
  <w:style w:type="character" w:customStyle="1" w:styleId="RTFNum84">
    <w:name w:val="RTF_Num 8 4"/>
    <w:rPr>
      <w:rFonts w:ascii="Symbol" w:eastAsia="Symbol" w:hAnsi="Symbol" w:cs="Symbol"/>
      <w:sz w:val="20"/>
      <w:szCs w:val="20"/>
    </w:rPr>
  </w:style>
  <w:style w:type="character" w:customStyle="1" w:styleId="RTFNum85">
    <w:name w:val="RTF_Num 8 5"/>
    <w:rPr>
      <w:rFonts w:ascii="Symbol" w:eastAsia="Symbol" w:hAnsi="Symbol" w:cs="Symbol"/>
      <w:sz w:val="20"/>
      <w:szCs w:val="20"/>
    </w:rPr>
  </w:style>
  <w:style w:type="character" w:customStyle="1" w:styleId="RTFNum86">
    <w:name w:val="RTF_Num 8 6"/>
    <w:rPr>
      <w:rFonts w:ascii="Symbol" w:eastAsia="Symbol" w:hAnsi="Symbol" w:cs="Symbol"/>
      <w:sz w:val="20"/>
      <w:szCs w:val="20"/>
    </w:rPr>
  </w:style>
  <w:style w:type="character" w:customStyle="1" w:styleId="RTFNum87">
    <w:name w:val="RTF_Num 8 7"/>
    <w:rPr>
      <w:rFonts w:ascii="Symbol" w:eastAsia="Symbol" w:hAnsi="Symbol" w:cs="Symbol"/>
      <w:sz w:val="20"/>
      <w:szCs w:val="20"/>
    </w:rPr>
  </w:style>
  <w:style w:type="character" w:customStyle="1" w:styleId="RTFNum88">
    <w:name w:val="RTF_Num 8 8"/>
    <w:rPr>
      <w:rFonts w:ascii="Symbol" w:eastAsia="Symbol" w:hAnsi="Symbol" w:cs="Symbol"/>
      <w:sz w:val="20"/>
      <w:szCs w:val="20"/>
    </w:rPr>
  </w:style>
  <w:style w:type="character" w:customStyle="1" w:styleId="RTFNum89">
    <w:name w:val="RTF_Num 8 9"/>
    <w:rPr>
      <w:rFonts w:ascii="Symbol" w:eastAsia="Symbol" w:hAnsi="Symbol" w:cs="Symbol"/>
      <w:sz w:val="20"/>
      <w:szCs w:val="20"/>
    </w:rPr>
  </w:style>
  <w:style w:type="character" w:customStyle="1" w:styleId="RTFNum91">
    <w:name w:val="RTF_Num 9 1"/>
    <w:rPr>
      <w:rFonts w:ascii="Symbol" w:eastAsia="Symbol" w:hAnsi="Symbol" w:cs="Symbol"/>
      <w:sz w:val="20"/>
      <w:szCs w:val="20"/>
    </w:rPr>
  </w:style>
  <w:style w:type="character" w:customStyle="1" w:styleId="RTFNum92">
    <w:name w:val="RTF_Num 9 2"/>
    <w:rPr>
      <w:rFonts w:ascii="Courier New" w:eastAsia="Courier New" w:hAnsi="Courier New" w:cs="Courier New"/>
      <w:sz w:val="20"/>
      <w:szCs w:val="20"/>
    </w:rPr>
  </w:style>
  <w:style w:type="character" w:customStyle="1" w:styleId="RTFNum93">
    <w:name w:val="RTF_Num 9 3"/>
    <w:rPr>
      <w:rFonts w:ascii="Wingdings" w:eastAsia="Wingdings" w:hAnsi="Wingdings" w:cs="Wingdings"/>
      <w:sz w:val="20"/>
      <w:szCs w:val="20"/>
    </w:rPr>
  </w:style>
  <w:style w:type="character" w:customStyle="1" w:styleId="RTFNum94">
    <w:name w:val="RTF_Num 9 4"/>
    <w:rPr>
      <w:rFonts w:ascii="Wingdings" w:eastAsia="Wingdings" w:hAnsi="Wingdings" w:cs="Wingdings"/>
      <w:sz w:val="20"/>
      <w:szCs w:val="20"/>
    </w:rPr>
  </w:style>
  <w:style w:type="character" w:customStyle="1" w:styleId="RTFNum95">
    <w:name w:val="RTF_Num 9 5"/>
    <w:rPr>
      <w:rFonts w:ascii="Wingdings" w:eastAsia="Wingdings" w:hAnsi="Wingdings" w:cs="Wingdings"/>
      <w:sz w:val="20"/>
      <w:szCs w:val="20"/>
    </w:rPr>
  </w:style>
  <w:style w:type="character" w:customStyle="1" w:styleId="RTFNum96">
    <w:name w:val="RTF_Num 9 6"/>
    <w:rPr>
      <w:rFonts w:ascii="Wingdings" w:eastAsia="Wingdings" w:hAnsi="Wingdings" w:cs="Wingdings"/>
      <w:sz w:val="20"/>
      <w:szCs w:val="20"/>
    </w:rPr>
  </w:style>
  <w:style w:type="character" w:customStyle="1" w:styleId="RTFNum97">
    <w:name w:val="RTF_Num 9 7"/>
    <w:rPr>
      <w:rFonts w:ascii="Wingdings" w:eastAsia="Wingdings" w:hAnsi="Wingdings" w:cs="Wingdings"/>
      <w:sz w:val="20"/>
      <w:szCs w:val="20"/>
    </w:rPr>
  </w:style>
  <w:style w:type="character" w:customStyle="1" w:styleId="RTFNum98">
    <w:name w:val="RTF_Num 9 8"/>
    <w:rPr>
      <w:rFonts w:ascii="Wingdings" w:eastAsia="Wingdings" w:hAnsi="Wingdings" w:cs="Wingdings"/>
      <w:sz w:val="20"/>
      <w:szCs w:val="20"/>
    </w:rPr>
  </w:style>
  <w:style w:type="character" w:customStyle="1" w:styleId="RTFNum99">
    <w:name w:val="RTF_Num 9 9"/>
    <w:rPr>
      <w:rFonts w:ascii="Wingdings" w:eastAsia="Wingdings" w:hAnsi="Wingdings" w:cs="Wingdings"/>
      <w:sz w:val="20"/>
      <w:szCs w:val="20"/>
    </w:rPr>
  </w:style>
  <w:style w:type="character" w:customStyle="1" w:styleId="RTFNum101">
    <w:name w:val="RTF_Num 10 1"/>
    <w:rPr>
      <w:rFonts w:ascii="Symbol" w:eastAsia="Symbol" w:hAnsi="Symbol" w:cs="Symbol"/>
      <w:sz w:val="20"/>
      <w:szCs w:val="20"/>
    </w:rPr>
  </w:style>
  <w:style w:type="character" w:customStyle="1" w:styleId="RTFNum102">
    <w:name w:val="RTF_Num 10 2"/>
    <w:rPr>
      <w:rFonts w:ascii="Symbol" w:eastAsia="Symbol" w:hAnsi="Symbol" w:cs="Symbol"/>
      <w:sz w:val="20"/>
      <w:szCs w:val="20"/>
    </w:rPr>
  </w:style>
  <w:style w:type="character" w:customStyle="1" w:styleId="RTFNum103">
    <w:name w:val="RTF_Num 10 3"/>
    <w:rPr>
      <w:rFonts w:ascii="Symbol" w:eastAsia="Symbol" w:hAnsi="Symbol" w:cs="Symbol"/>
      <w:sz w:val="20"/>
      <w:szCs w:val="20"/>
    </w:rPr>
  </w:style>
  <w:style w:type="character" w:customStyle="1" w:styleId="RTFNum104">
    <w:name w:val="RTF_Num 10 4"/>
    <w:rPr>
      <w:rFonts w:ascii="Symbol" w:eastAsia="Symbol" w:hAnsi="Symbol" w:cs="Symbol"/>
      <w:sz w:val="20"/>
      <w:szCs w:val="20"/>
    </w:rPr>
  </w:style>
  <w:style w:type="character" w:customStyle="1" w:styleId="RTFNum105">
    <w:name w:val="RTF_Num 10 5"/>
    <w:rPr>
      <w:rFonts w:ascii="Symbol" w:eastAsia="Symbol" w:hAnsi="Symbol" w:cs="Symbol"/>
      <w:sz w:val="20"/>
      <w:szCs w:val="20"/>
    </w:rPr>
  </w:style>
  <w:style w:type="character" w:customStyle="1" w:styleId="RTFNum106">
    <w:name w:val="RTF_Num 10 6"/>
    <w:rPr>
      <w:rFonts w:ascii="Symbol" w:eastAsia="Symbol" w:hAnsi="Symbol" w:cs="Symbol"/>
      <w:sz w:val="20"/>
      <w:szCs w:val="20"/>
    </w:rPr>
  </w:style>
  <w:style w:type="character" w:customStyle="1" w:styleId="RTFNum107">
    <w:name w:val="RTF_Num 10 7"/>
    <w:rPr>
      <w:rFonts w:ascii="Symbol" w:eastAsia="Symbol" w:hAnsi="Symbol" w:cs="Symbol"/>
      <w:sz w:val="20"/>
      <w:szCs w:val="20"/>
    </w:rPr>
  </w:style>
  <w:style w:type="character" w:customStyle="1" w:styleId="RTFNum108">
    <w:name w:val="RTF_Num 10 8"/>
    <w:rPr>
      <w:rFonts w:ascii="Symbol" w:eastAsia="Symbol" w:hAnsi="Symbol" w:cs="Symbol"/>
      <w:sz w:val="20"/>
      <w:szCs w:val="20"/>
    </w:rPr>
  </w:style>
  <w:style w:type="character" w:customStyle="1" w:styleId="RTFNum109">
    <w:name w:val="RTF_Num 10 9"/>
    <w:rPr>
      <w:rFonts w:ascii="Symbol" w:eastAsia="Symbol" w:hAnsi="Symbol" w:cs="Symbol"/>
      <w:sz w:val="20"/>
      <w:szCs w:val="20"/>
    </w:rPr>
  </w:style>
  <w:style w:type="character" w:customStyle="1" w:styleId="RTFNum111">
    <w:name w:val="RTF_Num 11 1"/>
    <w:rPr>
      <w:rFonts w:cs="Times New Roman"/>
    </w:rPr>
  </w:style>
  <w:style w:type="character" w:customStyle="1" w:styleId="RTFNum112">
    <w:name w:val="RTF_Num 11 2"/>
    <w:rPr>
      <w:rFonts w:cs="Times New Roman"/>
    </w:rPr>
  </w:style>
  <w:style w:type="character" w:customStyle="1" w:styleId="RTFNum113">
    <w:name w:val="RTF_Num 11 3"/>
    <w:rPr>
      <w:rFonts w:cs="Times New Roman"/>
    </w:rPr>
  </w:style>
  <w:style w:type="character" w:customStyle="1" w:styleId="RTFNum114">
    <w:name w:val="RTF_Num 11 4"/>
    <w:rPr>
      <w:rFonts w:cs="Times New Roman"/>
    </w:rPr>
  </w:style>
  <w:style w:type="character" w:customStyle="1" w:styleId="RTFNum115">
    <w:name w:val="RTF_Num 11 5"/>
    <w:rPr>
      <w:rFonts w:cs="Times New Roman"/>
    </w:rPr>
  </w:style>
  <w:style w:type="character" w:customStyle="1" w:styleId="RTFNum116">
    <w:name w:val="RTF_Num 11 6"/>
    <w:rPr>
      <w:rFonts w:cs="Times New Roman"/>
    </w:rPr>
  </w:style>
  <w:style w:type="character" w:customStyle="1" w:styleId="RTFNum117">
    <w:name w:val="RTF_Num 11 7"/>
    <w:rPr>
      <w:rFonts w:cs="Times New Roman"/>
    </w:rPr>
  </w:style>
  <w:style w:type="character" w:customStyle="1" w:styleId="RTFNum118">
    <w:name w:val="RTF_Num 11 8"/>
    <w:rPr>
      <w:rFonts w:cs="Times New Roman"/>
    </w:rPr>
  </w:style>
  <w:style w:type="character" w:customStyle="1" w:styleId="RTFNum119">
    <w:name w:val="RTF_Num 11 9"/>
    <w:rPr>
      <w:rFonts w:cs="Times New Roman"/>
    </w:rPr>
  </w:style>
  <w:style w:type="character" w:customStyle="1" w:styleId="RTFNum121">
    <w:name w:val="RTF_Num 12 1"/>
    <w:rPr>
      <w:rFonts w:cs="Times New Roman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RTFNum131">
    <w:name w:val="RTF_Num 13 1"/>
    <w:rPr>
      <w:rFonts w:cs="Times New Roman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</w:rPr>
  </w:style>
  <w:style w:type="character" w:customStyle="1" w:styleId="RTFNum135">
    <w:name w:val="RTF_Num 13 5"/>
    <w:rPr>
      <w:rFonts w:cs="Times New Roman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3">
    <w:name w:val="Âåðõíèé êîëîíòèòóë Çíàê"/>
    <w:basedOn w:val="1"/>
    <w:rPr>
      <w:rFonts w:cs="Times New Roman"/>
      <w:sz w:val="28"/>
      <w:szCs w:val="28"/>
    </w:rPr>
  </w:style>
  <w:style w:type="character" w:customStyle="1" w:styleId="10">
    <w:name w:val="Номер страницы1"/>
    <w:basedOn w:val="1"/>
    <w:rPr>
      <w:rFonts w:cs="Times New Roman"/>
    </w:rPr>
  </w:style>
  <w:style w:type="character" w:customStyle="1" w:styleId="a4">
    <w:name w:val="Íèæíèé êîëîíòèòóë Çíàê"/>
    <w:basedOn w:val="1"/>
    <w:rPr>
      <w:rFonts w:cs="Times New Roman"/>
      <w:sz w:val="28"/>
      <w:szCs w:val="28"/>
    </w:rPr>
  </w:style>
  <w:style w:type="character" w:styleId="a5">
    <w:name w:val="Hyperlink"/>
    <w:basedOn w:val="1"/>
    <w:semiHidden/>
    <w:rPr>
      <w:rFonts w:cs="Times New Roman"/>
      <w:color w:val="0000FF"/>
      <w:u w:val="single"/>
    </w:rPr>
  </w:style>
  <w:style w:type="character" w:customStyle="1" w:styleId="a6">
    <w:name w:val="Òåêñò ñíîñêè Çíàê"/>
    <w:basedOn w:val="1"/>
    <w:rPr>
      <w:rFonts w:cs="Times New Roman"/>
    </w:rPr>
  </w:style>
  <w:style w:type="character" w:customStyle="1" w:styleId="11">
    <w:name w:val="Знак сноски1"/>
    <w:basedOn w:val="1"/>
    <w:rPr>
      <w:rFonts w:cs="Times New Roman"/>
      <w:position w:val="6"/>
      <w:sz w:val="14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Nimbus Sans L" w:eastAsia="Nimbus Sans L" w:hAnsi="Nimbus Sans L" w:cs="Nimbus Sans L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Nimbus Sans 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3">
    <w:name w:val="Верхний колонтитул1"/>
    <w:basedOn w:val="a"/>
    <w:pPr>
      <w:spacing w:before="100" w:after="100"/>
      <w:ind w:firstLine="100"/>
    </w:pPr>
    <w:rPr>
      <w:rFonts w:ascii="Arial CYR" w:eastAsia="Arial CYR" w:hAnsi="Arial CYR" w:cs="Arial CYR"/>
      <w:b/>
      <w:bCs/>
      <w:color w:val="003399"/>
      <w:sz w:val="18"/>
      <w:szCs w:val="18"/>
    </w:rPr>
  </w:style>
  <w:style w:type="paragraph" w:customStyle="1" w:styleId="14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15">
    <w:name w:val="Обычный (веб)1"/>
    <w:basedOn w:val="a"/>
    <w:pPr>
      <w:spacing w:before="100" w:after="100"/>
    </w:pPr>
    <w:rPr>
      <w:sz w:val="24"/>
      <w:szCs w:val="24"/>
    </w:rPr>
  </w:style>
  <w:style w:type="paragraph" w:customStyle="1" w:styleId="16">
    <w:name w:val="Текст сноски1"/>
    <w:basedOn w:val="a"/>
    <w:rPr>
      <w:sz w:val="20"/>
      <w:szCs w:val="20"/>
    </w:rPr>
  </w:style>
  <w:style w:type="paragraph" w:styleId="a9">
    <w:name w:val="header"/>
    <w:basedOn w:val="a"/>
    <w:semiHidden/>
    <w:pPr>
      <w:suppressLineNumbers/>
      <w:tabs>
        <w:tab w:val="center" w:pos="5233"/>
        <w:tab w:val="right" w:pos="1046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lick.begun.ru/kick.jsp?url=4vrJyEqLL7C57pAGkIVHUeWv_X4spSrW1TJzodrgt1T8I2bgxLl03_j7teogmPFpOmeoF63yC_Xjbfm71pWRKBQcbLY78w76GTedosXWWCovAyIhEdRNuZUOmCyLYJ8vx5BgOKuxhl6K3OqYJGhZPLlfOnvZV7cUERTvlKec83rSb4LaxXVNphjGLOx_UA6GUzu-2Ix1TOW4JzvGbWaaGu9izNwc9UR6UUNcKJxDddoVEO6hZ3k_-mmwZaCLO1CDRxI1ayfGrq0FSenSXHc6UdATUJN99lDl7ywUkjk3ptJj9-YdA30DRiRD1zdoemVdZzoSRHCipSn4jN_DeoB-15heg9oIa8QonsQiRwczrqFSopU8Ms0HrJfD_v7JQ9XaJdEcymNCKPAt9ANaBNz_WIeuzavnbx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.begun.ru/kick.jsp?url=4vrJyCv3FcrDlOp86v89K5_VhwRW31Csr0gJ26CazS5kwBRY89IipVhy20PXLqkYSxbZZtyDeoQFZ2NohsJKdKK7xr8PSzKYRa4hHmF_OLP02DFh3-7aPhKJH6sM5xioQBfnvyw2AdkNW20fo-_euz7Yvfxe0DCTlpNoEyAbdP03k0cLoIFx9mImB-w0TI5lOAmYhH1JpIhC11wPBeoq-w6DLT39FKWbsKK9yX2ilDv08Q9AhpjeG4hRhEFq2rFipvPUisYnT0zkqAgzvZbbsDHysXKcF7EEDs31c9jWRzPgmwGRhqEu3b_YTKzz4f7G_KGJ3-s5PrLgPpNwaysAfjH3KnOhwm2BN22L7q6aBwj7CzyVm2SuBYLTKCmvAL7_FvR5mlgoHB17a9sAgDUtQij6Jzbsh_9sfMgF0UNfDW0D2ZjdVAxqpua5gbfHG4xU6UD720qiqd_r2qsjOeQXSLebQqWLelB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1574</Words>
  <Characters>8975</Characters>
  <Application>Microsoft Office Word</Application>
  <DocSecurity>0</DocSecurity>
  <Lines>74</Lines>
  <Paragraphs>21</Paragraphs>
  <ScaleCrop>false</ScaleCrop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2014-05-21T03:20:00Z</dcterms:created>
  <dcterms:modified xsi:type="dcterms:W3CDTF">2014-05-21T03:20:00Z</dcterms:modified>
</cp:coreProperties>
</file>