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b/>
          <w:bCs/>
          <w:sz w:val="48"/>
          <w:lang w:val="uk-UA"/>
        </w:rPr>
      </w:pPr>
    </w:p>
    <w:p w:rsidR="00C32992" w:rsidRDefault="002F17BE">
      <w:pPr>
        <w:spacing w:line="360" w:lineRule="auto"/>
        <w:ind w:left="357"/>
        <w:jc w:val="center"/>
        <w:rPr>
          <w:rFonts w:ascii="Arial" w:hAnsi="Arial" w:cs="Arial"/>
          <w:b/>
          <w:bCs/>
          <w:sz w:val="48"/>
          <w:lang w:val="uk-UA"/>
        </w:rPr>
      </w:pPr>
      <w:r>
        <w:rPr>
          <w:rFonts w:ascii="Arial" w:hAnsi="Arial" w:cs="Arial"/>
          <w:b/>
          <w:bCs/>
          <w:sz w:val="48"/>
          <w:lang w:val="uk-UA"/>
        </w:rPr>
        <w:t xml:space="preserve">Реферат </w:t>
      </w:r>
    </w:p>
    <w:p w:rsidR="00C32992" w:rsidRDefault="002F17BE">
      <w:pPr>
        <w:spacing w:line="360" w:lineRule="auto"/>
        <w:ind w:left="357"/>
        <w:jc w:val="center"/>
        <w:rPr>
          <w:rFonts w:ascii="Arial" w:hAnsi="Arial" w:cs="Arial"/>
          <w:b/>
          <w:bCs/>
          <w:sz w:val="36"/>
          <w:lang w:val="uk-UA"/>
        </w:rPr>
      </w:pPr>
      <w:r>
        <w:rPr>
          <w:rFonts w:ascii="Arial" w:hAnsi="Arial" w:cs="Arial"/>
          <w:b/>
          <w:bCs/>
          <w:sz w:val="36"/>
          <w:lang w:val="uk-UA"/>
        </w:rPr>
        <w:t>на тему:</w:t>
      </w:r>
    </w:p>
    <w:p w:rsidR="00C32992" w:rsidRDefault="002F17BE">
      <w:pPr>
        <w:spacing w:line="360" w:lineRule="auto"/>
        <w:ind w:left="357"/>
        <w:jc w:val="center"/>
        <w:rPr>
          <w:rFonts w:ascii="Arial" w:hAnsi="Arial" w:cs="Arial"/>
          <w:b/>
          <w:bCs/>
          <w:shadow/>
          <w:sz w:val="48"/>
          <w:lang w:val="uk-UA"/>
        </w:rPr>
      </w:pPr>
      <w:r>
        <w:rPr>
          <w:rFonts w:ascii="Arial" w:hAnsi="Arial" w:cs="Arial"/>
          <w:b/>
          <w:bCs/>
          <w:shadow/>
          <w:sz w:val="48"/>
          <w:lang w:val="uk-UA"/>
        </w:rPr>
        <w:t>Перспективи України в галузі автоматизації та робототехніки</w:t>
      </w:r>
    </w:p>
    <w:p w:rsidR="00C32992" w:rsidRDefault="00C32992">
      <w:pPr>
        <w:ind w:left="360"/>
        <w:jc w:val="center"/>
        <w:rPr>
          <w:rFonts w:ascii="Arial" w:hAnsi="Arial" w:cs="Arial"/>
          <w:b/>
          <w:bCs/>
          <w:sz w:val="48"/>
          <w:lang w:val="uk-UA"/>
        </w:rPr>
      </w:pPr>
    </w:p>
    <w:p w:rsidR="00C32992" w:rsidRDefault="00C32992">
      <w:pPr>
        <w:ind w:left="360"/>
        <w:jc w:val="center"/>
        <w:rPr>
          <w:rFonts w:ascii="Arial" w:hAnsi="Arial" w:cs="Arial"/>
          <w:b/>
          <w:bCs/>
          <w:sz w:val="48"/>
          <w:lang w:val="uk-UA"/>
        </w:rPr>
      </w:pPr>
    </w:p>
    <w:p w:rsidR="00C32992" w:rsidRDefault="00C32992">
      <w:pPr>
        <w:ind w:left="360"/>
        <w:jc w:val="center"/>
        <w:rPr>
          <w:rFonts w:ascii="Arial" w:hAnsi="Arial" w:cs="Arial"/>
          <w:b/>
          <w:bCs/>
          <w:sz w:val="48"/>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C32992">
      <w:pPr>
        <w:jc w:val="center"/>
        <w:rPr>
          <w:rFonts w:ascii="Arial" w:hAnsi="Arial" w:cs="Arial"/>
          <w:lang w:val="uk-UA"/>
        </w:rPr>
      </w:pPr>
    </w:p>
    <w:p w:rsidR="00C32992" w:rsidRDefault="00C32992">
      <w:pPr>
        <w:ind w:left="360"/>
        <w:jc w:val="center"/>
        <w:rPr>
          <w:rFonts w:ascii="Arial" w:hAnsi="Arial" w:cs="Arial"/>
          <w:lang w:val="uk-UA"/>
        </w:rPr>
        <w:sectPr w:rsidR="00C32992">
          <w:pgSz w:w="11906" w:h="16838"/>
          <w:pgMar w:top="1440" w:right="1800" w:bottom="1440" w:left="1800" w:header="708" w:footer="708" w:gutter="0"/>
          <w:cols w:space="708"/>
          <w:docGrid w:linePitch="360"/>
        </w:sectPr>
      </w:pPr>
    </w:p>
    <w:p w:rsidR="00C32992" w:rsidRDefault="002F17BE">
      <w:pPr>
        <w:ind w:left="360"/>
        <w:jc w:val="center"/>
        <w:rPr>
          <w:rFonts w:ascii="Arial" w:hAnsi="Arial" w:cs="Arial"/>
          <w:lang w:val="uk-UA"/>
        </w:rPr>
      </w:pPr>
      <w:r>
        <w:rPr>
          <w:rFonts w:ascii="Arial" w:hAnsi="Arial" w:cs="Arial"/>
          <w:lang w:val="uk-UA"/>
        </w:rPr>
        <w:t>Зміст</w:t>
      </w:r>
    </w:p>
    <w:p w:rsidR="00C32992" w:rsidRDefault="00C32992">
      <w:pPr>
        <w:ind w:left="360"/>
        <w:jc w:val="center"/>
        <w:rPr>
          <w:rFonts w:ascii="Arial" w:hAnsi="Arial" w:cs="Arial"/>
          <w:lang w:val="uk-UA"/>
        </w:rPr>
      </w:pPr>
    </w:p>
    <w:p w:rsidR="00C32992" w:rsidRDefault="002F17BE">
      <w:pPr>
        <w:ind w:left="360"/>
        <w:rPr>
          <w:rFonts w:ascii="Arial" w:hAnsi="Arial" w:cs="Arial"/>
          <w:lang w:val="uk-UA"/>
        </w:rPr>
      </w:pPr>
      <w:r>
        <w:rPr>
          <w:rFonts w:ascii="Arial" w:hAnsi="Arial" w:cs="Arial"/>
          <w:lang w:val="uk-UA"/>
        </w:rPr>
        <w:t xml:space="preserve">Вступ                                                                                                            </w:t>
      </w:r>
    </w:p>
    <w:p w:rsidR="00C32992" w:rsidRDefault="00C32992">
      <w:pPr>
        <w:ind w:left="360"/>
        <w:rPr>
          <w:rFonts w:ascii="Arial" w:hAnsi="Arial" w:cs="Arial"/>
          <w:lang w:val="uk-UA"/>
        </w:rPr>
      </w:pPr>
    </w:p>
    <w:p w:rsidR="00C32992" w:rsidRDefault="002F17BE">
      <w:pPr>
        <w:ind w:left="360"/>
        <w:rPr>
          <w:rFonts w:ascii="Arial" w:hAnsi="Arial" w:cs="Arial"/>
          <w:lang w:val="uk-UA"/>
        </w:rPr>
      </w:pPr>
      <w:r>
        <w:rPr>
          <w:rFonts w:ascii="Arial" w:hAnsi="Arial" w:cs="Arial"/>
          <w:lang w:val="uk-UA"/>
        </w:rPr>
        <w:t>Частина 1</w:t>
      </w:r>
    </w:p>
    <w:p w:rsidR="00C32992" w:rsidRDefault="002F17BE">
      <w:pPr>
        <w:ind w:left="360"/>
        <w:rPr>
          <w:rFonts w:ascii="Arial" w:hAnsi="Arial" w:cs="Arial"/>
          <w:lang w:val="uk-UA"/>
        </w:rPr>
      </w:pPr>
      <w:r>
        <w:rPr>
          <w:rFonts w:ascii="Arial" w:hAnsi="Arial" w:cs="Arial"/>
          <w:lang w:val="uk-UA"/>
        </w:rPr>
        <w:t>Сучасний стан галузі автоматизації та робототехніки в Україні</w:t>
      </w:r>
    </w:p>
    <w:p w:rsidR="00C32992" w:rsidRDefault="00C32992">
      <w:pPr>
        <w:ind w:left="360"/>
        <w:rPr>
          <w:rFonts w:ascii="Arial" w:hAnsi="Arial" w:cs="Arial"/>
          <w:lang w:val="uk-UA"/>
        </w:rPr>
      </w:pPr>
    </w:p>
    <w:p w:rsidR="00C32992" w:rsidRDefault="002F17BE">
      <w:pPr>
        <w:ind w:left="360"/>
        <w:rPr>
          <w:rFonts w:ascii="Arial" w:hAnsi="Arial" w:cs="Arial"/>
          <w:lang w:val="uk-UA"/>
        </w:rPr>
      </w:pPr>
      <w:r>
        <w:rPr>
          <w:rFonts w:ascii="Arial" w:hAnsi="Arial" w:cs="Arial"/>
          <w:lang w:val="uk-UA"/>
        </w:rPr>
        <w:t>Частина 2</w:t>
      </w:r>
    </w:p>
    <w:p w:rsidR="00C32992" w:rsidRDefault="002F17BE">
      <w:pPr>
        <w:ind w:left="360"/>
        <w:rPr>
          <w:rFonts w:ascii="Arial" w:hAnsi="Arial" w:cs="Arial"/>
          <w:lang w:val="uk-UA"/>
        </w:rPr>
      </w:pPr>
      <w:r>
        <w:rPr>
          <w:rFonts w:ascii="Arial" w:hAnsi="Arial" w:cs="Arial"/>
          <w:lang w:val="uk-UA"/>
        </w:rPr>
        <w:t>Шляхи підвищення конкурентоздатності галузі</w:t>
      </w:r>
    </w:p>
    <w:p w:rsidR="00C32992" w:rsidRDefault="00C32992">
      <w:pPr>
        <w:ind w:left="360"/>
        <w:rPr>
          <w:rFonts w:ascii="Arial" w:hAnsi="Arial" w:cs="Arial"/>
          <w:lang w:val="uk-UA"/>
        </w:rPr>
      </w:pPr>
    </w:p>
    <w:p w:rsidR="00C32992" w:rsidRDefault="002F17BE">
      <w:pPr>
        <w:ind w:left="360"/>
        <w:rPr>
          <w:rFonts w:ascii="Arial" w:hAnsi="Arial" w:cs="Arial"/>
          <w:lang w:val="uk-UA"/>
        </w:rPr>
      </w:pPr>
      <w:r>
        <w:rPr>
          <w:rFonts w:ascii="Arial" w:hAnsi="Arial" w:cs="Arial"/>
          <w:lang w:val="uk-UA"/>
        </w:rPr>
        <w:t>Висновок</w:t>
      </w: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C32992">
      <w:pPr>
        <w:ind w:left="360"/>
        <w:jc w:val="center"/>
        <w:rPr>
          <w:rFonts w:ascii="Arial" w:hAnsi="Arial" w:cs="Arial"/>
          <w:lang w:val="en-US"/>
        </w:rPr>
      </w:pPr>
    </w:p>
    <w:p w:rsidR="00C32992" w:rsidRDefault="002F17BE">
      <w:pPr>
        <w:ind w:left="360"/>
        <w:jc w:val="center"/>
        <w:rPr>
          <w:rFonts w:ascii="Arial" w:hAnsi="Arial" w:cs="Arial"/>
          <w:lang w:val="uk-UA"/>
        </w:rPr>
      </w:pPr>
      <w:r>
        <w:rPr>
          <w:rFonts w:ascii="Arial" w:hAnsi="Arial" w:cs="Arial"/>
          <w:lang w:val="uk-UA"/>
        </w:rPr>
        <w:t>Вступ</w:t>
      </w:r>
    </w:p>
    <w:p w:rsidR="00C32992" w:rsidRDefault="00C32992">
      <w:pPr>
        <w:ind w:left="360"/>
        <w:jc w:val="center"/>
        <w:rPr>
          <w:rFonts w:ascii="Arial" w:hAnsi="Arial" w:cs="Arial"/>
          <w:lang w:val="uk-UA"/>
        </w:rPr>
      </w:pPr>
    </w:p>
    <w:p w:rsidR="00C32992" w:rsidRDefault="002F17BE">
      <w:pPr>
        <w:ind w:firstLine="540"/>
        <w:jc w:val="both"/>
        <w:rPr>
          <w:rFonts w:ascii="Arial" w:hAnsi="Arial" w:cs="Arial"/>
          <w:lang w:val="uk-UA"/>
        </w:rPr>
      </w:pPr>
      <w:r>
        <w:rPr>
          <w:rFonts w:ascii="Arial" w:hAnsi="Arial" w:cs="Arial"/>
          <w:lang w:val="uk-UA"/>
        </w:rPr>
        <w:t>Головною відмінною рисою сучасності є небачений розвиток науки та техніки. Місце країни в сучасному світі визначається не стільки надлишком робочих рук та сировини, скільки якістю людського капіталу, рівнем освіти та практичного використання знань, інноваційною активністю економіки. Стратегічною моделлю та локомотивом зростання економіки більшості розвинених країн стала розробка новітніх технологій, виробництво на їх основі високотехнологічних товарів та послуг та вихід з ними на світові ринки. Розмір світового ринку “мирних” технологій, наукоємних товарів та послуг становить більш як 2 трлн.дол.США.</w:t>
      </w:r>
    </w:p>
    <w:p w:rsidR="00C32992" w:rsidRDefault="002F17BE">
      <w:pPr>
        <w:pStyle w:val="a4"/>
        <w:ind w:firstLine="720"/>
        <w:rPr>
          <w:lang w:val="en-US"/>
        </w:rPr>
      </w:pPr>
      <w:r>
        <w:t>Автоматизація та робототехніка є одним із пріоритетних напрямків розвитку промисловості в усіх розвинених країнах. Дана галузь є важливою також і в міжнародних програмах розвитку науково-технічного потенціалу. Наприклад, програма “Евріка”, що була заснована в 1980 році для подолання відставання  Європи від США у високотехнологічних галузях (у програмі беруть участь 24 європейські країни), одним із дев’яти пріоритетних напрямків досліджень визначає автоматизацію та робототехніку. Дані факти свідчать про те, що для України розширення її сегменту на ринку засобів автоматизації, збереження та підвищення їх конкурентоздатності мають стати одним із найважливіших напрямів державної політики.</w:t>
      </w:r>
    </w:p>
    <w:p w:rsidR="00C32992" w:rsidRDefault="002F17BE">
      <w:pPr>
        <w:pStyle w:val="a4"/>
        <w:ind w:firstLine="720"/>
      </w:pPr>
      <w:r>
        <w:t>Дане дослідження має виявити, в якому стані перебуває галузь автоматизації та робототехніки України на даний момент, на яких ринках присутня її продукція, чи є можливості розширення ринкової частки українських підприємств, якими є перспективи галузі. Слід виявити конкурентні переваги продукції українських підприємств, а також фактори, що перешкоджають її успішному конкуруванню із світовими аналогами. Необхідно з’ясувати можливості підвищення конкурентоздатності української продукції та необхідні для цього умови.</w:t>
      </w:r>
    </w:p>
    <w:p w:rsidR="00C32992" w:rsidRDefault="002F17BE">
      <w:pPr>
        <w:pStyle w:val="a4"/>
        <w:ind w:firstLine="720"/>
      </w:pPr>
      <w:r>
        <w:t xml:space="preserve">У першому розділі даної роботи ми проаналізуємо діяльність двох  українських підприємств – виробників засобів автоматизації. Буде розглянуто переваги та недоліки їхньої продукції, діяльність підприємств на закордонних ринках. </w:t>
      </w:r>
    </w:p>
    <w:p w:rsidR="00C32992" w:rsidRDefault="002F17BE">
      <w:pPr>
        <w:pStyle w:val="a4"/>
        <w:ind w:firstLine="720"/>
      </w:pPr>
      <w:r>
        <w:t>У другому розділі ми</w:t>
      </w:r>
      <w:r>
        <w:rPr>
          <w:lang w:val="ru-RU"/>
        </w:rPr>
        <w:t xml:space="preserve"> спробуємо виявити типові проблеми, з якими стикаються підприємства галузі, та</w:t>
      </w:r>
      <w:r>
        <w:t xml:space="preserve"> розглянемо можливі шляхи розв</w:t>
      </w:r>
      <w:r>
        <w:rPr>
          <w:lang w:val="ru-RU"/>
        </w:rPr>
        <w:t>’</w:t>
      </w:r>
      <w:r>
        <w:t>язання проблем галузі. Слід, по-перше, оцінити державну політику щодо галузі, по-друге – пояснити рівень зацікавленості в ній приватних інвесторів та кредиторів. На основі зроблених висновків слід запропонувати заходи щодо розвитку галузі, підвищення її конкурентоспроможності.</w:t>
      </w:r>
    </w:p>
    <w:p w:rsidR="00C32992" w:rsidRDefault="00C32992">
      <w:pPr>
        <w:pStyle w:val="a4"/>
        <w:ind w:firstLine="720"/>
      </w:pPr>
    </w:p>
    <w:p w:rsidR="00C32992" w:rsidRDefault="00C32992">
      <w:pPr>
        <w:pStyle w:val="a4"/>
        <w:ind w:firstLine="720"/>
      </w:pPr>
    </w:p>
    <w:p w:rsidR="00C32992" w:rsidRDefault="00C32992">
      <w:pPr>
        <w:pStyle w:val="a4"/>
        <w:ind w:firstLine="720"/>
      </w:pPr>
    </w:p>
    <w:p w:rsidR="00C32992" w:rsidRDefault="00C32992">
      <w:pPr>
        <w:pStyle w:val="a4"/>
        <w:ind w:firstLine="720"/>
      </w:pPr>
    </w:p>
    <w:p w:rsidR="00C32992" w:rsidRDefault="00C32992">
      <w:pPr>
        <w:pStyle w:val="a4"/>
        <w:ind w:firstLine="720"/>
      </w:pPr>
    </w:p>
    <w:p w:rsidR="00C32992" w:rsidRDefault="00C32992">
      <w:pPr>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jc w:val="both"/>
        <w:rPr>
          <w:rFonts w:ascii="Arial" w:hAnsi="Arial" w:cs="Arial"/>
          <w:lang w:val="ru-RU"/>
        </w:rPr>
      </w:pPr>
    </w:p>
    <w:p w:rsidR="00C32992" w:rsidRDefault="00C32992">
      <w:pPr>
        <w:jc w:val="both"/>
        <w:rPr>
          <w:rFonts w:ascii="Arial" w:hAnsi="Arial" w:cs="Arial"/>
          <w:lang w:val="ru-RU"/>
        </w:rPr>
      </w:pPr>
    </w:p>
    <w:p w:rsidR="00C32992" w:rsidRDefault="002F17BE">
      <w:pPr>
        <w:jc w:val="center"/>
        <w:rPr>
          <w:rFonts w:ascii="Arial" w:hAnsi="Arial" w:cs="Arial"/>
          <w:lang w:val="ru-RU"/>
        </w:rPr>
      </w:pPr>
      <w:r>
        <w:rPr>
          <w:rFonts w:ascii="Arial" w:hAnsi="Arial" w:cs="Arial"/>
          <w:lang w:val="ru-RU"/>
        </w:rPr>
        <w:t>Частина 1</w:t>
      </w:r>
    </w:p>
    <w:p w:rsidR="00C32992" w:rsidRDefault="002F17BE">
      <w:pPr>
        <w:jc w:val="center"/>
        <w:rPr>
          <w:rFonts w:ascii="Arial" w:hAnsi="Arial" w:cs="Arial"/>
          <w:lang w:val="ru-RU"/>
        </w:rPr>
      </w:pPr>
      <w:r>
        <w:rPr>
          <w:rFonts w:ascii="Arial" w:hAnsi="Arial" w:cs="Arial"/>
          <w:lang w:val="ru-RU"/>
        </w:rPr>
        <w:t>Сучасний стан галузі автоматизації та робототехніки в Україні</w:t>
      </w:r>
    </w:p>
    <w:p w:rsidR="00C32992" w:rsidRDefault="00C32992">
      <w:pPr>
        <w:ind w:firstLine="540"/>
        <w:jc w:val="both"/>
        <w:rPr>
          <w:rFonts w:ascii="Arial" w:hAnsi="Arial" w:cs="Arial"/>
          <w:lang w:val="ru-RU"/>
        </w:rPr>
      </w:pPr>
    </w:p>
    <w:p w:rsidR="00C32992" w:rsidRDefault="002F17BE">
      <w:pPr>
        <w:ind w:firstLine="540"/>
        <w:jc w:val="both"/>
        <w:rPr>
          <w:rFonts w:ascii="Arial" w:hAnsi="Arial" w:cs="Arial"/>
          <w:lang w:val="uk-UA"/>
        </w:rPr>
      </w:pPr>
      <w:r>
        <w:rPr>
          <w:rFonts w:ascii="Arial" w:hAnsi="Arial" w:cs="Arial"/>
          <w:lang w:val="ru-RU"/>
        </w:rPr>
        <w:t>Спробуємо дослідити діяльність двох українських підприємств, що виготовляють засоби автоматизації та робототехніки – заводу «Кристал» та об’єднання “</w:t>
      </w:r>
      <w:r>
        <w:rPr>
          <w:rFonts w:ascii="Arial" w:hAnsi="Arial" w:cs="Arial"/>
          <w:lang w:val="en-US"/>
        </w:rPr>
        <w:t>AMICO</w:t>
      </w:r>
      <w:r>
        <w:rPr>
          <w:rFonts w:ascii="Arial" w:hAnsi="Arial" w:cs="Arial"/>
          <w:lang w:val="uk-UA"/>
        </w:rPr>
        <w:t>”.</w:t>
      </w:r>
    </w:p>
    <w:p w:rsidR="00C32992" w:rsidRDefault="002F17BE">
      <w:pPr>
        <w:pStyle w:val="a3"/>
        <w:ind w:left="0" w:firstLine="540"/>
        <w:jc w:val="both"/>
        <w:rPr>
          <w:rFonts w:ascii="Arial" w:hAnsi="Arial" w:cs="Arial"/>
          <w:sz w:val="24"/>
        </w:rPr>
      </w:pPr>
      <w:r>
        <w:rPr>
          <w:rFonts w:ascii="Arial" w:hAnsi="Arial" w:cs="Arial"/>
          <w:sz w:val="24"/>
        </w:rPr>
        <w:t>Науково-виробниче об’єднання “</w:t>
      </w:r>
      <w:r>
        <w:rPr>
          <w:rFonts w:ascii="Arial" w:hAnsi="Arial" w:cs="Arial"/>
          <w:sz w:val="24"/>
          <w:lang w:val="en-US"/>
        </w:rPr>
        <w:t>AMICO</w:t>
      </w:r>
      <w:r>
        <w:rPr>
          <w:rFonts w:ascii="Arial" w:hAnsi="Arial" w:cs="Arial"/>
          <w:sz w:val="24"/>
        </w:rPr>
        <w:t>” (</w:t>
      </w:r>
      <w:r>
        <w:rPr>
          <w:rFonts w:ascii="Arial" w:hAnsi="Arial" w:cs="Arial"/>
          <w:sz w:val="24"/>
          <w:lang w:val="en-US"/>
        </w:rPr>
        <w:t>Advanced</w:t>
      </w:r>
      <w:r>
        <w:rPr>
          <w:rFonts w:ascii="Arial" w:hAnsi="Arial" w:cs="Arial"/>
          <w:sz w:val="24"/>
        </w:rPr>
        <w:t xml:space="preserve"> </w:t>
      </w:r>
      <w:r>
        <w:rPr>
          <w:rFonts w:ascii="Arial" w:hAnsi="Arial" w:cs="Arial"/>
          <w:sz w:val="24"/>
          <w:lang w:val="en-US"/>
        </w:rPr>
        <w:t>Measuring</w:t>
      </w:r>
      <w:r>
        <w:rPr>
          <w:rFonts w:ascii="Arial" w:hAnsi="Arial" w:cs="Arial"/>
          <w:sz w:val="24"/>
        </w:rPr>
        <w:t xml:space="preserve"> </w:t>
      </w:r>
      <w:r>
        <w:rPr>
          <w:rFonts w:ascii="Arial" w:hAnsi="Arial" w:cs="Arial"/>
          <w:sz w:val="24"/>
          <w:lang w:val="en-US"/>
        </w:rPr>
        <w:t>Instruments</w:t>
      </w:r>
      <w:r>
        <w:rPr>
          <w:rFonts w:ascii="Arial" w:hAnsi="Arial" w:cs="Arial"/>
          <w:sz w:val="24"/>
        </w:rPr>
        <w:t xml:space="preserve"> </w:t>
      </w:r>
      <w:r>
        <w:rPr>
          <w:rFonts w:ascii="Arial" w:hAnsi="Arial" w:cs="Arial"/>
          <w:sz w:val="24"/>
          <w:lang w:val="en-US"/>
        </w:rPr>
        <w:t>Co</w:t>
      </w:r>
      <w:r>
        <w:rPr>
          <w:rFonts w:ascii="Arial" w:hAnsi="Arial" w:cs="Arial"/>
          <w:sz w:val="24"/>
        </w:rPr>
        <w:t xml:space="preserve">., </w:t>
      </w:r>
      <w:r>
        <w:rPr>
          <w:rFonts w:ascii="Arial" w:hAnsi="Arial" w:cs="Arial"/>
          <w:sz w:val="24"/>
          <w:lang w:val="en-US"/>
        </w:rPr>
        <w:t>Ltd</w:t>
      </w:r>
      <w:r>
        <w:rPr>
          <w:rFonts w:ascii="Arial" w:hAnsi="Arial" w:cs="Arial"/>
          <w:sz w:val="24"/>
        </w:rPr>
        <w:t xml:space="preserve">) є учасником “Державної програми стимулювання експорту продукції, в тому числі високотехнологічних виробництв”, затвердженої Постанової КМУ від 26 жовтня 2001 року (пункт 10.4.13.19. “Впровадження технології та мережі систем обліку та контролю розподілу рідких енергоносіїв). За власністю воно є на сто відсотків українським і виробляє засоби автоматизації на основі винаходів вітчизняних вчених. </w:t>
      </w:r>
    </w:p>
    <w:p w:rsidR="00C32992" w:rsidRDefault="002F17BE">
      <w:pPr>
        <w:pStyle w:val="a3"/>
        <w:ind w:left="0" w:firstLine="540"/>
        <w:jc w:val="both"/>
        <w:rPr>
          <w:rFonts w:ascii="Arial" w:hAnsi="Arial" w:cs="Arial"/>
          <w:sz w:val="24"/>
          <w:lang w:val="ru-RU"/>
        </w:rPr>
      </w:pPr>
      <w:r>
        <w:rPr>
          <w:rFonts w:ascii="Arial" w:hAnsi="Arial" w:cs="Arial"/>
          <w:sz w:val="24"/>
        </w:rPr>
        <w:t xml:space="preserve"> Ґрунтуючись на методі так званої імпульсної поліметрії (автор – доктор технічних наук Жуков Ю.Д., він же – керівник </w:t>
      </w:r>
      <w:r>
        <w:rPr>
          <w:rFonts w:ascii="Arial" w:hAnsi="Arial" w:cs="Arial"/>
          <w:sz w:val="24"/>
          <w:lang w:val="en-US"/>
        </w:rPr>
        <w:t>AMICO</w:t>
      </w:r>
      <w:r>
        <w:rPr>
          <w:rFonts w:ascii="Arial" w:hAnsi="Arial" w:cs="Arial"/>
          <w:sz w:val="24"/>
        </w:rPr>
        <w:t xml:space="preserve">), фірма розробила, виготовила і впровадила низку систем автоматизованого дистанційного контролю рідких та сипучих субстанцій, серія яких дістала загальну назву САДКО. </w:t>
      </w:r>
      <w:r>
        <w:rPr>
          <w:rFonts w:ascii="Arial" w:hAnsi="Arial" w:cs="Arial"/>
          <w:sz w:val="24"/>
          <w:lang w:val="en-US"/>
        </w:rPr>
        <w:t xml:space="preserve">Сфера застосування – нафтобази, АЗС, елеватори, газонаповнювальні станції (ГНС), морські та річкові судна та ін. </w:t>
      </w:r>
      <w:r>
        <w:rPr>
          <w:rFonts w:ascii="Arial" w:hAnsi="Arial" w:cs="Arial"/>
          <w:sz w:val="24"/>
        </w:rPr>
        <w:t>Однією з к</w:t>
      </w:r>
      <w:r>
        <w:rPr>
          <w:rFonts w:ascii="Arial" w:hAnsi="Arial" w:cs="Arial"/>
          <w:sz w:val="24"/>
          <w:lang w:val="ru-RU"/>
        </w:rPr>
        <w:t>онкурентних</w:t>
      </w:r>
      <w:r>
        <w:rPr>
          <w:rFonts w:ascii="Arial" w:hAnsi="Arial" w:cs="Arial"/>
          <w:sz w:val="24"/>
          <w:lang w:val="en-US"/>
        </w:rPr>
        <w:t xml:space="preserve"> </w:t>
      </w:r>
      <w:r>
        <w:rPr>
          <w:rFonts w:ascii="Arial" w:hAnsi="Arial" w:cs="Arial"/>
          <w:sz w:val="24"/>
          <w:lang w:val="ru-RU"/>
        </w:rPr>
        <w:t>переваг</w:t>
      </w:r>
      <w:r>
        <w:rPr>
          <w:rFonts w:ascii="Arial" w:hAnsi="Arial" w:cs="Arial"/>
          <w:sz w:val="24"/>
          <w:lang w:val="en-US"/>
        </w:rPr>
        <w:t xml:space="preserve"> </w:t>
      </w:r>
      <w:r>
        <w:rPr>
          <w:rFonts w:ascii="Arial" w:hAnsi="Arial" w:cs="Arial"/>
          <w:sz w:val="24"/>
          <w:lang w:val="ru-RU"/>
        </w:rPr>
        <w:t>систем</w:t>
      </w:r>
      <w:r>
        <w:rPr>
          <w:rFonts w:ascii="Arial" w:hAnsi="Arial" w:cs="Arial"/>
          <w:sz w:val="24"/>
          <w:lang w:val="en-US"/>
        </w:rPr>
        <w:t xml:space="preserve"> </w:t>
      </w:r>
      <w:r>
        <w:rPr>
          <w:rFonts w:ascii="Arial" w:hAnsi="Arial" w:cs="Arial"/>
          <w:sz w:val="24"/>
          <w:lang w:val="ru-RU"/>
        </w:rPr>
        <w:t>САДКО</w:t>
      </w:r>
      <w:r>
        <w:rPr>
          <w:rFonts w:ascii="Arial" w:hAnsi="Arial" w:cs="Arial"/>
          <w:sz w:val="24"/>
          <w:lang w:val="en-US"/>
        </w:rPr>
        <w:t xml:space="preserve"> </w:t>
      </w:r>
      <w:r>
        <w:rPr>
          <w:rFonts w:ascii="Arial" w:hAnsi="Arial" w:cs="Arial"/>
          <w:sz w:val="24"/>
          <w:lang w:val="ru-RU"/>
        </w:rPr>
        <w:t>є</w:t>
      </w:r>
      <w:r>
        <w:rPr>
          <w:rFonts w:ascii="Arial" w:hAnsi="Arial" w:cs="Arial"/>
          <w:sz w:val="24"/>
          <w:lang w:val="en-US"/>
        </w:rPr>
        <w:t xml:space="preserve"> </w:t>
      </w:r>
      <w:r>
        <w:rPr>
          <w:rFonts w:ascii="Arial" w:hAnsi="Arial" w:cs="Arial"/>
          <w:sz w:val="24"/>
          <w:lang w:val="ru-RU"/>
        </w:rPr>
        <w:t>її</w:t>
      </w:r>
      <w:r>
        <w:rPr>
          <w:rFonts w:ascii="Arial" w:hAnsi="Arial" w:cs="Arial"/>
          <w:sz w:val="24"/>
          <w:lang w:val="en-US"/>
        </w:rPr>
        <w:t xml:space="preserve"> </w:t>
      </w:r>
      <w:r>
        <w:rPr>
          <w:rFonts w:ascii="Arial" w:hAnsi="Arial" w:cs="Arial"/>
          <w:sz w:val="24"/>
          <w:lang w:val="ru-RU"/>
        </w:rPr>
        <w:t>якість</w:t>
      </w:r>
      <w:r>
        <w:rPr>
          <w:rFonts w:ascii="Arial" w:hAnsi="Arial" w:cs="Arial"/>
          <w:sz w:val="24"/>
          <w:lang w:val="en-US"/>
        </w:rPr>
        <w:t xml:space="preserve">: </w:t>
      </w:r>
      <w:r>
        <w:rPr>
          <w:rFonts w:ascii="Arial" w:hAnsi="Arial" w:cs="Arial"/>
          <w:sz w:val="24"/>
          <w:lang w:val="ru-RU"/>
        </w:rPr>
        <w:t>велика</w:t>
      </w:r>
      <w:r>
        <w:rPr>
          <w:rFonts w:ascii="Arial" w:hAnsi="Arial" w:cs="Arial"/>
          <w:sz w:val="24"/>
          <w:lang w:val="en-US"/>
        </w:rPr>
        <w:t xml:space="preserve"> </w:t>
      </w:r>
      <w:r>
        <w:rPr>
          <w:rFonts w:ascii="Arial" w:hAnsi="Arial" w:cs="Arial"/>
          <w:sz w:val="24"/>
          <w:lang w:val="ru-RU"/>
        </w:rPr>
        <w:t>точність</w:t>
      </w:r>
      <w:r>
        <w:rPr>
          <w:rFonts w:ascii="Arial" w:hAnsi="Arial" w:cs="Arial"/>
          <w:sz w:val="24"/>
          <w:lang w:val="en-US"/>
        </w:rPr>
        <w:t xml:space="preserve"> </w:t>
      </w:r>
      <w:r>
        <w:rPr>
          <w:rFonts w:ascii="Arial" w:hAnsi="Arial" w:cs="Arial"/>
          <w:sz w:val="24"/>
          <w:lang w:val="ru-RU"/>
        </w:rPr>
        <w:t>вимірів</w:t>
      </w:r>
      <w:r>
        <w:rPr>
          <w:rFonts w:ascii="Arial" w:hAnsi="Arial" w:cs="Arial"/>
          <w:sz w:val="24"/>
          <w:lang w:val="en-US"/>
        </w:rPr>
        <w:t xml:space="preserve">, </w:t>
      </w:r>
      <w:r>
        <w:rPr>
          <w:rFonts w:ascii="Arial" w:hAnsi="Arial" w:cs="Arial"/>
          <w:sz w:val="24"/>
          <w:lang w:val="ru-RU"/>
        </w:rPr>
        <w:t>дуже</w:t>
      </w:r>
      <w:r>
        <w:rPr>
          <w:rFonts w:ascii="Arial" w:hAnsi="Arial" w:cs="Arial"/>
          <w:sz w:val="24"/>
          <w:lang w:val="en-US"/>
        </w:rPr>
        <w:t xml:space="preserve"> </w:t>
      </w:r>
      <w:r>
        <w:rPr>
          <w:rFonts w:ascii="Arial" w:hAnsi="Arial" w:cs="Arial"/>
          <w:sz w:val="24"/>
          <w:lang w:val="ru-RU"/>
        </w:rPr>
        <w:t>незначний</w:t>
      </w:r>
      <w:r>
        <w:rPr>
          <w:rFonts w:ascii="Arial" w:hAnsi="Arial" w:cs="Arial"/>
          <w:sz w:val="24"/>
          <w:lang w:val="en-US"/>
        </w:rPr>
        <w:t xml:space="preserve"> </w:t>
      </w:r>
      <w:r>
        <w:rPr>
          <w:rFonts w:ascii="Arial" w:hAnsi="Arial" w:cs="Arial"/>
          <w:sz w:val="24"/>
          <w:lang w:val="ru-RU"/>
        </w:rPr>
        <w:t>рівень</w:t>
      </w:r>
      <w:r>
        <w:rPr>
          <w:rFonts w:ascii="Arial" w:hAnsi="Arial" w:cs="Arial"/>
          <w:sz w:val="24"/>
          <w:lang w:val="en-US"/>
        </w:rPr>
        <w:t xml:space="preserve"> </w:t>
      </w:r>
      <w:r>
        <w:rPr>
          <w:rFonts w:ascii="Arial" w:hAnsi="Arial" w:cs="Arial"/>
          <w:sz w:val="24"/>
          <w:lang w:val="ru-RU"/>
        </w:rPr>
        <w:t>інструментальної</w:t>
      </w:r>
      <w:r>
        <w:rPr>
          <w:rFonts w:ascii="Arial" w:hAnsi="Arial" w:cs="Arial"/>
          <w:sz w:val="24"/>
          <w:lang w:val="en-US"/>
        </w:rPr>
        <w:t xml:space="preserve"> </w:t>
      </w:r>
      <w:r>
        <w:rPr>
          <w:rFonts w:ascii="Arial" w:hAnsi="Arial" w:cs="Arial"/>
          <w:sz w:val="24"/>
          <w:lang w:val="ru-RU"/>
        </w:rPr>
        <w:t>похибки</w:t>
      </w:r>
      <w:r>
        <w:rPr>
          <w:rFonts w:ascii="Arial" w:hAnsi="Arial" w:cs="Arial"/>
          <w:sz w:val="24"/>
          <w:lang w:val="en-US"/>
        </w:rPr>
        <w:t xml:space="preserve">, </w:t>
      </w:r>
      <w:r>
        <w:rPr>
          <w:rFonts w:ascii="Arial" w:hAnsi="Arial" w:cs="Arial"/>
          <w:sz w:val="24"/>
          <w:lang w:val="ru-RU"/>
        </w:rPr>
        <w:t>можливість</w:t>
      </w:r>
      <w:r>
        <w:rPr>
          <w:rFonts w:ascii="Arial" w:hAnsi="Arial" w:cs="Arial"/>
          <w:sz w:val="24"/>
          <w:lang w:val="en-US"/>
        </w:rPr>
        <w:t xml:space="preserve"> </w:t>
      </w:r>
      <w:r>
        <w:rPr>
          <w:rFonts w:ascii="Arial" w:hAnsi="Arial" w:cs="Arial"/>
          <w:sz w:val="24"/>
          <w:lang w:val="ru-RU"/>
        </w:rPr>
        <w:t>одночасного</w:t>
      </w:r>
      <w:r>
        <w:rPr>
          <w:rFonts w:ascii="Arial" w:hAnsi="Arial" w:cs="Arial"/>
          <w:sz w:val="24"/>
          <w:lang w:val="en-US"/>
        </w:rPr>
        <w:t xml:space="preserve"> </w:t>
      </w:r>
      <w:r>
        <w:rPr>
          <w:rFonts w:ascii="Arial" w:hAnsi="Arial" w:cs="Arial"/>
          <w:sz w:val="24"/>
          <w:lang w:val="ru-RU"/>
        </w:rPr>
        <w:t>контролю</w:t>
      </w:r>
      <w:r>
        <w:rPr>
          <w:rFonts w:ascii="Arial" w:hAnsi="Arial" w:cs="Arial"/>
          <w:sz w:val="24"/>
          <w:lang w:val="en-US"/>
        </w:rPr>
        <w:t xml:space="preserve"> </w:t>
      </w:r>
      <w:r>
        <w:rPr>
          <w:rFonts w:ascii="Arial" w:hAnsi="Arial" w:cs="Arial"/>
          <w:sz w:val="24"/>
          <w:lang w:val="ru-RU"/>
        </w:rPr>
        <w:t>різних</w:t>
      </w:r>
      <w:r>
        <w:rPr>
          <w:rFonts w:ascii="Arial" w:hAnsi="Arial" w:cs="Arial"/>
          <w:sz w:val="24"/>
          <w:lang w:val="en-US"/>
        </w:rPr>
        <w:t xml:space="preserve"> </w:t>
      </w:r>
      <w:r>
        <w:rPr>
          <w:rFonts w:ascii="Arial" w:hAnsi="Arial" w:cs="Arial"/>
          <w:sz w:val="24"/>
          <w:lang w:val="ru-RU"/>
        </w:rPr>
        <w:t>суттєвих</w:t>
      </w:r>
      <w:r>
        <w:rPr>
          <w:rFonts w:ascii="Arial" w:hAnsi="Arial" w:cs="Arial"/>
          <w:sz w:val="24"/>
          <w:lang w:val="en-US"/>
        </w:rPr>
        <w:t xml:space="preserve"> </w:t>
      </w:r>
      <w:r>
        <w:rPr>
          <w:rFonts w:ascii="Arial" w:hAnsi="Arial" w:cs="Arial"/>
          <w:sz w:val="24"/>
          <w:lang w:val="ru-RU"/>
        </w:rPr>
        <w:t>параметрів</w:t>
      </w:r>
      <w:r>
        <w:rPr>
          <w:rFonts w:ascii="Arial" w:hAnsi="Arial" w:cs="Arial"/>
          <w:sz w:val="24"/>
          <w:lang w:val="en-US"/>
        </w:rPr>
        <w:t xml:space="preserve">. </w:t>
      </w:r>
      <w:r>
        <w:rPr>
          <w:rFonts w:ascii="Arial" w:hAnsi="Arial" w:cs="Arial"/>
          <w:sz w:val="24"/>
          <w:lang w:val="ru-RU"/>
        </w:rPr>
        <w:t>Зарубіжні аналоги на кожний параметр використовують окремий давач  (до речі, ціна такого монометричного давача більша за ціну вітчизняного поліметричного давача, який знімає та передає інформацію про декілька параметрів одночасно). Наприклад, система САДКО-ЕЛЕВ здатна контролювати в режимі реального часу рівень, температуру, вологість та масу зерна, що зберігається у силосах елеваторів. Такий контроль дозволяє ефективно запобігти втратам при зберіганні зерна, оператор на пульті управління може вчасно помітити, скажімо, збільшення температури зерна в чітко вказаному приладом місці і вжити негайних запобіжних заходів. Зайве нагадувати, яке важливе значення має застосування саме такого обладнання в умовах, коли реформоване сільське господарство України дає великі врожаї і запобігання втратам при зберіганні зерна є чи не найважливішим чинником для його ефективного продажу, зокрема за кордон. Водночас, автоматичні системи САДКО-ЕЛЕВ набувають значних переваг на ринках країн-експортерів зернових культур. Значно ширшим може бути ринок збуту для систем САДКО-Ойл, які застосовуються на нафтопереробних заводах, нафтосховищах, АЗС та ГНС, де особливе значення має не тільки можливість оперативного контролю над наявністю пального у резервуарах, але й автоматичне запобігання перегріву, переливу, неконтрольованому витіканню вогненебезпечної рідини.</w:t>
      </w:r>
    </w:p>
    <w:p w:rsidR="00C32992" w:rsidRDefault="002F17BE">
      <w:pPr>
        <w:pStyle w:val="a3"/>
        <w:ind w:left="0" w:firstLine="540"/>
        <w:jc w:val="both"/>
        <w:rPr>
          <w:rFonts w:ascii="Arial" w:hAnsi="Arial" w:cs="Arial"/>
          <w:sz w:val="24"/>
        </w:rPr>
      </w:pPr>
      <w:r>
        <w:rPr>
          <w:rFonts w:ascii="Arial" w:hAnsi="Arial" w:cs="Arial"/>
          <w:sz w:val="24"/>
        </w:rPr>
        <w:t xml:space="preserve">   Розглянемо більш детально  переваги систем САДКО на прикладі суднобудування, як експортоорієнтованої галузі, яка наразі поступово виходить із кризи.</w:t>
      </w:r>
    </w:p>
    <w:p w:rsidR="00C32992" w:rsidRDefault="002F17BE">
      <w:pPr>
        <w:pStyle w:val="a3"/>
        <w:ind w:left="0" w:firstLine="540"/>
        <w:jc w:val="both"/>
        <w:rPr>
          <w:rFonts w:ascii="Arial" w:hAnsi="Arial" w:cs="Arial"/>
          <w:sz w:val="24"/>
          <w:lang w:val="ru-RU"/>
        </w:rPr>
      </w:pPr>
      <w:r>
        <w:rPr>
          <w:rFonts w:ascii="Arial" w:hAnsi="Arial" w:cs="Arial"/>
          <w:sz w:val="24"/>
          <w:lang w:val="ru-RU"/>
        </w:rPr>
        <w:t xml:space="preserve">При експлуатації річкових, а особливо - морських суден особливе   </w:t>
      </w:r>
    </w:p>
    <w:p w:rsidR="00C32992" w:rsidRDefault="002F17BE">
      <w:pPr>
        <w:pStyle w:val="a3"/>
        <w:ind w:left="0"/>
        <w:jc w:val="both"/>
        <w:rPr>
          <w:rFonts w:ascii="Arial" w:hAnsi="Arial" w:cs="Arial"/>
          <w:sz w:val="24"/>
        </w:rPr>
      </w:pPr>
      <w:r>
        <w:rPr>
          <w:rFonts w:ascii="Arial" w:hAnsi="Arial" w:cs="Arial"/>
          <w:sz w:val="24"/>
          <w:lang w:val="ru-RU"/>
        </w:rPr>
        <w:t>значення має контроль над станом рідини (палива, мастила, питної води, баластної води, тощо) в різних резервуарах, які використовуються на судні, а також контроль рівномірного завантаження трюмів та рівня вертикальної стійкості судна. Зазвичай на судна встановлювалися зарубіжні системи такого контролю, але з появою вітчизняного аналогу виникла потреба порівняти ці системи, щоб дійти висновку про конкурентоздатність системи українського виробництва. Після вивчення необхідних документів , ми звели основні дані до таблиці 1 (див. нижче).</w:t>
      </w:r>
    </w:p>
    <w:p w:rsidR="00C32992" w:rsidRDefault="00C32992">
      <w:pPr>
        <w:pStyle w:val="a3"/>
        <w:jc w:val="both"/>
        <w:rPr>
          <w:rFonts w:ascii="Arial" w:hAnsi="Arial" w:cs="Arial"/>
          <w:sz w:val="24"/>
        </w:rPr>
      </w:pPr>
    </w:p>
    <w:p w:rsidR="00C32992" w:rsidRDefault="00C32992">
      <w:pPr>
        <w:pStyle w:val="a3"/>
        <w:jc w:val="both"/>
        <w:rPr>
          <w:rFonts w:ascii="Arial" w:hAnsi="Arial" w:cs="Arial"/>
          <w:sz w:val="24"/>
        </w:rPr>
      </w:pPr>
    </w:p>
    <w:p w:rsidR="00C32992" w:rsidRDefault="002F17BE">
      <w:pPr>
        <w:ind w:firstLine="567"/>
        <w:jc w:val="both"/>
        <w:rPr>
          <w:rFonts w:ascii="Arial" w:hAnsi="Arial" w:cs="Arial"/>
          <w:b/>
          <w:lang w:val="uk-UA"/>
        </w:rPr>
      </w:pPr>
      <w:r>
        <w:rPr>
          <w:rFonts w:ascii="Arial" w:hAnsi="Arial" w:cs="Arial"/>
          <w:lang w:val="uk-UA"/>
        </w:rPr>
        <w:t xml:space="preserve">                                                                </w:t>
      </w:r>
      <w:r>
        <w:rPr>
          <w:rFonts w:ascii="Arial" w:hAnsi="Arial" w:cs="Arial"/>
          <w:b/>
          <w:lang w:val="uk-UA"/>
        </w:rPr>
        <w:t>Таблиця 1</w:t>
      </w:r>
    </w:p>
    <w:p w:rsidR="00C32992" w:rsidRDefault="00C32992">
      <w:pPr>
        <w:ind w:firstLine="567"/>
        <w:jc w:val="both"/>
        <w:rPr>
          <w:rFonts w:ascii="Arial" w:hAnsi="Arial" w:cs="Arial"/>
          <w:lang w:val="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548"/>
        <w:gridCol w:w="1548"/>
        <w:gridCol w:w="1549"/>
      </w:tblGrid>
      <w:tr w:rsidR="00C32992">
        <w:trPr>
          <w:cantSplit/>
        </w:trPr>
        <w:tc>
          <w:tcPr>
            <w:tcW w:w="675" w:type="dxa"/>
          </w:tcPr>
          <w:p w:rsidR="00C32992" w:rsidRDefault="002F17BE">
            <w:pPr>
              <w:jc w:val="both"/>
              <w:rPr>
                <w:lang w:val="uk-UA"/>
              </w:rPr>
            </w:pPr>
            <w:r>
              <w:rPr>
                <w:lang w:val="uk-UA"/>
              </w:rPr>
              <w:t>№</w:t>
            </w:r>
          </w:p>
          <w:p w:rsidR="00C32992" w:rsidRDefault="002F17BE">
            <w:pPr>
              <w:jc w:val="both"/>
              <w:rPr>
                <w:lang w:val="uk-UA"/>
              </w:rPr>
            </w:pPr>
            <w:r>
              <w:rPr>
                <w:lang w:val="uk-UA"/>
              </w:rPr>
              <w:t>п/п</w:t>
            </w:r>
          </w:p>
        </w:tc>
        <w:tc>
          <w:tcPr>
            <w:tcW w:w="2977" w:type="dxa"/>
          </w:tcPr>
          <w:p w:rsidR="00C32992" w:rsidRDefault="002F17BE">
            <w:pPr>
              <w:pStyle w:val="1"/>
            </w:pPr>
            <w:r>
              <w:t>Найменування</w:t>
            </w:r>
          </w:p>
          <w:p w:rsidR="00C32992" w:rsidRDefault="002F17BE">
            <w:pPr>
              <w:jc w:val="center"/>
              <w:rPr>
                <w:lang w:val="uk-UA"/>
              </w:rPr>
            </w:pPr>
            <w:r>
              <w:rPr>
                <w:lang w:val="uk-UA"/>
              </w:rPr>
              <w:t>характеристик</w:t>
            </w:r>
          </w:p>
        </w:tc>
        <w:tc>
          <w:tcPr>
            <w:tcW w:w="1559" w:type="dxa"/>
          </w:tcPr>
          <w:p w:rsidR="00C32992" w:rsidRDefault="002F17BE">
            <w:pPr>
              <w:jc w:val="center"/>
              <w:rPr>
                <w:b/>
                <w:lang w:val="uk-UA"/>
              </w:rPr>
            </w:pPr>
            <w:r>
              <w:rPr>
                <w:b/>
                <w:lang w:val="uk-UA"/>
              </w:rPr>
              <w:t>САДКО</w:t>
            </w:r>
          </w:p>
          <w:p w:rsidR="00C32992" w:rsidRDefault="002F17BE">
            <w:pPr>
              <w:jc w:val="center"/>
              <w:rPr>
                <w:b/>
                <w:lang w:val="uk-UA"/>
              </w:rPr>
            </w:pPr>
            <w:r>
              <w:rPr>
                <w:b/>
                <w:lang w:val="uk-UA"/>
              </w:rPr>
              <w:t>(AMICO,</w:t>
            </w:r>
          </w:p>
          <w:p w:rsidR="00C32992" w:rsidRDefault="002F17BE">
            <w:pPr>
              <w:jc w:val="center"/>
              <w:rPr>
                <w:b/>
                <w:lang w:val="uk-UA"/>
              </w:rPr>
            </w:pPr>
            <w:r>
              <w:rPr>
                <w:b/>
                <w:lang w:val="uk-UA"/>
              </w:rPr>
              <w:t>Україна)</w:t>
            </w:r>
          </w:p>
        </w:tc>
        <w:tc>
          <w:tcPr>
            <w:tcW w:w="1548" w:type="dxa"/>
          </w:tcPr>
          <w:p w:rsidR="00C32992" w:rsidRDefault="002F17BE">
            <w:pPr>
              <w:jc w:val="center"/>
              <w:rPr>
                <w:lang w:val="en-US"/>
              </w:rPr>
            </w:pPr>
            <w:r>
              <w:rPr>
                <w:lang w:val="en-US"/>
              </w:rPr>
              <w:t>SAAB Tank</w:t>
            </w:r>
          </w:p>
          <w:p w:rsidR="00C32992" w:rsidRDefault="002F17BE">
            <w:pPr>
              <w:jc w:val="center"/>
              <w:rPr>
                <w:lang w:val="en-US"/>
              </w:rPr>
            </w:pPr>
            <w:r>
              <w:rPr>
                <w:lang w:val="en-US"/>
              </w:rPr>
              <w:t>Radar</w:t>
            </w:r>
          </w:p>
          <w:p w:rsidR="00C32992" w:rsidRDefault="002F17BE">
            <w:pPr>
              <w:jc w:val="center"/>
              <w:rPr>
                <w:lang w:val="en-US"/>
              </w:rPr>
            </w:pPr>
            <w:r>
              <w:rPr>
                <w:lang w:val="en-US"/>
              </w:rPr>
              <w:t>(Швеція)</w:t>
            </w:r>
          </w:p>
        </w:tc>
        <w:tc>
          <w:tcPr>
            <w:tcW w:w="1548" w:type="dxa"/>
          </w:tcPr>
          <w:p w:rsidR="00C32992" w:rsidRDefault="002F17BE">
            <w:pPr>
              <w:jc w:val="center"/>
              <w:rPr>
                <w:b/>
                <w:lang w:val="en-US"/>
              </w:rPr>
            </w:pPr>
            <w:r>
              <w:rPr>
                <w:b/>
                <w:lang w:val="en-US"/>
              </w:rPr>
              <w:t>Level Datic</w:t>
            </w:r>
          </w:p>
          <w:p w:rsidR="00C32992" w:rsidRDefault="002F17BE">
            <w:pPr>
              <w:jc w:val="center"/>
              <w:rPr>
                <w:b/>
                <w:lang w:val="uk-UA"/>
              </w:rPr>
            </w:pPr>
            <w:r>
              <w:rPr>
                <w:b/>
                <w:lang w:val="en-US"/>
              </w:rPr>
              <w:t>SF Control</w:t>
            </w:r>
          </w:p>
          <w:p w:rsidR="00C32992" w:rsidRDefault="002F17BE">
            <w:pPr>
              <w:jc w:val="center"/>
              <w:rPr>
                <w:b/>
                <w:lang w:val="uk-UA"/>
              </w:rPr>
            </w:pPr>
            <w:r>
              <w:rPr>
                <w:b/>
                <w:lang w:val="uk-UA"/>
              </w:rPr>
              <w:t>(Фінляндія)</w:t>
            </w:r>
          </w:p>
        </w:tc>
        <w:tc>
          <w:tcPr>
            <w:tcW w:w="1549" w:type="dxa"/>
          </w:tcPr>
          <w:p w:rsidR="00C32992" w:rsidRDefault="002F17BE">
            <w:pPr>
              <w:jc w:val="center"/>
              <w:rPr>
                <w:lang w:val="uk-UA"/>
              </w:rPr>
            </w:pPr>
            <w:r>
              <w:rPr>
                <w:lang w:val="uk-UA"/>
              </w:rPr>
              <w:t>VIMEX</w:t>
            </w:r>
          </w:p>
          <w:p w:rsidR="00C32992" w:rsidRDefault="002F17BE">
            <w:pPr>
              <w:jc w:val="center"/>
              <w:rPr>
                <w:lang w:val="uk-UA"/>
              </w:rPr>
            </w:pPr>
            <w:r>
              <w:rPr>
                <w:lang w:val="uk-UA"/>
              </w:rPr>
              <w:t>A/S</w:t>
            </w:r>
          </w:p>
          <w:p w:rsidR="00C32992" w:rsidRDefault="002F17BE">
            <w:pPr>
              <w:jc w:val="center"/>
              <w:rPr>
                <w:lang w:val="uk-UA"/>
              </w:rPr>
            </w:pPr>
            <w:r>
              <w:rPr>
                <w:lang w:val="uk-UA"/>
              </w:rPr>
              <w:t>(Норвегія)</w:t>
            </w:r>
          </w:p>
        </w:tc>
      </w:tr>
      <w:tr w:rsidR="00C32992">
        <w:trPr>
          <w:cantSplit/>
        </w:trPr>
        <w:tc>
          <w:tcPr>
            <w:tcW w:w="675" w:type="dxa"/>
          </w:tcPr>
          <w:p w:rsidR="00C32992" w:rsidRDefault="002F17BE">
            <w:pPr>
              <w:jc w:val="center"/>
              <w:rPr>
                <w:lang w:val="uk-UA"/>
              </w:rPr>
            </w:pPr>
            <w:r>
              <w:rPr>
                <w:lang w:val="uk-UA"/>
              </w:rPr>
              <w:t>1</w:t>
            </w:r>
          </w:p>
        </w:tc>
        <w:tc>
          <w:tcPr>
            <w:tcW w:w="2977" w:type="dxa"/>
          </w:tcPr>
          <w:p w:rsidR="00C32992" w:rsidRDefault="002F17BE">
            <w:pPr>
              <w:rPr>
                <w:lang w:val="uk-UA"/>
              </w:rPr>
            </w:pPr>
            <w:r>
              <w:rPr>
                <w:lang w:val="uk-UA"/>
              </w:rPr>
              <w:t>Розрізнювальна здібність (макс. точність)</w:t>
            </w:r>
          </w:p>
        </w:tc>
        <w:tc>
          <w:tcPr>
            <w:tcW w:w="1559" w:type="dxa"/>
          </w:tcPr>
          <w:p w:rsidR="00C32992" w:rsidRDefault="002F17BE">
            <w:pPr>
              <w:jc w:val="center"/>
              <w:rPr>
                <w:b/>
                <w:lang w:val="uk-UA"/>
              </w:rPr>
            </w:pPr>
            <w:r>
              <w:rPr>
                <w:b/>
                <w:lang w:val="uk-UA"/>
              </w:rPr>
              <w:t>0,5 мм</w:t>
            </w:r>
          </w:p>
        </w:tc>
        <w:tc>
          <w:tcPr>
            <w:tcW w:w="1548" w:type="dxa"/>
          </w:tcPr>
          <w:p w:rsidR="00C32992" w:rsidRDefault="002F17BE">
            <w:pPr>
              <w:jc w:val="center"/>
              <w:rPr>
                <w:lang w:val="uk-UA"/>
              </w:rPr>
            </w:pPr>
            <w:r>
              <w:rPr>
                <w:lang w:val="uk-UA"/>
              </w:rPr>
              <w:t>1 мм</w:t>
            </w:r>
          </w:p>
        </w:tc>
        <w:tc>
          <w:tcPr>
            <w:tcW w:w="1548" w:type="dxa"/>
          </w:tcPr>
          <w:p w:rsidR="00C32992" w:rsidRDefault="002F17BE">
            <w:pPr>
              <w:jc w:val="center"/>
              <w:rPr>
                <w:b/>
                <w:lang w:val="uk-UA"/>
              </w:rPr>
            </w:pPr>
            <w:r>
              <w:rPr>
                <w:b/>
                <w:lang w:val="uk-UA"/>
              </w:rPr>
              <w:t>5 мм</w:t>
            </w:r>
          </w:p>
        </w:tc>
        <w:tc>
          <w:tcPr>
            <w:tcW w:w="1549" w:type="dxa"/>
          </w:tcPr>
          <w:p w:rsidR="00C32992" w:rsidRDefault="002F17BE">
            <w:pPr>
              <w:jc w:val="center"/>
              <w:rPr>
                <w:lang w:val="uk-UA"/>
              </w:rPr>
            </w:pPr>
            <w:r>
              <w:rPr>
                <w:lang w:val="uk-UA"/>
              </w:rPr>
              <w:t>5 мм</w:t>
            </w:r>
          </w:p>
        </w:tc>
      </w:tr>
      <w:tr w:rsidR="00C32992">
        <w:trPr>
          <w:cantSplit/>
        </w:trPr>
        <w:tc>
          <w:tcPr>
            <w:tcW w:w="675" w:type="dxa"/>
          </w:tcPr>
          <w:p w:rsidR="00C32992" w:rsidRDefault="002F17BE">
            <w:pPr>
              <w:jc w:val="center"/>
              <w:rPr>
                <w:lang w:val="uk-UA"/>
              </w:rPr>
            </w:pPr>
            <w:r>
              <w:rPr>
                <w:lang w:val="uk-UA"/>
              </w:rPr>
              <w:t>2</w:t>
            </w:r>
          </w:p>
        </w:tc>
        <w:tc>
          <w:tcPr>
            <w:tcW w:w="2977" w:type="dxa"/>
          </w:tcPr>
          <w:p w:rsidR="00C32992" w:rsidRDefault="002F17BE">
            <w:pPr>
              <w:rPr>
                <w:lang w:val="uk-UA"/>
              </w:rPr>
            </w:pPr>
            <w:r>
              <w:rPr>
                <w:lang w:val="uk-UA"/>
              </w:rPr>
              <w:t>Інструментальна похибка (системна)</w:t>
            </w:r>
          </w:p>
        </w:tc>
        <w:tc>
          <w:tcPr>
            <w:tcW w:w="1559" w:type="dxa"/>
          </w:tcPr>
          <w:p w:rsidR="00C32992" w:rsidRDefault="002F17BE">
            <w:pPr>
              <w:jc w:val="center"/>
              <w:rPr>
                <w:b/>
                <w:lang w:val="uk-UA"/>
              </w:rPr>
            </w:pPr>
            <w:r>
              <w:rPr>
                <w:b/>
                <w:lang w:val="uk-UA"/>
              </w:rPr>
              <w:t>3 мм</w:t>
            </w:r>
          </w:p>
        </w:tc>
        <w:tc>
          <w:tcPr>
            <w:tcW w:w="1548" w:type="dxa"/>
          </w:tcPr>
          <w:p w:rsidR="00C32992" w:rsidRDefault="002F17BE">
            <w:pPr>
              <w:jc w:val="center"/>
              <w:rPr>
                <w:lang w:val="uk-UA"/>
              </w:rPr>
            </w:pPr>
            <w:r>
              <w:rPr>
                <w:lang w:val="uk-UA"/>
              </w:rPr>
              <w:t>3 мм</w:t>
            </w:r>
          </w:p>
        </w:tc>
        <w:tc>
          <w:tcPr>
            <w:tcW w:w="1548" w:type="dxa"/>
          </w:tcPr>
          <w:p w:rsidR="00C32992" w:rsidRDefault="002F17BE">
            <w:pPr>
              <w:jc w:val="center"/>
              <w:rPr>
                <w:b/>
                <w:lang w:val="uk-UA"/>
              </w:rPr>
            </w:pPr>
            <w:r>
              <w:rPr>
                <w:b/>
                <w:lang w:val="uk-UA"/>
              </w:rPr>
              <w:t>Без метрол. Атестації</w:t>
            </w:r>
          </w:p>
        </w:tc>
        <w:tc>
          <w:tcPr>
            <w:tcW w:w="1549" w:type="dxa"/>
          </w:tcPr>
          <w:p w:rsidR="00C32992" w:rsidRDefault="002F17BE">
            <w:pPr>
              <w:jc w:val="center"/>
              <w:rPr>
                <w:lang w:val="uk-UA"/>
              </w:rPr>
            </w:pPr>
            <w:r>
              <w:rPr>
                <w:lang w:val="uk-UA"/>
              </w:rPr>
              <w:t>Без метрол. атестації</w:t>
            </w:r>
          </w:p>
        </w:tc>
      </w:tr>
      <w:tr w:rsidR="00C32992">
        <w:trPr>
          <w:cantSplit/>
        </w:trPr>
        <w:tc>
          <w:tcPr>
            <w:tcW w:w="675" w:type="dxa"/>
          </w:tcPr>
          <w:p w:rsidR="00C32992" w:rsidRDefault="002F17BE">
            <w:pPr>
              <w:jc w:val="center"/>
              <w:rPr>
                <w:lang w:val="uk-UA"/>
              </w:rPr>
            </w:pPr>
            <w:r>
              <w:rPr>
                <w:lang w:val="uk-UA"/>
              </w:rPr>
              <w:t>3</w:t>
            </w:r>
          </w:p>
        </w:tc>
        <w:tc>
          <w:tcPr>
            <w:tcW w:w="2977" w:type="dxa"/>
          </w:tcPr>
          <w:p w:rsidR="00C32992" w:rsidRDefault="002F17BE">
            <w:pPr>
              <w:rPr>
                <w:lang w:val="uk-UA"/>
              </w:rPr>
            </w:pPr>
            <w:r>
              <w:rPr>
                <w:lang w:val="uk-UA"/>
              </w:rPr>
              <w:t>Діапазон вимірювань</w:t>
            </w:r>
          </w:p>
        </w:tc>
        <w:tc>
          <w:tcPr>
            <w:tcW w:w="1559" w:type="dxa"/>
          </w:tcPr>
          <w:p w:rsidR="00C32992" w:rsidRDefault="002F17BE">
            <w:pPr>
              <w:jc w:val="center"/>
              <w:rPr>
                <w:b/>
                <w:lang w:val="uk-UA"/>
              </w:rPr>
            </w:pPr>
            <w:r>
              <w:rPr>
                <w:b/>
                <w:lang w:val="uk-UA"/>
              </w:rPr>
              <w:t>0-12 м</w:t>
            </w:r>
          </w:p>
        </w:tc>
        <w:tc>
          <w:tcPr>
            <w:tcW w:w="1548" w:type="dxa"/>
          </w:tcPr>
          <w:p w:rsidR="00C32992" w:rsidRDefault="002F17BE">
            <w:pPr>
              <w:jc w:val="center"/>
              <w:rPr>
                <w:lang w:val="uk-UA"/>
              </w:rPr>
            </w:pPr>
            <w:r>
              <w:rPr>
                <w:lang w:val="uk-UA"/>
              </w:rPr>
              <w:t>0-40 м</w:t>
            </w:r>
          </w:p>
        </w:tc>
        <w:tc>
          <w:tcPr>
            <w:tcW w:w="1548" w:type="dxa"/>
          </w:tcPr>
          <w:p w:rsidR="00C32992" w:rsidRDefault="002F17BE">
            <w:pPr>
              <w:jc w:val="center"/>
              <w:rPr>
                <w:b/>
                <w:lang w:val="uk-UA"/>
              </w:rPr>
            </w:pPr>
            <w:r>
              <w:rPr>
                <w:b/>
                <w:lang w:val="uk-UA"/>
              </w:rPr>
              <w:t>0-12 м</w:t>
            </w:r>
          </w:p>
        </w:tc>
        <w:tc>
          <w:tcPr>
            <w:tcW w:w="1549" w:type="dxa"/>
          </w:tcPr>
          <w:p w:rsidR="00C32992" w:rsidRDefault="002F17BE">
            <w:pPr>
              <w:jc w:val="center"/>
              <w:rPr>
                <w:lang w:val="uk-UA"/>
              </w:rPr>
            </w:pPr>
            <w:r>
              <w:rPr>
                <w:lang w:val="uk-UA"/>
              </w:rPr>
              <w:t>0,6-50 м</w:t>
            </w:r>
          </w:p>
        </w:tc>
      </w:tr>
      <w:tr w:rsidR="00C32992">
        <w:trPr>
          <w:cantSplit/>
        </w:trPr>
        <w:tc>
          <w:tcPr>
            <w:tcW w:w="675" w:type="dxa"/>
          </w:tcPr>
          <w:p w:rsidR="00C32992" w:rsidRDefault="002F17BE">
            <w:pPr>
              <w:jc w:val="center"/>
              <w:rPr>
                <w:lang w:val="uk-UA"/>
              </w:rPr>
            </w:pPr>
            <w:r>
              <w:rPr>
                <w:lang w:val="uk-UA"/>
              </w:rPr>
              <w:t>4</w:t>
            </w:r>
          </w:p>
        </w:tc>
        <w:tc>
          <w:tcPr>
            <w:tcW w:w="2977" w:type="dxa"/>
          </w:tcPr>
          <w:p w:rsidR="00C32992" w:rsidRDefault="002F17BE">
            <w:pPr>
              <w:rPr>
                <w:lang w:val="uk-UA"/>
              </w:rPr>
            </w:pPr>
            <w:r>
              <w:rPr>
                <w:lang w:val="uk-UA"/>
              </w:rPr>
              <w:t xml:space="preserve">Максимальна відстань </w:t>
            </w:r>
          </w:p>
          <w:p w:rsidR="00C32992" w:rsidRDefault="002F17BE">
            <w:pPr>
              <w:rPr>
                <w:lang w:val="uk-UA"/>
              </w:rPr>
            </w:pPr>
            <w:r>
              <w:rPr>
                <w:lang w:val="uk-UA"/>
              </w:rPr>
              <w:t>від ЦПУ (центрального пульту управління)</w:t>
            </w:r>
          </w:p>
        </w:tc>
        <w:tc>
          <w:tcPr>
            <w:tcW w:w="1559" w:type="dxa"/>
          </w:tcPr>
          <w:p w:rsidR="00C32992" w:rsidRDefault="00C32992">
            <w:pPr>
              <w:jc w:val="center"/>
              <w:rPr>
                <w:b/>
                <w:lang w:val="uk-UA"/>
              </w:rPr>
            </w:pPr>
          </w:p>
          <w:p w:rsidR="00C32992" w:rsidRDefault="002F17BE">
            <w:pPr>
              <w:jc w:val="center"/>
              <w:rPr>
                <w:b/>
                <w:lang w:val="uk-UA"/>
              </w:rPr>
            </w:pPr>
            <w:r>
              <w:rPr>
                <w:b/>
                <w:lang w:val="uk-UA"/>
              </w:rPr>
              <w:t>1000 м</w:t>
            </w:r>
          </w:p>
        </w:tc>
        <w:tc>
          <w:tcPr>
            <w:tcW w:w="1548" w:type="dxa"/>
          </w:tcPr>
          <w:p w:rsidR="00C32992" w:rsidRDefault="00C32992">
            <w:pPr>
              <w:jc w:val="center"/>
              <w:rPr>
                <w:lang w:val="uk-UA"/>
              </w:rPr>
            </w:pPr>
          </w:p>
          <w:p w:rsidR="00C32992" w:rsidRDefault="002F17BE">
            <w:pPr>
              <w:jc w:val="center"/>
              <w:rPr>
                <w:lang w:val="uk-UA"/>
              </w:rPr>
            </w:pPr>
            <w:r>
              <w:rPr>
                <w:lang w:val="uk-UA"/>
              </w:rPr>
              <w:t>400 м</w:t>
            </w:r>
          </w:p>
        </w:tc>
        <w:tc>
          <w:tcPr>
            <w:tcW w:w="1548" w:type="dxa"/>
          </w:tcPr>
          <w:p w:rsidR="00C32992" w:rsidRDefault="00C32992">
            <w:pPr>
              <w:jc w:val="center"/>
              <w:rPr>
                <w:b/>
                <w:lang w:val="uk-UA"/>
              </w:rPr>
            </w:pPr>
          </w:p>
          <w:p w:rsidR="00C32992" w:rsidRDefault="002F17BE">
            <w:pPr>
              <w:jc w:val="center"/>
              <w:rPr>
                <w:b/>
                <w:lang w:val="uk-UA"/>
              </w:rPr>
            </w:pPr>
            <w:r>
              <w:rPr>
                <w:b/>
                <w:lang w:val="uk-UA"/>
              </w:rPr>
              <w:t>2000 м</w:t>
            </w:r>
          </w:p>
        </w:tc>
        <w:tc>
          <w:tcPr>
            <w:tcW w:w="1549" w:type="dxa"/>
          </w:tcPr>
          <w:p w:rsidR="00C32992" w:rsidRDefault="00C32992">
            <w:pPr>
              <w:jc w:val="center"/>
              <w:rPr>
                <w:lang w:val="uk-UA"/>
              </w:rPr>
            </w:pPr>
          </w:p>
          <w:p w:rsidR="00C32992" w:rsidRDefault="002F17BE">
            <w:pPr>
              <w:jc w:val="center"/>
              <w:rPr>
                <w:lang w:val="uk-UA"/>
              </w:rPr>
            </w:pPr>
            <w:r>
              <w:rPr>
                <w:lang w:val="uk-UA"/>
              </w:rPr>
              <w:t>Необмежена</w:t>
            </w:r>
          </w:p>
        </w:tc>
      </w:tr>
      <w:tr w:rsidR="00C32992">
        <w:trPr>
          <w:cantSplit/>
        </w:trPr>
        <w:tc>
          <w:tcPr>
            <w:tcW w:w="675" w:type="dxa"/>
          </w:tcPr>
          <w:p w:rsidR="00C32992" w:rsidRDefault="002F17BE">
            <w:pPr>
              <w:jc w:val="center"/>
              <w:rPr>
                <w:lang w:val="uk-UA"/>
              </w:rPr>
            </w:pPr>
            <w:r>
              <w:rPr>
                <w:lang w:val="uk-UA"/>
              </w:rPr>
              <w:t>5</w:t>
            </w:r>
          </w:p>
        </w:tc>
        <w:tc>
          <w:tcPr>
            <w:tcW w:w="2977" w:type="dxa"/>
          </w:tcPr>
          <w:p w:rsidR="00C32992" w:rsidRDefault="002F17BE">
            <w:pPr>
              <w:rPr>
                <w:lang w:val="uk-UA"/>
              </w:rPr>
            </w:pPr>
            <w:r>
              <w:rPr>
                <w:lang w:val="uk-UA"/>
              </w:rPr>
              <w:t>Максимальна кількість давачів</w:t>
            </w:r>
          </w:p>
        </w:tc>
        <w:tc>
          <w:tcPr>
            <w:tcW w:w="1559" w:type="dxa"/>
          </w:tcPr>
          <w:p w:rsidR="00C32992" w:rsidRDefault="002F17BE">
            <w:pPr>
              <w:jc w:val="center"/>
              <w:rPr>
                <w:b/>
                <w:lang w:val="uk-UA"/>
              </w:rPr>
            </w:pPr>
            <w:r>
              <w:rPr>
                <w:b/>
                <w:lang w:val="uk-UA"/>
              </w:rPr>
              <w:t>120</w:t>
            </w:r>
          </w:p>
        </w:tc>
        <w:tc>
          <w:tcPr>
            <w:tcW w:w="1548" w:type="dxa"/>
          </w:tcPr>
          <w:p w:rsidR="00C32992" w:rsidRDefault="002F17BE">
            <w:pPr>
              <w:jc w:val="center"/>
              <w:rPr>
                <w:lang w:val="uk-UA"/>
              </w:rPr>
            </w:pPr>
            <w:r>
              <w:rPr>
                <w:lang w:val="uk-UA"/>
              </w:rPr>
              <w:t>100</w:t>
            </w:r>
          </w:p>
        </w:tc>
        <w:tc>
          <w:tcPr>
            <w:tcW w:w="1548" w:type="dxa"/>
          </w:tcPr>
          <w:p w:rsidR="00C32992" w:rsidRDefault="002F17BE">
            <w:pPr>
              <w:jc w:val="center"/>
              <w:rPr>
                <w:b/>
                <w:lang w:val="uk-UA"/>
              </w:rPr>
            </w:pPr>
            <w:r>
              <w:rPr>
                <w:b/>
                <w:lang w:val="uk-UA"/>
              </w:rPr>
              <w:t>80</w:t>
            </w:r>
          </w:p>
        </w:tc>
        <w:tc>
          <w:tcPr>
            <w:tcW w:w="1549" w:type="dxa"/>
          </w:tcPr>
          <w:p w:rsidR="00C32992" w:rsidRDefault="002F17BE">
            <w:pPr>
              <w:jc w:val="center"/>
              <w:rPr>
                <w:lang w:val="uk-UA"/>
              </w:rPr>
            </w:pPr>
            <w:r>
              <w:rPr>
                <w:lang w:val="uk-UA"/>
              </w:rPr>
              <w:t>Необмежена</w:t>
            </w:r>
          </w:p>
        </w:tc>
      </w:tr>
      <w:tr w:rsidR="00C32992">
        <w:trPr>
          <w:cantSplit/>
        </w:trPr>
        <w:tc>
          <w:tcPr>
            <w:tcW w:w="675" w:type="dxa"/>
          </w:tcPr>
          <w:p w:rsidR="00C32992" w:rsidRDefault="002F17BE">
            <w:pPr>
              <w:jc w:val="center"/>
              <w:rPr>
                <w:lang w:val="uk-UA"/>
              </w:rPr>
            </w:pPr>
            <w:r>
              <w:rPr>
                <w:lang w:val="uk-UA"/>
              </w:rPr>
              <w:t>6</w:t>
            </w:r>
          </w:p>
        </w:tc>
        <w:tc>
          <w:tcPr>
            <w:tcW w:w="2977" w:type="dxa"/>
          </w:tcPr>
          <w:p w:rsidR="00C32992" w:rsidRDefault="002F17BE">
            <w:pPr>
              <w:rPr>
                <w:lang w:val="uk-UA"/>
              </w:rPr>
            </w:pPr>
            <w:r>
              <w:rPr>
                <w:lang w:val="uk-UA"/>
              </w:rPr>
              <w:t>Діапазон робочих температур давачів (ºС)</w:t>
            </w:r>
          </w:p>
        </w:tc>
        <w:tc>
          <w:tcPr>
            <w:tcW w:w="1559" w:type="dxa"/>
          </w:tcPr>
          <w:p w:rsidR="00C32992" w:rsidRDefault="002F17BE">
            <w:pPr>
              <w:jc w:val="center"/>
              <w:rPr>
                <w:b/>
                <w:lang w:val="uk-UA"/>
              </w:rPr>
            </w:pPr>
            <w:r>
              <w:rPr>
                <w:b/>
                <w:lang w:val="uk-UA"/>
              </w:rPr>
              <w:t>-30+60</w:t>
            </w:r>
          </w:p>
        </w:tc>
        <w:tc>
          <w:tcPr>
            <w:tcW w:w="1548" w:type="dxa"/>
          </w:tcPr>
          <w:p w:rsidR="00C32992" w:rsidRDefault="002F17BE">
            <w:pPr>
              <w:jc w:val="center"/>
              <w:rPr>
                <w:lang w:val="uk-UA"/>
              </w:rPr>
            </w:pPr>
            <w:r>
              <w:rPr>
                <w:lang w:val="uk-UA"/>
              </w:rPr>
              <w:t>-40+80</w:t>
            </w:r>
          </w:p>
        </w:tc>
        <w:tc>
          <w:tcPr>
            <w:tcW w:w="1548" w:type="dxa"/>
          </w:tcPr>
          <w:p w:rsidR="00C32992" w:rsidRDefault="002F17BE">
            <w:pPr>
              <w:jc w:val="center"/>
              <w:rPr>
                <w:b/>
                <w:lang w:val="uk-UA"/>
              </w:rPr>
            </w:pPr>
            <w:r>
              <w:rPr>
                <w:b/>
                <w:lang w:val="uk-UA"/>
              </w:rPr>
              <w:t>-40+50</w:t>
            </w:r>
          </w:p>
        </w:tc>
        <w:tc>
          <w:tcPr>
            <w:tcW w:w="1549" w:type="dxa"/>
          </w:tcPr>
          <w:p w:rsidR="00C32992" w:rsidRDefault="002F17BE">
            <w:pPr>
              <w:jc w:val="center"/>
              <w:rPr>
                <w:lang w:val="uk-UA"/>
              </w:rPr>
            </w:pPr>
            <w:r>
              <w:rPr>
                <w:lang w:val="uk-UA"/>
              </w:rPr>
              <w:t>-50+80</w:t>
            </w:r>
          </w:p>
        </w:tc>
      </w:tr>
      <w:tr w:rsidR="00C32992">
        <w:trPr>
          <w:cantSplit/>
        </w:trPr>
        <w:tc>
          <w:tcPr>
            <w:tcW w:w="675" w:type="dxa"/>
          </w:tcPr>
          <w:p w:rsidR="00C32992" w:rsidRDefault="002F17BE">
            <w:pPr>
              <w:jc w:val="center"/>
              <w:rPr>
                <w:lang w:val="uk-UA"/>
              </w:rPr>
            </w:pPr>
            <w:r>
              <w:rPr>
                <w:lang w:val="uk-UA"/>
              </w:rPr>
              <w:t>7</w:t>
            </w:r>
          </w:p>
        </w:tc>
        <w:tc>
          <w:tcPr>
            <w:tcW w:w="2977" w:type="dxa"/>
          </w:tcPr>
          <w:p w:rsidR="00C32992" w:rsidRDefault="002F17BE">
            <w:pPr>
              <w:rPr>
                <w:lang w:val="uk-UA"/>
              </w:rPr>
            </w:pPr>
            <w:r>
              <w:rPr>
                <w:lang w:val="uk-UA"/>
              </w:rPr>
              <w:t>Індикація рівня підтоварної води</w:t>
            </w:r>
          </w:p>
        </w:tc>
        <w:tc>
          <w:tcPr>
            <w:tcW w:w="1559" w:type="dxa"/>
          </w:tcPr>
          <w:p w:rsidR="00C32992" w:rsidRDefault="002F17BE">
            <w:pPr>
              <w:jc w:val="center"/>
              <w:rPr>
                <w:b/>
                <w:lang w:val="uk-UA"/>
              </w:rPr>
            </w:pPr>
            <w:r>
              <w:rPr>
                <w:b/>
                <w:lang w:val="uk-UA"/>
              </w:rPr>
              <w:t>Стандартнафункція</w:t>
            </w:r>
          </w:p>
        </w:tc>
        <w:tc>
          <w:tcPr>
            <w:tcW w:w="1548" w:type="dxa"/>
          </w:tcPr>
          <w:p w:rsidR="00C32992" w:rsidRDefault="002F17BE">
            <w:pPr>
              <w:jc w:val="center"/>
              <w:rPr>
                <w:lang w:val="uk-UA"/>
              </w:rPr>
            </w:pPr>
            <w:r>
              <w:rPr>
                <w:lang w:val="uk-UA"/>
              </w:rPr>
              <w:t>Додаткове обладнання</w:t>
            </w:r>
          </w:p>
        </w:tc>
        <w:tc>
          <w:tcPr>
            <w:tcW w:w="1548" w:type="dxa"/>
          </w:tcPr>
          <w:p w:rsidR="00C32992" w:rsidRDefault="002F17BE">
            <w:pPr>
              <w:jc w:val="center"/>
              <w:rPr>
                <w:b/>
                <w:lang w:val="uk-UA"/>
              </w:rPr>
            </w:pPr>
            <w:r>
              <w:rPr>
                <w:b/>
                <w:lang w:val="uk-UA"/>
              </w:rPr>
              <w:t>Відсутня</w:t>
            </w:r>
          </w:p>
        </w:tc>
        <w:tc>
          <w:tcPr>
            <w:tcW w:w="1549" w:type="dxa"/>
          </w:tcPr>
          <w:p w:rsidR="00C32992" w:rsidRDefault="002F17BE">
            <w:pPr>
              <w:jc w:val="center"/>
              <w:rPr>
                <w:lang w:val="uk-UA"/>
              </w:rPr>
            </w:pPr>
            <w:r>
              <w:rPr>
                <w:lang w:val="uk-UA"/>
              </w:rPr>
              <w:t>Відсутня</w:t>
            </w:r>
          </w:p>
        </w:tc>
      </w:tr>
      <w:tr w:rsidR="00C32992">
        <w:trPr>
          <w:cantSplit/>
        </w:trPr>
        <w:tc>
          <w:tcPr>
            <w:tcW w:w="675" w:type="dxa"/>
          </w:tcPr>
          <w:p w:rsidR="00C32992" w:rsidRDefault="002F17BE">
            <w:pPr>
              <w:jc w:val="center"/>
              <w:rPr>
                <w:lang w:val="uk-UA"/>
              </w:rPr>
            </w:pPr>
            <w:r>
              <w:rPr>
                <w:lang w:val="uk-UA"/>
              </w:rPr>
              <w:t>8</w:t>
            </w:r>
          </w:p>
        </w:tc>
        <w:tc>
          <w:tcPr>
            <w:tcW w:w="2977" w:type="dxa"/>
          </w:tcPr>
          <w:p w:rsidR="00C32992" w:rsidRDefault="002F17BE">
            <w:pPr>
              <w:rPr>
                <w:lang w:val="uk-UA"/>
              </w:rPr>
            </w:pPr>
            <w:r>
              <w:rPr>
                <w:lang w:val="uk-UA"/>
              </w:rPr>
              <w:t>Вартість обладнання (</w:t>
            </w:r>
            <w:r>
              <w:rPr>
                <w:lang w:val="ru-RU"/>
              </w:rPr>
              <w:t>$) на 28 резервуарів</w:t>
            </w:r>
          </w:p>
        </w:tc>
        <w:tc>
          <w:tcPr>
            <w:tcW w:w="1559" w:type="dxa"/>
          </w:tcPr>
          <w:p w:rsidR="00C32992" w:rsidRDefault="002F17BE">
            <w:pPr>
              <w:jc w:val="center"/>
              <w:rPr>
                <w:b/>
                <w:lang w:val="uk-UA"/>
              </w:rPr>
            </w:pPr>
            <w:r>
              <w:rPr>
                <w:b/>
                <w:lang w:val="uk-UA"/>
              </w:rPr>
              <w:t>42000 –</w:t>
            </w:r>
          </w:p>
          <w:p w:rsidR="00C32992" w:rsidRDefault="002F17BE">
            <w:pPr>
              <w:jc w:val="center"/>
              <w:rPr>
                <w:b/>
                <w:lang w:val="uk-UA"/>
              </w:rPr>
            </w:pPr>
            <w:r>
              <w:rPr>
                <w:b/>
                <w:lang w:val="uk-UA"/>
              </w:rPr>
              <w:t>49000</w:t>
            </w:r>
          </w:p>
        </w:tc>
        <w:tc>
          <w:tcPr>
            <w:tcW w:w="1548" w:type="dxa"/>
          </w:tcPr>
          <w:p w:rsidR="00C32992" w:rsidRDefault="002F17BE">
            <w:pPr>
              <w:jc w:val="center"/>
              <w:rPr>
                <w:lang w:val="uk-UA"/>
              </w:rPr>
            </w:pPr>
            <w:r>
              <w:rPr>
                <w:lang w:val="uk-UA"/>
              </w:rPr>
              <w:t>464800 –</w:t>
            </w:r>
          </w:p>
          <w:p w:rsidR="00C32992" w:rsidRDefault="002F17BE">
            <w:pPr>
              <w:jc w:val="center"/>
              <w:rPr>
                <w:lang w:val="uk-UA"/>
              </w:rPr>
            </w:pPr>
            <w:r>
              <w:rPr>
                <w:lang w:val="uk-UA"/>
              </w:rPr>
              <w:t>495600</w:t>
            </w:r>
          </w:p>
        </w:tc>
        <w:tc>
          <w:tcPr>
            <w:tcW w:w="1548" w:type="dxa"/>
          </w:tcPr>
          <w:p w:rsidR="00C32992" w:rsidRDefault="002F17BE">
            <w:pPr>
              <w:jc w:val="center"/>
              <w:rPr>
                <w:b/>
                <w:lang w:val="uk-UA"/>
              </w:rPr>
            </w:pPr>
            <w:r>
              <w:rPr>
                <w:b/>
                <w:lang w:val="uk-UA"/>
              </w:rPr>
              <w:t>55000</w:t>
            </w:r>
          </w:p>
        </w:tc>
        <w:tc>
          <w:tcPr>
            <w:tcW w:w="1549" w:type="dxa"/>
          </w:tcPr>
          <w:p w:rsidR="00C32992" w:rsidRDefault="002F17BE">
            <w:pPr>
              <w:jc w:val="center"/>
              <w:rPr>
                <w:lang w:val="uk-UA"/>
              </w:rPr>
            </w:pPr>
            <w:r>
              <w:rPr>
                <w:lang w:val="uk-UA"/>
              </w:rPr>
              <w:t>70000</w:t>
            </w:r>
          </w:p>
        </w:tc>
      </w:tr>
      <w:tr w:rsidR="00C32992">
        <w:trPr>
          <w:cantSplit/>
        </w:trPr>
        <w:tc>
          <w:tcPr>
            <w:tcW w:w="675" w:type="dxa"/>
          </w:tcPr>
          <w:p w:rsidR="00C32992" w:rsidRDefault="002F17BE">
            <w:pPr>
              <w:jc w:val="center"/>
              <w:rPr>
                <w:lang w:val="uk-UA"/>
              </w:rPr>
            </w:pPr>
            <w:r>
              <w:rPr>
                <w:lang w:val="uk-UA"/>
              </w:rPr>
              <w:t>9</w:t>
            </w:r>
          </w:p>
        </w:tc>
        <w:tc>
          <w:tcPr>
            <w:tcW w:w="2977" w:type="dxa"/>
          </w:tcPr>
          <w:p w:rsidR="00C32992" w:rsidRDefault="002F17BE">
            <w:pPr>
              <w:rPr>
                <w:lang w:val="uk-UA"/>
              </w:rPr>
            </w:pPr>
            <w:r>
              <w:rPr>
                <w:lang w:val="uk-UA"/>
              </w:rPr>
              <w:t xml:space="preserve">Вартість без монтажа і наладки (на 1 рез., </w:t>
            </w:r>
            <w:r>
              <w:rPr>
                <w:lang w:val="ru-RU"/>
              </w:rPr>
              <w:t>$)</w:t>
            </w:r>
          </w:p>
        </w:tc>
        <w:tc>
          <w:tcPr>
            <w:tcW w:w="1559" w:type="dxa"/>
          </w:tcPr>
          <w:p w:rsidR="00C32992" w:rsidRDefault="002F17BE">
            <w:pPr>
              <w:jc w:val="center"/>
              <w:rPr>
                <w:b/>
                <w:lang w:val="uk-UA"/>
              </w:rPr>
            </w:pPr>
            <w:r>
              <w:rPr>
                <w:b/>
                <w:lang w:val="uk-UA"/>
              </w:rPr>
              <w:t>1500 –</w:t>
            </w:r>
          </w:p>
          <w:p w:rsidR="00C32992" w:rsidRDefault="002F17BE">
            <w:pPr>
              <w:jc w:val="center"/>
              <w:rPr>
                <w:b/>
                <w:lang w:val="uk-UA"/>
              </w:rPr>
            </w:pPr>
            <w:r>
              <w:rPr>
                <w:b/>
                <w:lang w:val="uk-UA"/>
              </w:rPr>
              <w:t>1750</w:t>
            </w:r>
          </w:p>
        </w:tc>
        <w:tc>
          <w:tcPr>
            <w:tcW w:w="1548" w:type="dxa"/>
          </w:tcPr>
          <w:p w:rsidR="00C32992" w:rsidRDefault="002F17BE">
            <w:pPr>
              <w:jc w:val="center"/>
              <w:rPr>
                <w:lang w:val="uk-UA"/>
              </w:rPr>
            </w:pPr>
            <w:r>
              <w:rPr>
                <w:lang w:val="uk-UA"/>
              </w:rPr>
              <w:t>16600 –</w:t>
            </w:r>
          </w:p>
          <w:p w:rsidR="00C32992" w:rsidRDefault="002F17BE">
            <w:pPr>
              <w:jc w:val="center"/>
              <w:rPr>
                <w:lang w:val="uk-UA"/>
              </w:rPr>
            </w:pPr>
            <w:r>
              <w:rPr>
                <w:lang w:val="uk-UA"/>
              </w:rPr>
              <w:t>17700</w:t>
            </w:r>
          </w:p>
        </w:tc>
        <w:tc>
          <w:tcPr>
            <w:tcW w:w="1548" w:type="dxa"/>
          </w:tcPr>
          <w:p w:rsidR="00C32992" w:rsidRDefault="002F17BE">
            <w:pPr>
              <w:jc w:val="center"/>
              <w:rPr>
                <w:b/>
                <w:lang w:val="uk-UA"/>
              </w:rPr>
            </w:pPr>
            <w:r>
              <w:rPr>
                <w:b/>
                <w:lang w:val="uk-UA"/>
              </w:rPr>
              <w:t>2000</w:t>
            </w:r>
          </w:p>
        </w:tc>
        <w:tc>
          <w:tcPr>
            <w:tcW w:w="1549" w:type="dxa"/>
          </w:tcPr>
          <w:p w:rsidR="00C32992" w:rsidRDefault="002F17BE">
            <w:pPr>
              <w:jc w:val="center"/>
              <w:rPr>
                <w:lang w:val="uk-UA"/>
              </w:rPr>
            </w:pPr>
            <w:r>
              <w:rPr>
                <w:lang w:val="uk-UA"/>
              </w:rPr>
              <w:t>2500</w:t>
            </w:r>
          </w:p>
        </w:tc>
      </w:tr>
      <w:tr w:rsidR="00C32992">
        <w:trPr>
          <w:cantSplit/>
        </w:trPr>
        <w:tc>
          <w:tcPr>
            <w:tcW w:w="675" w:type="dxa"/>
          </w:tcPr>
          <w:p w:rsidR="00C32992" w:rsidRDefault="002F17BE">
            <w:pPr>
              <w:jc w:val="center"/>
              <w:rPr>
                <w:lang w:val="uk-UA"/>
              </w:rPr>
            </w:pPr>
            <w:r>
              <w:rPr>
                <w:lang w:val="uk-UA"/>
              </w:rPr>
              <w:t>10</w:t>
            </w:r>
          </w:p>
        </w:tc>
        <w:tc>
          <w:tcPr>
            <w:tcW w:w="2977" w:type="dxa"/>
          </w:tcPr>
          <w:p w:rsidR="00C32992" w:rsidRDefault="002F17BE">
            <w:pPr>
              <w:rPr>
                <w:lang w:val="uk-UA"/>
              </w:rPr>
            </w:pPr>
            <w:r>
              <w:rPr>
                <w:lang w:val="uk-UA"/>
              </w:rPr>
              <w:t xml:space="preserve">Вартість з монтажем і наладкою (на 28 рез., </w:t>
            </w:r>
            <w:r>
              <w:rPr>
                <w:lang w:val="ru-RU"/>
              </w:rPr>
              <w:t>$)</w:t>
            </w:r>
          </w:p>
        </w:tc>
        <w:tc>
          <w:tcPr>
            <w:tcW w:w="1559" w:type="dxa"/>
          </w:tcPr>
          <w:p w:rsidR="00C32992" w:rsidRDefault="002F17BE">
            <w:pPr>
              <w:jc w:val="center"/>
              <w:rPr>
                <w:b/>
                <w:lang w:val="uk-UA"/>
              </w:rPr>
            </w:pPr>
            <w:r>
              <w:rPr>
                <w:b/>
                <w:lang w:val="uk-UA"/>
              </w:rPr>
              <w:t>50000 –</w:t>
            </w:r>
          </w:p>
          <w:p w:rsidR="00C32992" w:rsidRDefault="002F17BE">
            <w:pPr>
              <w:jc w:val="center"/>
              <w:rPr>
                <w:b/>
                <w:lang w:val="uk-UA"/>
              </w:rPr>
            </w:pPr>
            <w:r>
              <w:rPr>
                <w:b/>
                <w:lang w:val="uk-UA"/>
              </w:rPr>
              <w:t>57000</w:t>
            </w:r>
          </w:p>
        </w:tc>
        <w:tc>
          <w:tcPr>
            <w:tcW w:w="1548" w:type="dxa"/>
          </w:tcPr>
          <w:p w:rsidR="00C32992" w:rsidRDefault="002F17BE">
            <w:pPr>
              <w:jc w:val="center"/>
              <w:rPr>
                <w:lang w:val="uk-UA"/>
              </w:rPr>
            </w:pPr>
            <w:r>
              <w:rPr>
                <w:lang w:val="uk-UA"/>
              </w:rPr>
              <w:t>600000 –</w:t>
            </w:r>
          </w:p>
          <w:p w:rsidR="00C32992" w:rsidRDefault="002F17BE">
            <w:pPr>
              <w:jc w:val="center"/>
              <w:rPr>
                <w:lang w:val="uk-UA"/>
              </w:rPr>
            </w:pPr>
            <w:r>
              <w:rPr>
                <w:lang w:val="uk-UA"/>
              </w:rPr>
              <w:t>650000</w:t>
            </w:r>
          </w:p>
        </w:tc>
        <w:tc>
          <w:tcPr>
            <w:tcW w:w="1548" w:type="dxa"/>
          </w:tcPr>
          <w:p w:rsidR="00C32992" w:rsidRDefault="002F17BE">
            <w:pPr>
              <w:jc w:val="center"/>
              <w:rPr>
                <w:b/>
                <w:lang w:val="uk-UA"/>
              </w:rPr>
            </w:pPr>
            <w:r>
              <w:rPr>
                <w:b/>
                <w:lang w:val="uk-UA"/>
              </w:rPr>
              <w:t>78400</w:t>
            </w:r>
          </w:p>
        </w:tc>
        <w:tc>
          <w:tcPr>
            <w:tcW w:w="1549" w:type="dxa"/>
          </w:tcPr>
          <w:p w:rsidR="00C32992" w:rsidRDefault="002F17BE">
            <w:pPr>
              <w:jc w:val="center"/>
              <w:rPr>
                <w:lang w:val="uk-UA"/>
              </w:rPr>
            </w:pPr>
            <w:r>
              <w:rPr>
                <w:lang w:val="uk-UA"/>
              </w:rPr>
              <w:t>98000</w:t>
            </w:r>
          </w:p>
        </w:tc>
      </w:tr>
      <w:tr w:rsidR="00C32992">
        <w:trPr>
          <w:cantSplit/>
        </w:trPr>
        <w:tc>
          <w:tcPr>
            <w:tcW w:w="675" w:type="dxa"/>
          </w:tcPr>
          <w:p w:rsidR="00C32992" w:rsidRDefault="002F17BE">
            <w:pPr>
              <w:jc w:val="center"/>
              <w:rPr>
                <w:lang w:val="uk-UA"/>
              </w:rPr>
            </w:pPr>
            <w:r>
              <w:rPr>
                <w:lang w:val="uk-UA"/>
              </w:rPr>
              <w:t>11</w:t>
            </w:r>
          </w:p>
        </w:tc>
        <w:tc>
          <w:tcPr>
            <w:tcW w:w="2977" w:type="dxa"/>
          </w:tcPr>
          <w:p w:rsidR="00C32992" w:rsidRDefault="002F17BE">
            <w:pPr>
              <w:rPr>
                <w:lang w:val="uk-UA"/>
              </w:rPr>
            </w:pPr>
            <w:r>
              <w:rPr>
                <w:lang w:val="uk-UA"/>
              </w:rPr>
              <w:t xml:space="preserve">Вартість </w:t>
            </w:r>
            <w:r>
              <w:rPr>
                <w:lang w:val="ru-RU"/>
              </w:rPr>
              <w:t xml:space="preserve">на 1 резервуар без трансп. витрат </w:t>
            </w:r>
            <w:r>
              <w:rPr>
                <w:lang w:val="uk-UA"/>
              </w:rPr>
              <w:t>(</w:t>
            </w:r>
            <w:r>
              <w:rPr>
                <w:lang w:val="ru-RU"/>
              </w:rPr>
              <w:t>$)</w:t>
            </w:r>
          </w:p>
        </w:tc>
        <w:tc>
          <w:tcPr>
            <w:tcW w:w="1559" w:type="dxa"/>
          </w:tcPr>
          <w:p w:rsidR="00C32992" w:rsidRDefault="002F17BE">
            <w:pPr>
              <w:jc w:val="center"/>
              <w:rPr>
                <w:b/>
                <w:lang w:val="uk-UA"/>
              </w:rPr>
            </w:pPr>
            <w:r>
              <w:rPr>
                <w:b/>
                <w:lang w:val="uk-UA"/>
              </w:rPr>
              <w:t>1780 –</w:t>
            </w:r>
          </w:p>
          <w:p w:rsidR="00C32992" w:rsidRDefault="002F17BE">
            <w:pPr>
              <w:jc w:val="center"/>
              <w:rPr>
                <w:b/>
                <w:lang w:val="uk-UA"/>
              </w:rPr>
            </w:pPr>
            <w:r>
              <w:rPr>
                <w:b/>
                <w:lang w:val="uk-UA"/>
              </w:rPr>
              <w:t>2035</w:t>
            </w:r>
          </w:p>
        </w:tc>
        <w:tc>
          <w:tcPr>
            <w:tcW w:w="1548" w:type="dxa"/>
          </w:tcPr>
          <w:p w:rsidR="00C32992" w:rsidRDefault="002F17BE">
            <w:pPr>
              <w:jc w:val="center"/>
              <w:rPr>
                <w:lang w:val="uk-UA"/>
              </w:rPr>
            </w:pPr>
            <w:r>
              <w:rPr>
                <w:lang w:val="uk-UA"/>
              </w:rPr>
              <w:t>21500 –</w:t>
            </w:r>
          </w:p>
          <w:p w:rsidR="00C32992" w:rsidRDefault="002F17BE">
            <w:pPr>
              <w:jc w:val="center"/>
              <w:rPr>
                <w:lang w:val="uk-UA"/>
              </w:rPr>
            </w:pPr>
            <w:r>
              <w:rPr>
                <w:lang w:val="uk-UA"/>
              </w:rPr>
              <w:t>23000</w:t>
            </w:r>
          </w:p>
        </w:tc>
        <w:tc>
          <w:tcPr>
            <w:tcW w:w="1548" w:type="dxa"/>
          </w:tcPr>
          <w:p w:rsidR="00C32992" w:rsidRDefault="002F17BE">
            <w:pPr>
              <w:jc w:val="center"/>
              <w:rPr>
                <w:b/>
                <w:lang w:val="uk-UA"/>
              </w:rPr>
            </w:pPr>
            <w:r>
              <w:rPr>
                <w:b/>
                <w:lang w:val="uk-UA"/>
              </w:rPr>
              <w:t>2800</w:t>
            </w:r>
          </w:p>
        </w:tc>
        <w:tc>
          <w:tcPr>
            <w:tcW w:w="1549" w:type="dxa"/>
          </w:tcPr>
          <w:p w:rsidR="00C32992" w:rsidRDefault="002F17BE">
            <w:pPr>
              <w:jc w:val="center"/>
              <w:rPr>
                <w:lang w:val="uk-UA"/>
              </w:rPr>
            </w:pPr>
            <w:r>
              <w:rPr>
                <w:lang w:val="uk-UA"/>
              </w:rPr>
              <w:t>3500</w:t>
            </w:r>
          </w:p>
        </w:tc>
      </w:tr>
    </w:tbl>
    <w:p w:rsidR="00C32992" w:rsidRDefault="00C32992">
      <w:pPr>
        <w:ind w:firstLine="567"/>
        <w:jc w:val="both"/>
        <w:rPr>
          <w:lang w:val="uk-UA"/>
        </w:rPr>
      </w:pPr>
    </w:p>
    <w:p w:rsidR="00C32992" w:rsidRDefault="00C32992">
      <w:pPr>
        <w:ind w:firstLine="567"/>
        <w:jc w:val="both"/>
        <w:rPr>
          <w:rFonts w:ascii="Arial" w:hAnsi="Arial" w:cs="Arial"/>
          <w:lang w:val="ru-RU"/>
        </w:rPr>
      </w:pPr>
    </w:p>
    <w:p w:rsidR="00C32992" w:rsidRDefault="002F17BE">
      <w:pPr>
        <w:ind w:firstLine="567"/>
        <w:jc w:val="both"/>
        <w:rPr>
          <w:rFonts w:ascii="Arial" w:hAnsi="Arial" w:cs="Arial"/>
          <w:lang w:val="uk-UA"/>
        </w:rPr>
      </w:pPr>
      <w:r>
        <w:rPr>
          <w:rFonts w:ascii="Arial" w:hAnsi="Arial" w:cs="Arial"/>
          <w:lang w:val="uk-UA"/>
        </w:rPr>
        <w:t xml:space="preserve">Таким чином, навіть не досить детальне порівняння доводить  переваги систем САДКО відносно усіх наведених аналогів. За інформацією фахівців, наразі найбільш розповсюдженими та доступними є суднові давачі рівня, баласта та осадок виробництва Фінляндії - </w:t>
      </w:r>
      <w:r>
        <w:rPr>
          <w:rFonts w:ascii="Arial" w:hAnsi="Arial" w:cs="Arial"/>
          <w:lang w:val="en-US"/>
        </w:rPr>
        <w:t>SF</w:t>
      </w:r>
      <w:r>
        <w:rPr>
          <w:rFonts w:ascii="Arial" w:hAnsi="Arial" w:cs="Arial"/>
          <w:lang w:val="uk-UA"/>
        </w:rPr>
        <w:t xml:space="preserve"> </w:t>
      </w:r>
      <w:r>
        <w:rPr>
          <w:rFonts w:ascii="Arial" w:hAnsi="Arial" w:cs="Arial"/>
          <w:lang w:val="en-US"/>
        </w:rPr>
        <w:t>Control</w:t>
      </w:r>
      <w:r>
        <w:rPr>
          <w:rFonts w:ascii="Arial" w:hAnsi="Arial" w:cs="Arial"/>
          <w:lang w:val="uk-UA"/>
        </w:rPr>
        <w:t xml:space="preserve">, у таблиці наведено їхню вартість без вартості кабельних трас та програмного забезпечення, які об’єднали б ці давачі у систему. Тож, якщо врахувати додаткові витрати для впровадження фінської системи,  переваги української системи виглядають ще переконливіше. </w:t>
      </w:r>
    </w:p>
    <w:p w:rsidR="00C32992" w:rsidRDefault="00C32992">
      <w:pPr>
        <w:ind w:firstLine="567"/>
        <w:jc w:val="both"/>
        <w:rPr>
          <w:rFonts w:ascii="Arial" w:hAnsi="Arial" w:cs="Arial"/>
          <w:lang w:val="uk-UA"/>
        </w:rPr>
      </w:pPr>
    </w:p>
    <w:p w:rsidR="00C32992" w:rsidRDefault="002F17BE">
      <w:pPr>
        <w:ind w:firstLine="567"/>
        <w:jc w:val="both"/>
        <w:rPr>
          <w:rFonts w:ascii="Arial" w:hAnsi="Arial" w:cs="Arial"/>
          <w:lang w:val="ru-RU"/>
        </w:rPr>
      </w:pPr>
      <w:r>
        <w:rPr>
          <w:rFonts w:ascii="Arial" w:hAnsi="Arial" w:cs="Arial"/>
          <w:lang w:val="ru-RU"/>
        </w:rPr>
        <w:t xml:space="preserve">Перейдемо до порівняння вітчизняних та зарубіжних машин газової та плазмової різки, в яких експлуатуються системи числового програмного управління. За приклад візьмемо машину “Кристал ППлКП” виробництва ВАТ “Завод “Кристал”.  </w:t>
      </w:r>
    </w:p>
    <w:p w:rsidR="00C32992" w:rsidRDefault="00C32992">
      <w:pPr>
        <w:ind w:firstLine="567"/>
        <w:jc w:val="both"/>
        <w:rPr>
          <w:rFonts w:ascii="Arial" w:hAnsi="Arial" w:cs="Arial"/>
          <w:lang w:val="uk-UA"/>
        </w:rPr>
      </w:pPr>
    </w:p>
    <w:p w:rsidR="00C32992" w:rsidRDefault="002F17BE">
      <w:pPr>
        <w:pStyle w:val="2"/>
        <w:jc w:val="both"/>
        <w:rPr>
          <w:rFonts w:ascii="Arial" w:hAnsi="Arial" w:cs="Arial"/>
        </w:rPr>
      </w:pPr>
      <w:r>
        <w:rPr>
          <w:rFonts w:ascii="Arial" w:hAnsi="Arial" w:cs="Arial"/>
        </w:rPr>
        <w:t>Таблиця 2</w:t>
      </w:r>
    </w:p>
    <w:p w:rsidR="00C32992" w:rsidRDefault="00C32992">
      <w:pPr>
        <w:jc w:val="both"/>
        <w:rPr>
          <w:rFonts w:ascii="Arial" w:hAnsi="Arial"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2268"/>
        <w:gridCol w:w="1842"/>
        <w:gridCol w:w="1701"/>
      </w:tblGrid>
      <w:tr w:rsidR="00C32992">
        <w:trPr>
          <w:cantSplit/>
        </w:trPr>
        <w:tc>
          <w:tcPr>
            <w:tcW w:w="675" w:type="dxa"/>
          </w:tcPr>
          <w:p w:rsidR="00C32992" w:rsidRDefault="002F17BE">
            <w:pPr>
              <w:jc w:val="both"/>
              <w:rPr>
                <w:rFonts w:ascii="Arial" w:hAnsi="Arial" w:cs="Arial"/>
                <w:lang w:val="uk-UA"/>
              </w:rPr>
            </w:pPr>
            <w:r>
              <w:rPr>
                <w:rFonts w:ascii="Arial" w:hAnsi="Arial" w:cs="Arial"/>
                <w:lang w:val="uk-UA"/>
              </w:rPr>
              <w:t>№</w:t>
            </w:r>
          </w:p>
          <w:p w:rsidR="00C32992" w:rsidRDefault="002F17BE">
            <w:pPr>
              <w:jc w:val="both"/>
              <w:rPr>
                <w:rFonts w:ascii="Arial" w:hAnsi="Arial" w:cs="Arial"/>
                <w:lang w:val="uk-UA"/>
              </w:rPr>
            </w:pPr>
            <w:r>
              <w:rPr>
                <w:rFonts w:ascii="Arial" w:hAnsi="Arial" w:cs="Arial"/>
                <w:lang w:val="uk-UA"/>
              </w:rPr>
              <w:t>п/п</w:t>
            </w:r>
          </w:p>
        </w:tc>
        <w:tc>
          <w:tcPr>
            <w:tcW w:w="3261" w:type="dxa"/>
          </w:tcPr>
          <w:p w:rsidR="00C32992" w:rsidRDefault="002F17BE">
            <w:pPr>
              <w:jc w:val="both"/>
              <w:rPr>
                <w:rFonts w:ascii="Arial" w:hAnsi="Arial" w:cs="Arial"/>
                <w:lang w:val="uk-UA"/>
              </w:rPr>
            </w:pPr>
            <w:r>
              <w:rPr>
                <w:rFonts w:ascii="Arial" w:hAnsi="Arial" w:cs="Arial"/>
                <w:lang w:val="uk-UA"/>
              </w:rPr>
              <w:t>Технічні та економічні</w:t>
            </w:r>
          </w:p>
          <w:p w:rsidR="00C32992" w:rsidRDefault="002F17BE">
            <w:pPr>
              <w:jc w:val="both"/>
              <w:rPr>
                <w:rFonts w:ascii="Arial" w:hAnsi="Arial" w:cs="Arial"/>
                <w:lang w:val="uk-UA"/>
              </w:rPr>
            </w:pPr>
            <w:r>
              <w:rPr>
                <w:rFonts w:ascii="Arial" w:hAnsi="Arial" w:cs="Arial"/>
                <w:lang w:val="uk-UA"/>
              </w:rPr>
              <w:t>характеристики</w:t>
            </w:r>
          </w:p>
        </w:tc>
        <w:tc>
          <w:tcPr>
            <w:tcW w:w="2268" w:type="dxa"/>
          </w:tcPr>
          <w:p w:rsidR="00C32992" w:rsidRDefault="002F17BE">
            <w:pPr>
              <w:jc w:val="both"/>
              <w:rPr>
                <w:rFonts w:ascii="Arial" w:hAnsi="Arial" w:cs="Arial"/>
                <w:b/>
                <w:lang w:val="ru-RU"/>
              </w:rPr>
            </w:pPr>
            <w:r>
              <w:rPr>
                <w:rFonts w:ascii="Arial" w:hAnsi="Arial" w:cs="Arial"/>
                <w:b/>
                <w:lang w:val="ru-RU"/>
              </w:rPr>
              <w:t>Кристал ППлКП</w:t>
            </w:r>
          </w:p>
          <w:p w:rsidR="00C32992" w:rsidRDefault="002F17BE">
            <w:pPr>
              <w:jc w:val="both"/>
              <w:rPr>
                <w:rFonts w:ascii="Arial" w:hAnsi="Arial" w:cs="Arial"/>
                <w:b/>
                <w:lang w:val="uk-UA"/>
              </w:rPr>
            </w:pPr>
            <w:r>
              <w:rPr>
                <w:rFonts w:ascii="Arial" w:hAnsi="Arial" w:cs="Arial"/>
                <w:b/>
                <w:lang w:val="ru-RU"/>
              </w:rPr>
              <w:t>(завод “Кристал”, Україна)</w:t>
            </w:r>
          </w:p>
        </w:tc>
        <w:tc>
          <w:tcPr>
            <w:tcW w:w="1842" w:type="dxa"/>
          </w:tcPr>
          <w:p w:rsidR="00C32992" w:rsidRDefault="002F17BE">
            <w:pPr>
              <w:jc w:val="both"/>
              <w:rPr>
                <w:rFonts w:ascii="Arial" w:hAnsi="Arial" w:cs="Arial"/>
                <w:lang w:val="en-US"/>
              </w:rPr>
            </w:pPr>
            <w:r>
              <w:rPr>
                <w:rFonts w:ascii="Arial" w:hAnsi="Arial" w:cs="Arial"/>
                <w:lang w:val="en-US"/>
              </w:rPr>
              <w:t>SUPRA REX</w:t>
            </w:r>
          </w:p>
          <w:p w:rsidR="00C32992" w:rsidRDefault="002F17BE">
            <w:pPr>
              <w:jc w:val="both"/>
              <w:rPr>
                <w:rFonts w:ascii="Arial" w:hAnsi="Arial" w:cs="Arial"/>
                <w:lang w:val="en-US"/>
              </w:rPr>
            </w:pPr>
            <w:r>
              <w:rPr>
                <w:rFonts w:ascii="Arial" w:hAnsi="Arial" w:cs="Arial"/>
                <w:lang w:val="en-US"/>
              </w:rPr>
              <w:t>(ESAB-HANCOCK)</w:t>
            </w:r>
          </w:p>
        </w:tc>
        <w:tc>
          <w:tcPr>
            <w:tcW w:w="1701" w:type="dxa"/>
          </w:tcPr>
          <w:p w:rsidR="00C32992" w:rsidRDefault="002F17BE">
            <w:pPr>
              <w:pStyle w:val="1"/>
              <w:jc w:val="both"/>
              <w:rPr>
                <w:rFonts w:ascii="Arial" w:hAnsi="Arial" w:cs="Arial"/>
                <w:lang w:val="en-US"/>
              </w:rPr>
            </w:pPr>
            <w:r>
              <w:rPr>
                <w:rFonts w:ascii="Arial" w:hAnsi="Arial" w:cs="Arial"/>
              </w:rPr>
              <w:t>OMNIMAT</w:t>
            </w:r>
          </w:p>
          <w:p w:rsidR="00C32992" w:rsidRDefault="002F17BE">
            <w:pPr>
              <w:jc w:val="both"/>
              <w:rPr>
                <w:rFonts w:ascii="Arial" w:hAnsi="Arial" w:cs="Arial"/>
                <w:lang w:val="en-US"/>
              </w:rPr>
            </w:pPr>
            <w:r>
              <w:rPr>
                <w:rFonts w:ascii="Arial" w:hAnsi="Arial" w:cs="Arial"/>
                <w:lang w:val="en-US"/>
              </w:rPr>
              <w:t>(“Messer Griesheim”)</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1</w:t>
            </w:r>
          </w:p>
        </w:tc>
        <w:tc>
          <w:tcPr>
            <w:tcW w:w="3261" w:type="dxa"/>
          </w:tcPr>
          <w:p w:rsidR="00C32992" w:rsidRDefault="002F17BE">
            <w:pPr>
              <w:jc w:val="both"/>
              <w:rPr>
                <w:rFonts w:ascii="Arial" w:hAnsi="Arial" w:cs="Arial"/>
                <w:lang w:val="uk-UA"/>
              </w:rPr>
            </w:pPr>
            <w:r>
              <w:rPr>
                <w:rFonts w:ascii="Arial" w:hAnsi="Arial" w:cs="Arial"/>
                <w:lang w:val="uk-UA"/>
              </w:rPr>
              <w:t>Ширина зони різання</w:t>
            </w:r>
          </w:p>
        </w:tc>
        <w:tc>
          <w:tcPr>
            <w:tcW w:w="2268" w:type="dxa"/>
          </w:tcPr>
          <w:p w:rsidR="00C32992" w:rsidRDefault="002F17BE">
            <w:pPr>
              <w:jc w:val="both"/>
              <w:rPr>
                <w:rFonts w:ascii="Arial" w:hAnsi="Arial" w:cs="Arial"/>
                <w:b/>
                <w:lang w:val="uk-UA"/>
              </w:rPr>
            </w:pPr>
            <w:r>
              <w:rPr>
                <w:rFonts w:ascii="Arial" w:hAnsi="Arial" w:cs="Arial"/>
                <w:b/>
                <w:lang w:val="uk-UA"/>
              </w:rPr>
              <w:t>2500 - 3200 мм</w:t>
            </w:r>
          </w:p>
        </w:tc>
        <w:tc>
          <w:tcPr>
            <w:tcW w:w="1842" w:type="dxa"/>
          </w:tcPr>
          <w:p w:rsidR="00C32992" w:rsidRDefault="002F17BE">
            <w:pPr>
              <w:jc w:val="both"/>
              <w:rPr>
                <w:rFonts w:ascii="Arial" w:hAnsi="Arial" w:cs="Arial"/>
                <w:lang w:val="uk-UA"/>
              </w:rPr>
            </w:pPr>
            <w:r>
              <w:rPr>
                <w:rFonts w:ascii="Arial" w:hAnsi="Arial" w:cs="Arial"/>
                <w:lang w:val="uk-UA"/>
              </w:rPr>
              <w:t>2500 мм</w:t>
            </w:r>
          </w:p>
        </w:tc>
        <w:tc>
          <w:tcPr>
            <w:tcW w:w="1701" w:type="dxa"/>
          </w:tcPr>
          <w:p w:rsidR="00C32992" w:rsidRDefault="002F17BE">
            <w:pPr>
              <w:jc w:val="both"/>
              <w:rPr>
                <w:rFonts w:ascii="Arial" w:hAnsi="Arial" w:cs="Arial"/>
                <w:lang w:val="uk-UA"/>
              </w:rPr>
            </w:pPr>
            <w:r>
              <w:rPr>
                <w:rFonts w:ascii="Arial" w:hAnsi="Arial" w:cs="Arial"/>
                <w:lang w:val="uk-UA"/>
              </w:rPr>
              <w:t>2500 мм</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2</w:t>
            </w:r>
          </w:p>
        </w:tc>
        <w:tc>
          <w:tcPr>
            <w:tcW w:w="3261" w:type="dxa"/>
          </w:tcPr>
          <w:p w:rsidR="00C32992" w:rsidRDefault="002F17BE">
            <w:pPr>
              <w:jc w:val="both"/>
              <w:rPr>
                <w:rFonts w:ascii="Arial" w:hAnsi="Arial" w:cs="Arial"/>
                <w:lang w:val="uk-UA"/>
              </w:rPr>
            </w:pPr>
            <w:r>
              <w:rPr>
                <w:rFonts w:ascii="Arial" w:hAnsi="Arial" w:cs="Arial"/>
                <w:lang w:val="uk-UA"/>
              </w:rPr>
              <w:t>Довжина зони різання</w:t>
            </w:r>
          </w:p>
        </w:tc>
        <w:tc>
          <w:tcPr>
            <w:tcW w:w="2268" w:type="dxa"/>
          </w:tcPr>
          <w:p w:rsidR="00C32992" w:rsidRDefault="002F17BE">
            <w:pPr>
              <w:jc w:val="both"/>
              <w:rPr>
                <w:rFonts w:ascii="Arial" w:hAnsi="Arial" w:cs="Arial"/>
                <w:b/>
                <w:lang w:val="uk-UA"/>
              </w:rPr>
            </w:pPr>
            <w:r>
              <w:rPr>
                <w:rFonts w:ascii="Arial" w:hAnsi="Arial" w:cs="Arial"/>
                <w:b/>
                <w:lang w:val="uk-UA"/>
              </w:rPr>
              <w:t>10 000 мм</w:t>
            </w:r>
          </w:p>
        </w:tc>
        <w:tc>
          <w:tcPr>
            <w:tcW w:w="1842" w:type="dxa"/>
          </w:tcPr>
          <w:p w:rsidR="00C32992" w:rsidRDefault="002F17BE">
            <w:pPr>
              <w:jc w:val="both"/>
              <w:rPr>
                <w:rFonts w:ascii="Arial" w:hAnsi="Arial" w:cs="Arial"/>
                <w:lang w:val="uk-UA"/>
              </w:rPr>
            </w:pPr>
            <w:r>
              <w:rPr>
                <w:rFonts w:ascii="Arial" w:hAnsi="Arial" w:cs="Arial"/>
                <w:lang w:val="uk-UA"/>
              </w:rPr>
              <w:t>3000 мм</w:t>
            </w:r>
          </w:p>
        </w:tc>
        <w:tc>
          <w:tcPr>
            <w:tcW w:w="1701" w:type="dxa"/>
          </w:tcPr>
          <w:p w:rsidR="00C32992" w:rsidRDefault="002F17BE">
            <w:pPr>
              <w:jc w:val="both"/>
              <w:rPr>
                <w:rFonts w:ascii="Arial" w:hAnsi="Arial" w:cs="Arial"/>
                <w:lang w:val="uk-UA"/>
              </w:rPr>
            </w:pPr>
            <w:r>
              <w:rPr>
                <w:rFonts w:ascii="Arial" w:hAnsi="Arial" w:cs="Arial"/>
                <w:lang w:val="uk-UA"/>
              </w:rPr>
              <w:t>3000 мм</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3</w:t>
            </w:r>
          </w:p>
        </w:tc>
        <w:tc>
          <w:tcPr>
            <w:tcW w:w="3261" w:type="dxa"/>
          </w:tcPr>
          <w:p w:rsidR="00C32992" w:rsidRDefault="002F17BE">
            <w:pPr>
              <w:jc w:val="both"/>
              <w:rPr>
                <w:rFonts w:ascii="Arial" w:hAnsi="Arial" w:cs="Arial"/>
                <w:lang w:val="uk-UA"/>
              </w:rPr>
            </w:pPr>
            <w:r>
              <w:rPr>
                <w:rFonts w:ascii="Arial" w:hAnsi="Arial" w:cs="Arial"/>
                <w:lang w:val="uk-UA"/>
              </w:rPr>
              <w:t>Споживана потужність</w:t>
            </w:r>
          </w:p>
        </w:tc>
        <w:tc>
          <w:tcPr>
            <w:tcW w:w="2268" w:type="dxa"/>
          </w:tcPr>
          <w:p w:rsidR="00C32992" w:rsidRDefault="002F17BE">
            <w:pPr>
              <w:jc w:val="both"/>
              <w:rPr>
                <w:rFonts w:ascii="Arial" w:hAnsi="Arial" w:cs="Arial"/>
                <w:b/>
                <w:lang w:val="uk-UA"/>
              </w:rPr>
            </w:pPr>
            <w:r>
              <w:rPr>
                <w:rFonts w:ascii="Arial" w:hAnsi="Arial" w:cs="Arial"/>
                <w:b/>
                <w:lang w:val="uk-UA"/>
              </w:rPr>
              <w:t>2000 ВА</w:t>
            </w:r>
          </w:p>
        </w:tc>
        <w:tc>
          <w:tcPr>
            <w:tcW w:w="1842" w:type="dxa"/>
          </w:tcPr>
          <w:p w:rsidR="00C32992" w:rsidRDefault="002F17BE">
            <w:pPr>
              <w:pStyle w:val="1"/>
              <w:jc w:val="both"/>
              <w:rPr>
                <w:rFonts w:ascii="Arial" w:hAnsi="Arial" w:cs="Arial"/>
              </w:rPr>
            </w:pPr>
            <w:r>
              <w:rPr>
                <w:rFonts w:ascii="Arial" w:hAnsi="Arial" w:cs="Arial"/>
              </w:rPr>
              <w:t>2000 ВА</w:t>
            </w:r>
          </w:p>
        </w:tc>
        <w:tc>
          <w:tcPr>
            <w:tcW w:w="1701" w:type="dxa"/>
          </w:tcPr>
          <w:p w:rsidR="00C32992" w:rsidRDefault="002F17BE">
            <w:pPr>
              <w:jc w:val="both"/>
              <w:rPr>
                <w:rFonts w:ascii="Arial" w:hAnsi="Arial" w:cs="Arial"/>
                <w:lang w:val="uk-UA"/>
              </w:rPr>
            </w:pPr>
            <w:r>
              <w:rPr>
                <w:rFonts w:ascii="Arial" w:hAnsi="Arial" w:cs="Arial"/>
                <w:lang w:val="uk-UA"/>
              </w:rPr>
              <w:t>Немає даних</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4</w:t>
            </w:r>
          </w:p>
        </w:tc>
        <w:tc>
          <w:tcPr>
            <w:tcW w:w="3261" w:type="dxa"/>
          </w:tcPr>
          <w:p w:rsidR="00C32992" w:rsidRDefault="002F17BE">
            <w:pPr>
              <w:jc w:val="both"/>
              <w:rPr>
                <w:rFonts w:ascii="Arial" w:hAnsi="Arial" w:cs="Arial"/>
                <w:lang w:val="uk-UA"/>
              </w:rPr>
            </w:pPr>
            <w:r>
              <w:rPr>
                <w:rFonts w:ascii="Arial" w:hAnsi="Arial" w:cs="Arial"/>
                <w:lang w:val="uk-UA"/>
              </w:rPr>
              <w:t>Температурний режим (ºС)</w:t>
            </w:r>
          </w:p>
        </w:tc>
        <w:tc>
          <w:tcPr>
            <w:tcW w:w="2268" w:type="dxa"/>
          </w:tcPr>
          <w:p w:rsidR="00C32992" w:rsidRDefault="002F17BE">
            <w:pPr>
              <w:jc w:val="both"/>
              <w:rPr>
                <w:rFonts w:ascii="Arial" w:hAnsi="Arial" w:cs="Arial"/>
                <w:b/>
                <w:lang w:val="uk-UA"/>
              </w:rPr>
            </w:pPr>
            <w:r>
              <w:rPr>
                <w:rFonts w:ascii="Arial" w:hAnsi="Arial" w:cs="Arial"/>
                <w:b/>
                <w:lang w:val="uk-UA"/>
              </w:rPr>
              <w:t>+5+40</w:t>
            </w:r>
          </w:p>
        </w:tc>
        <w:tc>
          <w:tcPr>
            <w:tcW w:w="1842" w:type="dxa"/>
          </w:tcPr>
          <w:p w:rsidR="00C32992" w:rsidRDefault="002F17BE">
            <w:pPr>
              <w:jc w:val="both"/>
              <w:rPr>
                <w:rFonts w:ascii="Arial" w:hAnsi="Arial" w:cs="Arial"/>
                <w:lang w:val="uk-UA"/>
              </w:rPr>
            </w:pPr>
            <w:r>
              <w:rPr>
                <w:rFonts w:ascii="Arial" w:hAnsi="Arial" w:cs="Arial"/>
                <w:lang w:val="uk-UA"/>
              </w:rPr>
              <w:t>+5+45</w:t>
            </w:r>
          </w:p>
        </w:tc>
        <w:tc>
          <w:tcPr>
            <w:tcW w:w="1701" w:type="dxa"/>
          </w:tcPr>
          <w:p w:rsidR="00C32992" w:rsidRDefault="002F17BE">
            <w:pPr>
              <w:jc w:val="both"/>
              <w:rPr>
                <w:rFonts w:ascii="Arial" w:hAnsi="Arial" w:cs="Arial"/>
                <w:lang w:val="uk-UA"/>
              </w:rPr>
            </w:pPr>
            <w:r>
              <w:rPr>
                <w:rFonts w:ascii="Arial" w:hAnsi="Arial" w:cs="Arial"/>
                <w:lang w:val="uk-UA"/>
              </w:rPr>
              <w:t>Немає даних</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5</w:t>
            </w:r>
          </w:p>
        </w:tc>
        <w:tc>
          <w:tcPr>
            <w:tcW w:w="3261" w:type="dxa"/>
          </w:tcPr>
          <w:p w:rsidR="00C32992" w:rsidRDefault="002F17BE">
            <w:pPr>
              <w:jc w:val="both"/>
              <w:rPr>
                <w:rFonts w:ascii="Arial" w:hAnsi="Arial" w:cs="Arial"/>
                <w:lang w:val="uk-UA"/>
              </w:rPr>
            </w:pPr>
            <w:r>
              <w:rPr>
                <w:rFonts w:ascii="Arial" w:hAnsi="Arial" w:cs="Arial"/>
                <w:lang w:val="uk-UA"/>
              </w:rPr>
              <w:t xml:space="preserve">Кількість плазмовий різаків:                газовий                             </w:t>
            </w:r>
          </w:p>
        </w:tc>
        <w:tc>
          <w:tcPr>
            <w:tcW w:w="2268" w:type="dxa"/>
          </w:tcPr>
          <w:p w:rsidR="00C32992" w:rsidRDefault="002F17BE">
            <w:pPr>
              <w:jc w:val="both"/>
              <w:rPr>
                <w:rFonts w:ascii="Arial" w:hAnsi="Arial" w:cs="Arial"/>
                <w:b/>
                <w:lang w:val="uk-UA"/>
              </w:rPr>
            </w:pPr>
            <w:r>
              <w:rPr>
                <w:rFonts w:ascii="Arial" w:hAnsi="Arial" w:cs="Arial"/>
                <w:b/>
                <w:lang w:val="uk-UA"/>
              </w:rPr>
              <w:t>1</w:t>
            </w:r>
          </w:p>
          <w:p w:rsidR="00C32992" w:rsidRDefault="002F17BE">
            <w:pPr>
              <w:jc w:val="both"/>
              <w:rPr>
                <w:rFonts w:ascii="Arial" w:hAnsi="Arial" w:cs="Arial"/>
                <w:b/>
                <w:lang w:val="uk-UA"/>
              </w:rPr>
            </w:pPr>
            <w:r>
              <w:rPr>
                <w:rFonts w:ascii="Arial" w:hAnsi="Arial" w:cs="Arial"/>
                <w:b/>
                <w:lang w:val="uk-UA"/>
              </w:rPr>
              <w:t>1</w:t>
            </w:r>
          </w:p>
        </w:tc>
        <w:tc>
          <w:tcPr>
            <w:tcW w:w="1842" w:type="dxa"/>
          </w:tcPr>
          <w:p w:rsidR="00C32992" w:rsidRDefault="002F17BE">
            <w:pPr>
              <w:jc w:val="both"/>
              <w:rPr>
                <w:rFonts w:ascii="Arial" w:hAnsi="Arial" w:cs="Arial"/>
                <w:lang w:val="uk-UA"/>
              </w:rPr>
            </w:pPr>
            <w:r>
              <w:rPr>
                <w:rFonts w:ascii="Arial" w:hAnsi="Arial" w:cs="Arial"/>
                <w:lang w:val="uk-UA"/>
              </w:rPr>
              <w:t>1</w:t>
            </w:r>
          </w:p>
          <w:p w:rsidR="00C32992" w:rsidRDefault="002F17BE">
            <w:pPr>
              <w:jc w:val="both"/>
              <w:rPr>
                <w:rFonts w:ascii="Arial" w:hAnsi="Arial" w:cs="Arial"/>
                <w:lang w:val="uk-UA"/>
              </w:rPr>
            </w:pPr>
            <w:r>
              <w:rPr>
                <w:rFonts w:ascii="Arial" w:hAnsi="Arial" w:cs="Arial"/>
                <w:lang w:val="uk-UA"/>
              </w:rPr>
              <w:t>1</w:t>
            </w:r>
          </w:p>
        </w:tc>
        <w:tc>
          <w:tcPr>
            <w:tcW w:w="1701" w:type="dxa"/>
          </w:tcPr>
          <w:p w:rsidR="00C32992" w:rsidRDefault="002F17BE">
            <w:pPr>
              <w:jc w:val="both"/>
              <w:rPr>
                <w:rFonts w:ascii="Arial" w:hAnsi="Arial" w:cs="Arial"/>
                <w:lang w:val="uk-UA"/>
              </w:rPr>
            </w:pPr>
            <w:r>
              <w:rPr>
                <w:rFonts w:ascii="Arial" w:hAnsi="Arial" w:cs="Arial"/>
                <w:lang w:val="uk-UA"/>
              </w:rPr>
              <w:t>1</w:t>
            </w:r>
          </w:p>
          <w:p w:rsidR="00C32992" w:rsidRDefault="002F17BE">
            <w:pPr>
              <w:jc w:val="both"/>
              <w:rPr>
                <w:rFonts w:ascii="Arial" w:hAnsi="Arial" w:cs="Arial"/>
                <w:lang w:val="uk-UA"/>
              </w:rPr>
            </w:pPr>
            <w:r>
              <w:rPr>
                <w:rFonts w:ascii="Arial" w:hAnsi="Arial" w:cs="Arial"/>
                <w:lang w:val="uk-UA"/>
              </w:rPr>
              <w:t>1</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6</w:t>
            </w:r>
          </w:p>
        </w:tc>
        <w:tc>
          <w:tcPr>
            <w:tcW w:w="3261" w:type="dxa"/>
          </w:tcPr>
          <w:p w:rsidR="00C32992" w:rsidRDefault="002F17BE">
            <w:pPr>
              <w:jc w:val="both"/>
              <w:rPr>
                <w:rFonts w:ascii="Arial" w:hAnsi="Arial" w:cs="Arial"/>
                <w:lang w:val="uk-UA"/>
              </w:rPr>
            </w:pPr>
            <w:r>
              <w:rPr>
                <w:rFonts w:ascii="Arial" w:hAnsi="Arial" w:cs="Arial"/>
                <w:lang w:val="uk-UA"/>
              </w:rPr>
              <w:t xml:space="preserve">Товщина листа, що розрізається: </w:t>
            </w:r>
          </w:p>
          <w:p w:rsidR="00C32992" w:rsidRDefault="002F17BE">
            <w:pPr>
              <w:numPr>
                <w:ilvl w:val="0"/>
                <w:numId w:val="5"/>
              </w:numPr>
              <w:jc w:val="both"/>
              <w:rPr>
                <w:rFonts w:ascii="Arial" w:hAnsi="Arial" w:cs="Arial"/>
                <w:lang w:val="uk-UA"/>
              </w:rPr>
            </w:pPr>
            <w:r>
              <w:rPr>
                <w:rFonts w:ascii="Arial" w:hAnsi="Arial" w:cs="Arial"/>
                <w:lang w:val="uk-UA"/>
              </w:rPr>
              <w:t>при плазмовому різанні</w:t>
            </w:r>
          </w:p>
          <w:p w:rsidR="00C32992" w:rsidRDefault="002F17BE">
            <w:pPr>
              <w:numPr>
                <w:ilvl w:val="0"/>
                <w:numId w:val="5"/>
              </w:numPr>
              <w:jc w:val="both"/>
              <w:rPr>
                <w:rFonts w:ascii="Arial" w:hAnsi="Arial" w:cs="Arial"/>
                <w:lang w:val="uk-UA"/>
              </w:rPr>
            </w:pPr>
            <w:r>
              <w:rPr>
                <w:rFonts w:ascii="Arial" w:hAnsi="Arial" w:cs="Arial"/>
                <w:lang w:val="uk-UA"/>
              </w:rPr>
              <w:t>при газовому різанні</w:t>
            </w:r>
          </w:p>
        </w:tc>
        <w:tc>
          <w:tcPr>
            <w:tcW w:w="2268" w:type="dxa"/>
          </w:tcPr>
          <w:p w:rsidR="00C32992" w:rsidRDefault="00C32992">
            <w:pPr>
              <w:jc w:val="both"/>
              <w:rPr>
                <w:rFonts w:ascii="Arial" w:hAnsi="Arial" w:cs="Arial"/>
                <w:b/>
                <w:lang w:val="uk-UA"/>
              </w:rPr>
            </w:pPr>
          </w:p>
          <w:p w:rsidR="00C32992" w:rsidRDefault="00C32992">
            <w:pPr>
              <w:jc w:val="both"/>
              <w:rPr>
                <w:rFonts w:ascii="Arial" w:hAnsi="Arial" w:cs="Arial"/>
                <w:b/>
                <w:lang w:val="uk-UA"/>
              </w:rPr>
            </w:pPr>
          </w:p>
          <w:p w:rsidR="00C32992" w:rsidRDefault="002F17BE">
            <w:pPr>
              <w:jc w:val="both"/>
              <w:rPr>
                <w:rFonts w:ascii="Arial" w:hAnsi="Arial" w:cs="Arial"/>
                <w:b/>
                <w:lang w:val="uk-UA"/>
              </w:rPr>
            </w:pPr>
            <w:r>
              <w:rPr>
                <w:rFonts w:ascii="Arial" w:hAnsi="Arial" w:cs="Arial"/>
                <w:b/>
                <w:lang w:val="uk-UA"/>
              </w:rPr>
              <w:t>до 60 мм</w:t>
            </w:r>
          </w:p>
          <w:p w:rsidR="00C32992" w:rsidRDefault="002F17BE">
            <w:pPr>
              <w:jc w:val="both"/>
              <w:rPr>
                <w:rFonts w:ascii="Arial" w:hAnsi="Arial" w:cs="Arial"/>
                <w:b/>
                <w:lang w:val="uk-UA"/>
              </w:rPr>
            </w:pPr>
            <w:r>
              <w:rPr>
                <w:rFonts w:ascii="Arial" w:hAnsi="Arial" w:cs="Arial"/>
                <w:b/>
                <w:lang w:val="uk-UA"/>
              </w:rPr>
              <w:t>до 100 мм</w:t>
            </w:r>
          </w:p>
        </w:tc>
        <w:tc>
          <w:tcPr>
            <w:tcW w:w="1842" w:type="dxa"/>
          </w:tcPr>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до 50 мм</w:t>
            </w:r>
          </w:p>
          <w:p w:rsidR="00C32992" w:rsidRDefault="002F17BE">
            <w:pPr>
              <w:jc w:val="both"/>
              <w:rPr>
                <w:rFonts w:ascii="Arial" w:hAnsi="Arial" w:cs="Arial"/>
                <w:lang w:val="uk-UA"/>
              </w:rPr>
            </w:pPr>
            <w:r>
              <w:rPr>
                <w:rFonts w:ascii="Arial" w:hAnsi="Arial" w:cs="Arial"/>
                <w:lang w:val="uk-UA"/>
              </w:rPr>
              <w:t>до 130 мм</w:t>
            </w:r>
          </w:p>
        </w:tc>
        <w:tc>
          <w:tcPr>
            <w:tcW w:w="1701" w:type="dxa"/>
          </w:tcPr>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до 80 мм</w:t>
            </w:r>
          </w:p>
          <w:p w:rsidR="00C32992" w:rsidRDefault="002F17BE">
            <w:pPr>
              <w:jc w:val="both"/>
              <w:rPr>
                <w:rFonts w:ascii="Arial" w:hAnsi="Arial" w:cs="Arial"/>
                <w:lang w:val="uk-UA"/>
              </w:rPr>
            </w:pPr>
            <w:r>
              <w:rPr>
                <w:rFonts w:ascii="Arial" w:hAnsi="Arial" w:cs="Arial"/>
                <w:lang w:val="uk-UA"/>
              </w:rPr>
              <w:t>до 150 мм</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7</w:t>
            </w:r>
          </w:p>
        </w:tc>
        <w:tc>
          <w:tcPr>
            <w:tcW w:w="3261" w:type="dxa"/>
          </w:tcPr>
          <w:p w:rsidR="00C32992" w:rsidRDefault="002F17BE">
            <w:pPr>
              <w:jc w:val="both"/>
              <w:rPr>
                <w:rFonts w:ascii="Arial" w:hAnsi="Arial" w:cs="Arial"/>
                <w:lang w:val="uk-UA"/>
              </w:rPr>
            </w:pPr>
            <w:r>
              <w:rPr>
                <w:rFonts w:ascii="Arial" w:hAnsi="Arial" w:cs="Arial"/>
                <w:lang w:val="uk-UA"/>
              </w:rPr>
              <w:t xml:space="preserve">Пробивка отворів в листі: </w:t>
            </w:r>
          </w:p>
          <w:p w:rsidR="00C32992" w:rsidRDefault="002F17BE">
            <w:pPr>
              <w:numPr>
                <w:ilvl w:val="0"/>
                <w:numId w:val="5"/>
              </w:numPr>
              <w:jc w:val="both"/>
              <w:rPr>
                <w:rFonts w:ascii="Arial" w:hAnsi="Arial" w:cs="Arial"/>
                <w:lang w:val="uk-UA"/>
              </w:rPr>
            </w:pPr>
            <w:r>
              <w:rPr>
                <w:rFonts w:ascii="Arial" w:hAnsi="Arial" w:cs="Arial"/>
                <w:lang w:val="uk-UA"/>
              </w:rPr>
              <w:t>при плазмовому різанні</w:t>
            </w:r>
          </w:p>
          <w:p w:rsidR="00C32992" w:rsidRDefault="002F17BE">
            <w:pPr>
              <w:numPr>
                <w:ilvl w:val="0"/>
                <w:numId w:val="5"/>
              </w:numPr>
              <w:jc w:val="both"/>
              <w:rPr>
                <w:rFonts w:ascii="Arial" w:hAnsi="Arial" w:cs="Arial"/>
                <w:lang w:val="uk-UA"/>
              </w:rPr>
            </w:pPr>
            <w:r>
              <w:rPr>
                <w:rFonts w:ascii="Arial" w:hAnsi="Arial" w:cs="Arial"/>
                <w:lang w:val="uk-UA"/>
              </w:rPr>
              <w:t>при газовому різанні</w:t>
            </w:r>
          </w:p>
        </w:tc>
        <w:tc>
          <w:tcPr>
            <w:tcW w:w="2268" w:type="dxa"/>
          </w:tcPr>
          <w:p w:rsidR="00C32992" w:rsidRDefault="00C32992">
            <w:pPr>
              <w:jc w:val="both"/>
              <w:rPr>
                <w:rFonts w:ascii="Arial" w:hAnsi="Arial" w:cs="Arial"/>
                <w:b/>
                <w:lang w:val="uk-UA"/>
              </w:rPr>
            </w:pPr>
          </w:p>
          <w:p w:rsidR="00C32992" w:rsidRDefault="002F17BE">
            <w:pPr>
              <w:jc w:val="both"/>
              <w:rPr>
                <w:rFonts w:ascii="Arial" w:hAnsi="Arial" w:cs="Arial"/>
                <w:b/>
                <w:lang w:val="uk-UA"/>
              </w:rPr>
            </w:pPr>
            <w:r>
              <w:rPr>
                <w:rFonts w:ascii="Arial" w:hAnsi="Arial" w:cs="Arial"/>
                <w:b/>
                <w:lang w:val="uk-UA"/>
              </w:rPr>
              <w:t>5 – 28 мм</w:t>
            </w:r>
          </w:p>
          <w:p w:rsidR="00C32992" w:rsidRDefault="002F17BE">
            <w:pPr>
              <w:jc w:val="both"/>
              <w:rPr>
                <w:rFonts w:ascii="Arial" w:hAnsi="Arial" w:cs="Arial"/>
                <w:b/>
                <w:lang w:val="uk-UA"/>
              </w:rPr>
            </w:pPr>
            <w:r>
              <w:rPr>
                <w:rFonts w:ascii="Arial" w:hAnsi="Arial" w:cs="Arial"/>
                <w:b/>
                <w:lang w:val="uk-UA"/>
              </w:rPr>
              <w:t>5 – 50 мм</w:t>
            </w:r>
          </w:p>
        </w:tc>
        <w:tc>
          <w:tcPr>
            <w:tcW w:w="1842" w:type="dxa"/>
          </w:tcPr>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4 – 25 мм</w:t>
            </w:r>
          </w:p>
          <w:p w:rsidR="00C32992" w:rsidRDefault="002F17BE">
            <w:pPr>
              <w:jc w:val="both"/>
              <w:rPr>
                <w:rFonts w:ascii="Arial" w:hAnsi="Arial" w:cs="Arial"/>
                <w:lang w:val="uk-UA"/>
              </w:rPr>
            </w:pPr>
            <w:r>
              <w:rPr>
                <w:rFonts w:ascii="Arial" w:hAnsi="Arial" w:cs="Arial"/>
                <w:lang w:val="uk-UA"/>
              </w:rPr>
              <w:t>5 – 75 мм</w:t>
            </w:r>
          </w:p>
        </w:tc>
        <w:tc>
          <w:tcPr>
            <w:tcW w:w="1701" w:type="dxa"/>
          </w:tcPr>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4 – 25 мм</w:t>
            </w:r>
          </w:p>
          <w:p w:rsidR="00C32992" w:rsidRDefault="002F17BE">
            <w:pPr>
              <w:jc w:val="both"/>
              <w:rPr>
                <w:rFonts w:ascii="Arial" w:hAnsi="Arial" w:cs="Arial"/>
                <w:lang w:val="uk-UA"/>
              </w:rPr>
            </w:pPr>
            <w:r>
              <w:rPr>
                <w:rFonts w:ascii="Arial" w:hAnsi="Arial" w:cs="Arial"/>
                <w:lang w:val="uk-UA"/>
              </w:rPr>
              <w:t>5 – 100 мм</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8</w:t>
            </w:r>
          </w:p>
        </w:tc>
        <w:tc>
          <w:tcPr>
            <w:tcW w:w="3261" w:type="dxa"/>
          </w:tcPr>
          <w:p w:rsidR="00C32992" w:rsidRDefault="002F17BE">
            <w:pPr>
              <w:jc w:val="both"/>
              <w:rPr>
                <w:rFonts w:ascii="Arial" w:hAnsi="Arial" w:cs="Arial"/>
                <w:lang w:val="uk-UA"/>
              </w:rPr>
            </w:pPr>
            <w:r>
              <w:rPr>
                <w:rFonts w:ascii="Arial" w:hAnsi="Arial" w:cs="Arial"/>
                <w:lang w:val="uk-UA"/>
              </w:rPr>
              <w:t>Геометрична точність при викреслюванні</w:t>
            </w:r>
          </w:p>
        </w:tc>
        <w:tc>
          <w:tcPr>
            <w:tcW w:w="2268" w:type="dxa"/>
          </w:tcPr>
          <w:p w:rsidR="00C32992" w:rsidRDefault="002F17BE">
            <w:pPr>
              <w:jc w:val="both"/>
              <w:rPr>
                <w:rFonts w:ascii="Arial" w:hAnsi="Arial" w:cs="Arial"/>
                <w:b/>
                <w:lang w:val="uk-UA"/>
              </w:rPr>
            </w:pPr>
            <w:r>
              <w:rPr>
                <w:rFonts w:ascii="Arial" w:hAnsi="Arial" w:cs="Arial"/>
                <w:b/>
                <w:lang w:val="uk-UA"/>
              </w:rPr>
              <w:t>0,35 мм</w:t>
            </w:r>
          </w:p>
        </w:tc>
        <w:tc>
          <w:tcPr>
            <w:tcW w:w="1842" w:type="dxa"/>
          </w:tcPr>
          <w:p w:rsidR="00C32992" w:rsidRDefault="002F17BE">
            <w:pPr>
              <w:jc w:val="both"/>
              <w:rPr>
                <w:rFonts w:ascii="Arial" w:hAnsi="Arial" w:cs="Arial"/>
                <w:lang w:val="uk-UA"/>
              </w:rPr>
            </w:pPr>
            <w:r>
              <w:rPr>
                <w:rFonts w:ascii="Arial" w:hAnsi="Arial" w:cs="Arial"/>
                <w:lang w:val="uk-UA"/>
              </w:rPr>
              <w:t>0,30 мм</w:t>
            </w:r>
          </w:p>
        </w:tc>
        <w:tc>
          <w:tcPr>
            <w:tcW w:w="1701" w:type="dxa"/>
          </w:tcPr>
          <w:p w:rsidR="00C32992" w:rsidRDefault="002F17BE">
            <w:pPr>
              <w:jc w:val="both"/>
              <w:rPr>
                <w:rFonts w:ascii="Arial" w:hAnsi="Arial" w:cs="Arial"/>
                <w:lang w:val="uk-UA"/>
              </w:rPr>
            </w:pPr>
            <w:r>
              <w:rPr>
                <w:rFonts w:ascii="Arial" w:hAnsi="Arial" w:cs="Arial"/>
                <w:lang w:val="uk-UA"/>
              </w:rPr>
              <w:t>0,30 мм</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9</w:t>
            </w:r>
          </w:p>
        </w:tc>
        <w:tc>
          <w:tcPr>
            <w:tcW w:w="3261" w:type="dxa"/>
          </w:tcPr>
          <w:p w:rsidR="00C32992" w:rsidRDefault="002F17BE">
            <w:pPr>
              <w:jc w:val="both"/>
              <w:rPr>
                <w:rFonts w:ascii="Arial" w:hAnsi="Arial" w:cs="Arial"/>
                <w:lang w:val="uk-UA"/>
              </w:rPr>
            </w:pPr>
            <w:r>
              <w:rPr>
                <w:rFonts w:ascii="Arial" w:hAnsi="Arial" w:cs="Arial"/>
                <w:lang w:val="uk-UA"/>
              </w:rPr>
              <w:t>Максимальна споживана потужність джерела струму</w:t>
            </w:r>
          </w:p>
        </w:tc>
        <w:tc>
          <w:tcPr>
            <w:tcW w:w="2268" w:type="dxa"/>
          </w:tcPr>
          <w:p w:rsidR="00C32992" w:rsidRDefault="002F17BE">
            <w:pPr>
              <w:jc w:val="both"/>
              <w:rPr>
                <w:rFonts w:ascii="Arial" w:hAnsi="Arial" w:cs="Arial"/>
                <w:b/>
                <w:lang w:val="uk-UA"/>
              </w:rPr>
            </w:pPr>
            <w:r>
              <w:rPr>
                <w:rFonts w:ascii="Arial" w:hAnsi="Arial" w:cs="Arial"/>
                <w:b/>
                <w:lang w:val="uk-UA"/>
              </w:rPr>
              <w:t>100 кВА</w:t>
            </w:r>
          </w:p>
        </w:tc>
        <w:tc>
          <w:tcPr>
            <w:tcW w:w="1842" w:type="dxa"/>
          </w:tcPr>
          <w:p w:rsidR="00C32992" w:rsidRDefault="002F17BE">
            <w:pPr>
              <w:jc w:val="both"/>
              <w:rPr>
                <w:rFonts w:ascii="Arial" w:hAnsi="Arial" w:cs="Arial"/>
                <w:lang w:val="uk-UA"/>
              </w:rPr>
            </w:pPr>
            <w:r>
              <w:rPr>
                <w:rFonts w:ascii="Arial" w:hAnsi="Arial" w:cs="Arial"/>
                <w:lang w:val="uk-UA"/>
              </w:rPr>
              <w:t>40 кВА</w:t>
            </w:r>
          </w:p>
        </w:tc>
        <w:tc>
          <w:tcPr>
            <w:tcW w:w="1701" w:type="dxa"/>
          </w:tcPr>
          <w:p w:rsidR="00C32992" w:rsidRDefault="002F17BE">
            <w:pPr>
              <w:jc w:val="both"/>
              <w:rPr>
                <w:rFonts w:ascii="Arial" w:hAnsi="Arial" w:cs="Arial"/>
                <w:lang w:val="uk-UA"/>
              </w:rPr>
            </w:pPr>
            <w:r>
              <w:rPr>
                <w:rFonts w:ascii="Arial" w:hAnsi="Arial" w:cs="Arial"/>
                <w:lang w:val="uk-UA"/>
              </w:rPr>
              <w:t>50 кВА</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10</w:t>
            </w:r>
          </w:p>
        </w:tc>
        <w:tc>
          <w:tcPr>
            <w:tcW w:w="3261" w:type="dxa"/>
          </w:tcPr>
          <w:p w:rsidR="00C32992" w:rsidRDefault="002F17BE">
            <w:pPr>
              <w:jc w:val="both"/>
              <w:rPr>
                <w:rFonts w:ascii="Arial" w:hAnsi="Arial" w:cs="Arial"/>
                <w:lang w:val="ru-RU"/>
              </w:rPr>
            </w:pPr>
            <w:r>
              <w:rPr>
                <w:rFonts w:ascii="Arial" w:hAnsi="Arial" w:cs="Arial"/>
                <w:lang w:val="uk-UA"/>
              </w:rPr>
              <w:t xml:space="preserve">Загальна ціна машини, </w:t>
            </w:r>
            <w:r>
              <w:rPr>
                <w:rFonts w:ascii="Arial" w:hAnsi="Arial" w:cs="Arial"/>
                <w:lang w:val="en-US"/>
              </w:rPr>
              <w:t>DM</w:t>
            </w:r>
          </w:p>
        </w:tc>
        <w:tc>
          <w:tcPr>
            <w:tcW w:w="2268" w:type="dxa"/>
          </w:tcPr>
          <w:p w:rsidR="00C32992" w:rsidRDefault="002F17BE">
            <w:pPr>
              <w:jc w:val="both"/>
              <w:rPr>
                <w:rFonts w:ascii="Arial" w:hAnsi="Arial" w:cs="Arial"/>
                <w:b/>
                <w:lang w:val="uk-UA"/>
              </w:rPr>
            </w:pPr>
            <w:r>
              <w:rPr>
                <w:rFonts w:ascii="Arial" w:hAnsi="Arial" w:cs="Arial"/>
                <w:b/>
                <w:lang w:val="uk-UA"/>
              </w:rPr>
              <w:t>132400</w:t>
            </w:r>
          </w:p>
        </w:tc>
        <w:tc>
          <w:tcPr>
            <w:tcW w:w="1842" w:type="dxa"/>
          </w:tcPr>
          <w:p w:rsidR="00C32992" w:rsidRDefault="002F17BE">
            <w:pPr>
              <w:jc w:val="both"/>
              <w:rPr>
                <w:rFonts w:ascii="Arial" w:hAnsi="Arial" w:cs="Arial"/>
                <w:lang w:val="uk-UA"/>
              </w:rPr>
            </w:pPr>
            <w:r>
              <w:rPr>
                <w:rFonts w:ascii="Arial" w:hAnsi="Arial" w:cs="Arial"/>
                <w:lang w:val="uk-UA"/>
              </w:rPr>
              <w:t>573250</w:t>
            </w:r>
          </w:p>
        </w:tc>
        <w:tc>
          <w:tcPr>
            <w:tcW w:w="1701" w:type="dxa"/>
          </w:tcPr>
          <w:p w:rsidR="00C32992" w:rsidRDefault="002F17BE">
            <w:pPr>
              <w:jc w:val="both"/>
              <w:rPr>
                <w:rFonts w:ascii="Arial" w:hAnsi="Arial" w:cs="Arial"/>
                <w:lang w:val="uk-UA"/>
              </w:rPr>
            </w:pPr>
            <w:r>
              <w:rPr>
                <w:rFonts w:ascii="Arial" w:hAnsi="Arial" w:cs="Arial"/>
                <w:lang w:val="uk-UA"/>
              </w:rPr>
              <w:t>544700</w:t>
            </w:r>
          </w:p>
        </w:tc>
      </w:tr>
      <w:tr w:rsidR="00C32992">
        <w:trPr>
          <w:cantSplit/>
        </w:trPr>
        <w:tc>
          <w:tcPr>
            <w:tcW w:w="675" w:type="dxa"/>
          </w:tcPr>
          <w:p w:rsidR="00C32992" w:rsidRDefault="002F17BE">
            <w:pPr>
              <w:jc w:val="both"/>
              <w:rPr>
                <w:rFonts w:ascii="Arial" w:hAnsi="Arial" w:cs="Arial"/>
                <w:lang w:val="uk-UA"/>
              </w:rPr>
            </w:pPr>
            <w:r>
              <w:rPr>
                <w:rFonts w:ascii="Arial" w:hAnsi="Arial" w:cs="Arial"/>
                <w:lang w:val="uk-UA"/>
              </w:rPr>
              <w:t>11</w:t>
            </w:r>
          </w:p>
        </w:tc>
        <w:tc>
          <w:tcPr>
            <w:tcW w:w="3261" w:type="dxa"/>
          </w:tcPr>
          <w:p w:rsidR="00C32992" w:rsidRDefault="002F17BE">
            <w:pPr>
              <w:jc w:val="both"/>
              <w:rPr>
                <w:rFonts w:ascii="Arial" w:hAnsi="Arial" w:cs="Arial"/>
                <w:lang w:val="uk-UA"/>
              </w:rPr>
            </w:pPr>
            <w:r>
              <w:rPr>
                <w:rFonts w:ascii="Arial" w:hAnsi="Arial" w:cs="Arial"/>
                <w:lang w:val="uk-UA"/>
              </w:rPr>
              <w:t>Ціна машини “Кристал” з імпортним джерелом струму</w:t>
            </w:r>
          </w:p>
        </w:tc>
        <w:tc>
          <w:tcPr>
            <w:tcW w:w="2268" w:type="dxa"/>
          </w:tcPr>
          <w:p w:rsidR="00C32992" w:rsidRDefault="002F17BE">
            <w:pPr>
              <w:jc w:val="both"/>
              <w:rPr>
                <w:rFonts w:ascii="Arial" w:hAnsi="Arial" w:cs="Arial"/>
                <w:b/>
                <w:lang w:val="uk-UA"/>
              </w:rPr>
            </w:pPr>
            <w:r>
              <w:rPr>
                <w:rFonts w:ascii="Arial" w:hAnsi="Arial" w:cs="Arial"/>
                <w:b/>
                <w:lang w:val="uk-UA"/>
              </w:rPr>
              <w:t>154900</w:t>
            </w:r>
          </w:p>
        </w:tc>
        <w:tc>
          <w:tcPr>
            <w:tcW w:w="1842" w:type="dxa"/>
          </w:tcPr>
          <w:p w:rsidR="00C32992" w:rsidRDefault="002F17BE">
            <w:pPr>
              <w:jc w:val="both"/>
              <w:rPr>
                <w:rFonts w:ascii="Arial" w:hAnsi="Arial" w:cs="Arial"/>
                <w:lang w:val="uk-UA"/>
              </w:rPr>
            </w:pPr>
            <w:r>
              <w:rPr>
                <w:rFonts w:ascii="Arial" w:hAnsi="Arial" w:cs="Arial"/>
                <w:lang w:val="uk-UA"/>
              </w:rPr>
              <w:t>х</w:t>
            </w:r>
          </w:p>
        </w:tc>
        <w:tc>
          <w:tcPr>
            <w:tcW w:w="1701" w:type="dxa"/>
          </w:tcPr>
          <w:p w:rsidR="00C32992" w:rsidRDefault="002F17BE">
            <w:pPr>
              <w:jc w:val="both"/>
              <w:rPr>
                <w:rFonts w:ascii="Arial" w:hAnsi="Arial" w:cs="Arial"/>
                <w:lang w:val="uk-UA"/>
              </w:rPr>
            </w:pPr>
            <w:r>
              <w:rPr>
                <w:rFonts w:ascii="Arial" w:hAnsi="Arial" w:cs="Arial"/>
                <w:lang w:val="uk-UA"/>
              </w:rPr>
              <w:t>Х</w:t>
            </w:r>
          </w:p>
        </w:tc>
      </w:tr>
    </w:tbl>
    <w:p w:rsidR="00C32992" w:rsidRDefault="00C32992">
      <w:pPr>
        <w:ind w:firstLine="567"/>
        <w:jc w:val="both"/>
        <w:rPr>
          <w:rFonts w:ascii="Arial" w:hAnsi="Arial" w:cs="Arial"/>
          <w:lang w:val="uk-UA"/>
        </w:rPr>
      </w:pPr>
    </w:p>
    <w:p w:rsidR="00C32992" w:rsidRDefault="002F17BE">
      <w:pPr>
        <w:ind w:firstLine="567"/>
        <w:jc w:val="both"/>
        <w:rPr>
          <w:rFonts w:ascii="Arial" w:hAnsi="Arial" w:cs="Arial"/>
          <w:lang w:val="uk-UA"/>
        </w:rPr>
      </w:pPr>
      <w:r>
        <w:rPr>
          <w:rFonts w:ascii="Arial" w:hAnsi="Arial" w:cs="Arial"/>
          <w:lang w:val="uk-UA"/>
        </w:rPr>
        <w:t>З наведеної таблиці видно, що суто технологічні параметри газо-плазмових різальних машин вітчизняного та зарубіжного виробництва не надто відрізняються, але цін машини “Кристал” учетверо менша за іноземні аналоги.</w:t>
      </w:r>
    </w:p>
    <w:p w:rsidR="00C32992" w:rsidRDefault="002F17BE">
      <w:pPr>
        <w:ind w:firstLine="567"/>
        <w:jc w:val="both"/>
        <w:rPr>
          <w:rFonts w:ascii="Arial" w:hAnsi="Arial" w:cs="Arial"/>
          <w:lang w:val="uk-UA"/>
        </w:rPr>
      </w:pPr>
      <w:r>
        <w:rPr>
          <w:rFonts w:ascii="Arial" w:hAnsi="Arial" w:cs="Arial"/>
          <w:lang w:val="uk-UA"/>
        </w:rPr>
        <w:t xml:space="preserve">Машини </w:t>
      </w:r>
      <w:r>
        <w:rPr>
          <w:rFonts w:ascii="Arial" w:hAnsi="Arial" w:cs="Arial"/>
          <w:lang w:val="en-US"/>
        </w:rPr>
        <w:t>SUPRA</w:t>
      </w:r>
      <w:r>
        <w:rPr>
          <w:rFonts w:ascii="Arial" w:hAnsi="Arial" w:cs="Arial"/>
          <w:lang w:val="uk-UA"/>
        </w:rPr>
        <w:t xml:space="preserve"> </w:t>
      </w:r>
      <w:r>
        <w:rPr>
          <w:rFonts w:ascii="Arial" w:hAnsi="Arial" w:cs="Arial"/>
          <w:lang w:val="en-US"/>
        </w:rPr>
        <w:t>REX</w:t>
      </w:r>
      <w:r>
        <w:rPr>
          <w:rFonts w:ascii="Arial" w:hAnsi="Arial" w:cs="Arial"/>
          <w:lang w:val="uk-UA"/>
        </w:rPr>
        <w:t xml:space="preserve"> та </w:t>
      </w:r>
      <w:r>
        <w:rPr>
          <w:rFonts w:ascii="Arial" w:hAnsi="Arial" w:cs="Arial"/>
        </w:rPr>
        <w:t>OMNIMAT</w:t>
      </w:r>
      <w:r>
        <w:rPr>
          <w:rFonts w:ascii="Arial" w:hAnsi="Arial" w:cs="Arial"/>
          <w:lang w:val="uk-UA"/>
        </w:rPr>
        <w:t xml:space="preserve"> можна визнати більш потужними хоча б за показниками максимальної товщини листа металу, що ріжеться, але цей фактор є суттєвим для дуже невеликого кола споживачів, які використовують у власному виробництві заготовки з листового металу великої товщини.</w:t>
      </w:r>
    </w:p>
    <w:p w:rsidR="00C32992" w:rsidRDefault="002F17BE">
      <w:pPr>
        <w:ind w:firstLine="567"/>
        <w:jc w:val="both"/>
        <w:rPr>
          <w:rFonts w:ascii="Arial" w:hAnsi="Arial" w:cs="Arial"/>
          <w:lang w:val="uk-UA"/>
        </w:rPr>
      </w:pPr>
      <w:r>
        <w:rPr>
          <w:rFonts w:ascii="Arial" w:hAnsi="Arial" w:cs="Arial"/>
          <w:lang w:val="ru-RU"/>
        </w:rPr>
        <w:t xml:space="preserve">Системи управління в усіх трьох машинах виконано на стандартних платформах </w:t>
      </w:r>
      <w:r>
        <w:rPr>
          <w:rFonts w:ascii="Arial" w:hAnsi="Arial" w:cs="Arial"/>
          <w:lang w:val="en-US"/>
        </w:rPr>
        <w:t>MICROSOFT</w:t>
      </w:r>
      <w:r>
        <w:rPr>
          <w:rFonts w:ascii="Arial" w:hAnsi="Arial" w:cs="Arial"/>
          <w:lang w:val="ru-RU"/>
        </w:rPr>
        <w:t xml:space="preserve"> </w:t>
      </w:r>
      <w:r>
        <w:rPr>
          <w:rFonts w:ascii="Arial" w:hAnsi="Arial" w:cs="Arial"/>
          <w:lang w:val="uk-UA"/>
        </w:rPr>
        <w:t>і за своїми можливостями вони майже ідентичні. Те ж саме можна сказати про комплект постачання та умови постачання, згідно з якими виробник забезпечує шеф-монтаж, пуско-налагоджувальні роботи, навчання фахівців та гарантійне обслуговування протягом 12 місяців.</w:t>
      </w:r>
    </w:p>
    <w:p w:rsidR="00C32992" w:rsidRDefault="002F17BE">
      <w:pPr>
        <w:ind w:firstLine="567"/>
        <w:jc w:val="both"/>
        <w:rPr>
          <w:rFonts w:ascii="Arial" w:hAnsi="Arial" w:cs="Arial"/>
          <w:lang w:val="uk-UA"/>
        </w:rPr>
      </w:pPr>
      <w:r>
        <w:rPr>
          <w:rFonts w:ascii="Arial" w:hAnsi="Arial" w:cs="Arial"/>
          <w:lang w:val="uk-UA"/>
        </w:rPr>
        <w:t>Слід визнати таку ваду машин “Кристал”, як споживання більшої кількості електроенергії в порівнянні з німецькими машинами (див. рядок 9 табл.2). Проте існує досить проста технічна можливість встановлювати на українських “Кристалах” (за умови попереднього узгодження із замовником) імпортні джерела плазмової різки, в такому разі наші машини подорожчають на 22,5 тис. німецьких марок (див. рядок 11 табл.2), що майже ніяк не вплине суто цінову складову їхньої конкурентоздатності, натомість дозволить знівелювати найбільш неприємну відмінність від зарубіжних аналогів.</w:t>
      </w:r>
    </w:p>
    <w:p w:rsidR="00C32992" w:rsidRDefault="00C32992">
      <w:pPr>
        <w:ind w:firstLine="567"/>
        <w:jc w:val="both"/>
        <w:rPr>
          <w:rFonts w:ascii="Arial" w:hAnsi="Arial" w:cs="Arial"/>
          <w:lang w:val="uk-UA"/>
        </w:rPr>
      </w:pPr>
    </w:p>
    <w:p w:rsidR="00C32992" w:rsidRDefault="002F17BE">
      <w:pPr>
        <w:ind w:firstLine="567"/>
        <w:jc w:val="both"/>
        <w:rPr>
          <w:rFonts w:ascii="Arial" w:hAnsi="Arial" w:cs="Arial"/>
          <w:lang w:val="uk-UA"/>
        </w:rPr>
      </w:pPr>
      <w:r>
        <w:rPr>
          <w:rFonts w:ascii="Arial" w:hAnsi="Arial" w:cs="Arial"/>
          <w:lang w:val="uk-UA"/>
        </w:rPr>
        <w:t>За інформацією фахівців ВАТ “Завод “Кристал” , в російській промисловості (переважно в машинобудуванні) експлуатується близько 900 машин автоматичного газового та плазмового різання металів, що вироблені цим підприємством. Цей ринок є основним для підприємства, однак воно також отримує замовлення від підприємств країн Азії, а на деякі види продукції – країн Європи.</w:t>
      </w:r>
    </w:p>
    <w:p w:rsidR="00C32992" w:rsidRDefault="002F17BE">
      <w:pPr>
        <w:ind w:firstLine="567"/>
        <w:jc w:val="both"/>
        <w:rPr>
          <w:rFonts w:ascii="Arial" w:hAnsi="Arial" w:cs="Arial"/>
          <w:lang w:val="uk-UA"/>
        </w:rPr>
      </w:pPr>
      <w:r>
        <w:rPr>
          <w:rFonts w:ascii="Arial" w:hAnsi="Arial" w:cs="Arial"/>
          <w:lang w:val="uk-UA"/>
        </w:rPr>
        <w:t>Об’єднання “</w:t>
      </w:r>
      <w:r>
        <w:rPr>
          <w:rFonts w:ascii="Arial" w:hAnsi="Arial" w:cs="Arial"/>
          <w:lang w:val="en-US"/>
        </w:rPr>
        <w:t>AMICO</w:t>
      </w:r>
      <w:r>
        <w:rPr>
          <w:rFonts w:ascii="Arial" w:hAnsi="Arial" w:cs="Arial"/>
          <w:lang w:val="uk-UA"/>
        </w:rPr>
        <w:t xml:space="preserve">” поки що більшу частину своєї продукції реалізує на внутрішньому ринку, однак протягом найближчих років планує суттєве розширення своєї присутності на  ринку СНД та Європи (що є реальним, оскільки продукція об’єднання відповідає стандартам якості розвинених країн і є відносно дешевою). </w:t>
      </w:r>
    </w:p>
    <w:p w:rsidR="00C32992" w:rsidRDefault="00C32992">
      <w:pPr>
        <w:pStyle w:val="20"/>
      </w:pPr>
    </w:p>
    <w:p w:rsidR="00C32992" w:rsidRDefault="002F17BE">
      <w:pPr>
        <w:pStyle w:val="20"/>
      </w:pPr>
      <w:r>
        <w:t xml:space="preserve">Для підприємств галузі автоматизації та робототехніки України на даний момент найбільше значення має ринок Росії (і загалом СНД). По-перше, російські підприємства задовольняє якість української продукції, яка при цьому є в кілька разів дешевшою за аналогічну виробників інших країн.  По-друге, ще й досі дається взнаки горизонтальна інтегрованість економік колишніх республік СРСР. Деякі виробничі зв’язки, звичайно, урвалися, але збереглися досить вигідні для обох сторін економічні стосунки, які можуть не просто існувати, а й плідно розвиватися. </w:t>
      </w:r>
    </w:p>
    <w:p w:rsidR="00C32992" w:rsidRDefault="002F17BE">
      <w:pPr>
        <w:ind w:firstLine="567"/>
        <w:jc w:val="both"/>
        <w:rPr>
          <w:rFonts w:ascii="Arial" w:hAnsi="Arial" w:cs="Arial"/>
          <w:lang w:val="uk-UA"/>
        </w:rPr>
      </w:pPr>
      <w:r>
        <w:rPr>
          <w:rFonts w:ascii="Arial" w:hAnsi="Arial" w:cs="Arial"/>
          <w:lang w:val="uk-UA"/>
        </w:rPr>
        <w:t xml:space="preserve">По-третє, ринки Росії та країн СНД не висувають таких, як у Європі чи США жорстких вимог з якості товарів, наприклад, відповідності стандартам </w:t>
      </w:r>
      <w:r>
        <w:rPr>
          <w:rFonts w:ascii="Arial" w:hAnsi="Arial" w:cs="Arial"/>
          <w:lang w:val="en-US"/>
        </w:rPr>
        <w:t>ISO</w:t>
      </w:r>
      <w:r>
        <w:rPr>
          <w:rFonts w:ascii="Arial" w:hAnsi="Arial" w:cs="Arial"/>
          <w:lang w:val="uk-UA"/>
        </w:rPr>
        <w:t xml:space="preserve"> 8206 (в машинобудуванні). Подеколи не вимагають і особливої чистоти щодо авторських прав на винаходи, комп</w:t>
      </w:r>
      <w:r>
        <w:rPr>
          <w:rFonts w:ascii="Arial" w:hAnsi="Arial" w:cs="Arial"/>
          <w:lang w:val="ru-RU"/>
        </w:rPr>
        <w:t>’</w:t>
      </w:r>
      <w:r>
        <w:rPr>
          <w:rFonts w:ascii="Arial" w:hAnsi="Arial" w:cs="Arial"/>
          <w:lang w:val="uk-UA"/>
        </w:rPr>
        <w:t>ютерні програми та іншу інтелектуальну власність. Звичайно, це явище тимчасове, але експерти вважають, що зміни тут відбуватимуться не надто швидко.</w:t>
      </w:r>
    </w:p>
    <w:p w:rsidR="00C32992" w:rsidRDefault="002F17BE">
      <w:pPr>
        <w:ind w:firstLine="567"/>
        <w:jc w:val="both"/>
        <w:rPr>
          <w:rFonts w:ascii="Arial" w:hAnsi="Arial" w:cs="Arial"/>
          <w:lang w:val="uk-UA"/>
        </w:rPr>
      </w:pPr>
      <w:r>
        <w:rPr>
          <w:rFonts w:ascii="Arial" w:hAnsi="Arial" w:cs="Arial"/>
          <w:lang w:val="uk-UA"/>
        </w:rPr>
        <w:t xml:space="preserve">За умов розумного лобіювання державою інтересів вітчизняних машинобудівників та виробників засобів автоматизації, а також за наявності реальних продуктивних зусиль зовнішньополітичних відомств України можливим є порівняно швидке суттєве розширення експорту засобів автоматизації до країн Південно-Східній Азії.  Привабливими для експорту продукції українського машинобудування є й країни Латинської Америки, Азії та Африки, де завдяки ціновому фактору вона буде конкурентоздатною в порівнянні з західними аналогами. </w:t>
      </w:r>
    </w:p>
    <w:p w:rsidR="00C32992" w:rsidRDefault="002F17BE">
      <w:pPr>
        <w:ind w:firstLine="567"/>
        <w:jc w:val="both"/>
        <w:rPr>
          <w:rFonts w:ascii="Arial" w:hAnsi="Arial" w:cs="Arial"/>
          <w:lang w:val="uk-UA"/>
        </w:rPr>
      </w:pPr>
      <w:r>
        <w:rPr>
          <w:rFonts w:ascii="Arial" w:hAnsi="Arial" w:cs="Arial"/>
          <w:lang w:val="uk-UA"/>
        </w:rPr>
        <w:t>До того ж, деякі види продукції українських виробників (зокрема зазначених  підприємств) уже успішно конкурують із світовими аналогами на ринках високорозвинених країн – США, Канади, Європи. Однак дані країни неохоче пускають на свій ринок українську високотехнологічну продукцію, тому для його завоювання слід не лише підвищувати якість продукції, а й обстоювати інтереси українських підприємств на дипломатичному рівні.</w:t>
      </w:r>
    </w:p>
    <w:p w:rsidR="00C32992" w:rsidRDefault="002F17BE">
      <w:pPr>
        <w:ind w:firstLine="567"/>
        <w:jc w:val="both"/>
        <w:rPr>
          <w:rFonts w:ascii="Arial" w:hAnsi="Arial" w:cs="Arial"/>
          <w:lang w:val="ru-RU"/>
        </w:rPr>
      </w:pPr>
      <w:r>
        <w:rPr>
          <w:rFonts w:ascii="Arial" w:hAnsi="Arial" w:cs="Arial"/>
          <w:lang w:val="ru-RU"/>
        </w:rPr>
        <w:t xml:space="preserve">. </w:t>
      </w:r>
    </w:p>
    <w:p w:rsidR="00C32992" w:rsidRDefault="00C32992">
      <w:pPr>
        <w:ind w:firstLine="567"/>
        <w:jc w:val="both"/>
        <w:rPr>
          <w:rFonts w:ascii="Arial" w:hAnsi="Arial" w:cs="Arial"/>
          <w:lang w:val="ru-RU"/>
        </w:rPr>
      </w:pPr>
    </w:p>
    <w:p w:rsidR="00C32992" w:rsidRDefault="00C32992">
      <w:pPr>
        <w:ind w:firstLine="567"/>
        <w:jc w:val="both"/>
        <w:rPr>
          <w:rFonts w:ascii="Arial" w:hAnsi="Arial" w:cs="Arial"/>
          <w:lang w:val="ru-RU"/>
        </w:rPr>
      </w:pPr>
    </w:p>
    <w:p w:rsidR="00C32992" w:rsidRDefault="002F17BE">
      <w:pPr>
        <w:ind w:firstLine="567"/>
        <w:jc w:val="center"/>
        <w:rPr>
          <w:rFonts w:ascii="Arial" w:hAnsi="Arial" w:cs="Arial"/>
          <w:lang w:val="ru-RU"/>
        </w:rPr>
      </w:pPr>
      <w:r>
        <w:rPr>
          <w:rFonts w:ascii="Arial" w:hAnsi="Arial" w:cs="Arial"/>
          <w:lang w:val="ru-RU"/>
        </w:rPr>
        <w:t>Частина 2</w:t>
      </w:r>
    </w:p>
    <w:p w:rsidR="00C32992" w:rsidRDefault="002F17BE">
      <w:pPr>
        <w:ind w:firstLine="567"/>
        <w:jc w:val="center"/>
        <w:rPr>
          <w:rFonts w:ascii="Arial" w:hAnsi="Arial" w:cs="Arial"/>
          <w:lang w:val="ru-RU"/>
        </w:rPr>
      </w:pPr>
      <w:r>
        <w:rPr>
          <w:rFonts w:ascii="Arial" w:hAnsi="Arial" w:cs="Arial"/>
          <w:lang w:val="ru-RU"/>
        </w:rPr>
        <w:t>Шляхи підвищення конкурентоздатності галузі</w:t>
      </w:r>
    </w:p>
    <w:p w:rsidR="00C32992" w:rsidRDefault="00C32992">
      <w:pPr>
        <w:ind w:firstLine="567"/>
        <w:jc w:val="center"/>
        <w:rPr>
          <w:rFonts w:ascii="Arial" w:hAnsi="Arial" w:cs="Arial"/>
          <w:lang w:val="ru-RU"/>
        </w:rPr>
      </w:pPr>
    </w:p>
    <w:p w:rsidR="00C32992" w:rsidRDefault="002F17BE">
      <w:pPr>
        <w:ind w:firstLine="567"/>
        <w:rPr>
          <w:rFonts w:ascii="Arial" w:hAnsi="Arial" w:cs="Arial"/>
          <w:i/>
          <w:iCs/>
          <w:lang w:val="ru-RU"/>
        </w:rPr>
      </w:pPr>
      <w:r>
        <w:rPr>
          <w:rFonts w:ascii="Arial" w:hAnsi="Arial" w:cs="Arial"/>
          <w:i/>
          <w:iCs/>
          <w:lang w:val="ru-RU"/>
        </w:rPr>
        <w:t xml:space="preserve">1. Інвестиційна політика. </w:t>
      </w:r>
    </w:p>
    <w:p w:rsidR="00C32992" w:rsidRDefault="002F17BE">
      <w:pPr>
        <w:ind w:firstLine="567"/>
        <w:rPr>
          <w:rFonts w:ascii="Arial" w:hAnsi="Arial" w:cs="Arial"/>
          <w:lang w:val="ru-RU"/>
        </w:rPr>
      </w:pPr>
      <w:r>
        <w:rPr>
          <w:rFonts w:ascii="Arial" w:hAnsi="Arial" w:cs="Arial"/>
          <w:lang w:val="ru-RU"/>
        </w:rPr>
        <w:t xml:space="preserve">                                                                          Таблиця 3</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700"/>
        <w:gridCol w:w="2880"/>
      </w:tblGrid>
      <w:tr w:rsidR="00C32992">
        <w:tc>
          <w:tcPr>
            <w:tcW w:w="1368" w:type="dxa"/>
          </w:tcPr>
          <w:p w:rsidR="00C32992" w:rsidRDefault="002F17BE">
            <w:pPr>
              <w:jc w:val="both"/>
              <w:rPr>
                <w:rFonts w:ascii="Arial" w:hAnsi="Arial" w:cs="Arial"/>
                <w:lang w:val="uk-UA"/>
              </w:rPr>
            </w:pPr>
            <w:r>
              <w:rPr>
                <w:rFonts w:ascii="Arial" w:hAnsi="Arial" w:cs="Arial"/>
                <w:lang w:val="uk-UA"/>
              </w:rPr>
              <w:t>Джерело коштів та частка коштів із даного джерела, що надхо-дять до високонаукоємних галузей,%</w:t>
            </w:r>
          </w:p>
          <w:p w:rsidR="00C32992" w:rsidRDefault="00C32992">
            <w:pPr>
              <w:jc w:val="both"/>
              <w:rPr>
                <w:rFonts w:ascii="Arial" w:hAnsi="Arial" w:cs="Arial"/>
                <w:lang w:val="uk-UA"/>
              </w:rPr>
            </w:pPr>
          </w:p>
        </w:tc>
        <w:tc>
          <w:tcPr>
            <w:tcW w:w="1800" w:type="dxa"/>
          </w:tcPr>
          <w:p w:rsidR="00C32992" w:rsidRDefault="002F17BE">
            <w:pPr>
              <w:jc w:val="both"/>
              <w:rPr>
                <w:rFonts w:ascii="Arial" w:hAnsi="Arial" w:cs="Arial"/>
                <w:lang w:val="uk-UA"/>
              </w:rPr>
            </w:pPr>
            <w:r>
              <w:rPr>
                <w:rFonts w:ascii="Arial" w:hAnsi="Arial" w:cs="Arial"/>
                <w:lang w:val="uk-UA"/>
              </w:rPr>
              <w:t>Частка даного джерела в усіх витратах на здійснення технологічних інновацій, %</w:t>
            </w:r>
          </w:p>
        </w:tc>
        <w:tc>
          <w:tcPr>
            <w:tcW w:w="2700" w:type="dxa"/>
          </w:tcPr>
          <w:p w:rsidR="00C32992" w:rsidRDefault="002F17BE">
            <w:pPr>
              <w:jc w:val="both"/>
              <w:rPr>
                <w:rFonts w:ascii="Arial" w:hAnsi="Arial" w:cs="Arial"/>
                <w:lang w:val="uk-UA"/>
              </w:rPr>
            </w:pPr>
            <w:r>
              <w:rPr>
                <w:rFonts w:ascii="Arial" w:hAnsi="Arial" w:cs="Arial"/>
                <w:lang w:val="uk-UA"/>
              </w:rPr>
              <w:t>Пріоритетні галузі промисловості та частка коштів із даного джерела, які надходять до них,%</w:t>
            </w:r>
          </w:p>
        </w:tc>
        <w:tc>
          <w:tcPr>
            <w:tcW w:w="2880" w:type="dxa"/>
          </w:tcPr>
          <w:p w:rsidR="00C32992" w:rsidRDefault="002F17BE">
            <w:pPr>
              <w:jc w:val="both"/>
              <w:rPr>
                <w:rFonts w:ascii="Arial" w:hAnsi="Arial" w:cs="Arial"/>
                <w:lang w:val="uk-UA"/>
              </w:rPr>
            </w:pPr>
            <w:r>
              <w:rPr>
                <w:rFonts w:ascii="Arial" w:hAnsi="Arial" w:cs="Arial"/>
                <w:lang w:val="uk-UA"/>
              </w:rPr>
              <w:t>Частка коштів із даного джерела в усьому обсязі інвестицій, які надходять до пріоритетних галузей,%</w:t>
            </w:r>
          </w:p>
        </w:tc>
      </w:tr>
      <w:tr w:rsidR="00C32992">
        <w:tc>
          <w:tcPr>
            <w:tcW w:w="1368" w:type="dxa"/>
          </w:tcPr>
          <w:p w:rsidR="00C32992" w:rsidRDefault="002F17BE">
            <w:pPr>
              <w:jc w:val="both"/>
              <w:rPr>
                <w:rFonts w:ascii="Arial" w:hAnsi="Arial" w:cs="Arial"/>
                <w:lang w:val="uk-UA"/>
              </w:rPr>
            </w:pPr>
            <w:r>
              <w:rPr>
                <w:rFonts w:ascii="Arial" w:hAnsi="Arial" w:cs="Arial"/>
                <w:lang w:val="uk-UA"/>
              </w:rPr>
              <w:t>Вітчизняні інвестори</w:t>
            </w: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11,4</w:t>
            </w:r>
          </w:p>
        </w:tc>
        <w:tc>
          <w:tcPr>
            <w:tcW w:w="1800" w:type="dxa"/>
          </w:tcPr>
          <w:p w:rsidR="00C32992" w:rsidRDefault="002F17BE">
            <w:pPr>
              <w:jc w:val="both"/>
              <w:rPr>
                <w:rFonts w:ascii="Arial" w:hAnsi="Arial" w:cs="Arial"/>
                <w:lang w:val="uk-UA"/>
              </w:rPr>
            </w:pPr>
            <w:r>
              <w:rPr>
                <w:rFonts w:ascii="Arial" w:hAnsi="Arial" w:cs="Arial"/>
                <w:lang w:val="uk-UA"/>
              </w:rPr>
              <w:t>0,6</w:t>
            </w:r>
          </w:p>
        </w:tc>
        <w:tc>
          <w:tcPr>
            <w:tcW w:w="2700" w:type="dxa"/>
          </w:tcPr>
          <w:p w:rsidR="00C32992" w:rsidRDefault="002F17BE">
            <w:pPr>
              <w:jc w:val="both"/>
              <w:rPr>
                <w:rFonts w:ascii="Arial" w:hAnsi="Arial" w:cs="Arial"/>
                <w:lang w:val="uk-UA"/>
              </w:rPr>
            </w:pPr>
            <w:r>
              <w:rPr>
                <w:rFonts w:ascii="Arial" w:hAnsi="Arial" w:cs="Arial"/>
                <w:lang w:val="uk-UA"/>
              </w:rPr>
              <w:t>Чорна мет-ія (81,2)</w:t>
            </w:r>
          </w:p>
          <w:p w:rsidR="00C32992" w:rsidRDefault="002F17BE">
            <w:pPr>
              <w:jc w:val="both"/>
              <w:rPr>
                <w:rFonts w:ascii="Arial" w:hAnsi="Arial" w:cs="Arial"/>
                <w:lang w:val="uk-UA"/>
              </w:rPr>
            </w:pPr>
            <w:r>
              <w:rPr>
                <w:rFonts w:ascii="Arial" w:hAnsi="Arial" w:cs="Arial"/>
                <w:lang w:val="uk-UA"/>
              </w:rPr>
              <w:t>Приладобуд. (7,5)</w:t>
            </w:r>
          </w:p>
          <w:p w:rsidR="00C32992" w:rsidRDefault="002F17BE">
            <w:pPr>
              <w:jc w:val="both"/>
              <w:rPr>
                <w:rFonts w:ascii="Arial" w:hAnsi="Arial" w:cs="Arial"/>
                <w:lang w:val="uk-UA"/>
              </w:rPr>
            </w:pPr>
            <w:r>
              <w:rPr>
                <w:rFonts w:ascii="Arial" w:hAnsi="Arial" w:cs="Arial"/>
                <w:lang w:val="uk-UA"/>
              </w:rPr>
              <w:t>Легка пр-ть (1,2)</w:t>
            </w:r>
          </w:p>
        </w:tc>
        <w:tc>
          <w:tcPr>
            <w:tcW w:w="2880" w:type="dxa"/>
          </w:tcPr>
          <w:p w:rsidR="00C32992" w:rsidRDefault="002F17BE">
            <w:pPr>
              <w:jc w:val="both"/>
              <w:rPr>
                <w:rFonts w:ascii="Arial" w:hAnsi="Arial" w:cs="Arial"/>
                <w:lang w:val="uk-UA"/>
              </w:rPr>
            </w:pPr>
            <w:r>
              <w:rPr>
                <w:rFonts w:ascii="Arial" w:hAnsi="Arial" w:cs="Arial"/>
                <w:lang w:val="uk-UA"/>
              </w:rPr>
              <w:t>Чорна мет-ія (2,6)</w:t>
            </w:r>
          </w:p>
          <w:p w:rsidR="00C32992" w:rsidRDefault="002F17BE">
            <w:pPr>
              <w:jc w:val="both"/>
              <w:rPr>
                <w:rFonts w:ascii="Arial" w:hAnsi="Arial" w:cs="Arial"/>
                <w:lang w:val="uk-UA"/>
              </w:rPr>
            </w:pPr>
            <w:r>
              <w:rPr>
                <w:rFonts w:ascii="Arial" w:hAnsi="Arial" w:cs="Arial"/>
                <w:lang w:val="uk-UA"/>
              </w:rPr>
              <w:t>Приладобуд. (2,4)</w:t>
            </w:r>
          </w:p>
          <w:p w:rsidR="00C32992" w:rsidRDefault="002F17BE">
            <w:pPr>
              <w:jc w:val="both"/>
              <w:rPr>
                <w:rFonts w:ascii="Arial" w:hAnsi="Arial" w:cs="Arial"/>
                <w:lang w:val="uk-UA"/>
              </w:rPr>
            </w:pPr>
            <w:r>
              <w:rPr>
                <w:rFonts w:ascii="Arial" w:hAnsi="Arial" w:cs="Arial"/>
                <w:lang w:val="uk-UA"/>
              </w:rPr>
              <w:t>Легка пр-ть (0,7)</w:t>
            </w:r>
          </w:p>
        </w:tc>
      </w:tr>
      <w:tr w:rsidR="00C32992">
        <w:tc>
          <w:tcPr>
            <w:tcW w:w="1368" w:type="dxa"/>
          </w:tcPr>
          <w:p w:rsidR="00C32992" w:rsidRDefault="002F17BE">
            <w:pPr>
              <w:jc w:val="both"/>
              <w:rPr>
                <w:rFonts w:ascii="Arial" w:hAnsi="Arial" w:cs="Arial"/>
                <w:lang w:val="uk-UA"/>
              </w:rPr>
            </w:pPr>
            <w:r>
              <w:rPr>
                <w:rFonts w:ascii="Arial" w:hAnsi="Arial" w:cs="Arial"/>
                <w:lang w:val="uk-UA"/>
              </w:rPr>
              <w:t>Іноземні інвестори</w:t>
            </w: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0,3</w:t>
            </w:r>
          </w:p>
        </w:tc>
        <w:tc>
          <w:tcPr>
            <w:tcW w:w="1800" w:type="dxa"/>
          </w:tcPr>
          <w:p w:rsidR="00C32992" w:rsidRDefault="002F17BE">
            <w:pPr>
              <w:jc w:val="both"/>
              <w:rPr>
                <w:rFonts w:ascii="Arial" w:hAnsi="Arial" w:cs="Arial"/>
                <w:lang w:val="uk-UA"/>
              </w:rPr>
            </w:pPr>
            <w:r>
              <w:rPr>
                <w:rFonts w:ascii="Arial" w:hAnsi="Arial" w:cs="Arial"/>
                <w:lang w:val="uk-UA"/>
              </w:rPr>
              <w:t>7,6</w:t>
            </w:r>
          </w:p>
        </w:tc>
        <w:tc>
          <w:tcPr>
            <w:tcW w:w="2700" w:type="dxa"/>
          </w:tcPr>
          <w:p w:rsidR="00C32992" w:rsidRDefault="002F17BE">
            <w:pPr>
              <w:jc w:val="both"/>
              <w:rPr>
                <w:rFonts w:ascii="Arial" w:hAnsi="Arial" w:cs="Arial"/>
                <w:lang w:val="uk-UA"/>
              </w:rPr>
            </w:pPr>
            <w:r>
              <w:rPr>
                <w:rFonts w:ascii="Arial" w:hAnsi="Arial" w:cs="Arial"/>
                <w:lang w:val="uk-UA"/>
              </w:rPr>
              <w:t>Чорна мет-гія (80,4)</w:t>
            </w:r>
          </w:p>
          <w:p w:rsidR="00C32992" w:rsidRDefault="002F17BE">
            <w:pPr>
              <w:jc w:val="both"/>
              <w:rPr>
                <w:rFonts w:ascii="Arial" w:hAnsi="Arial" w:cs="Arial"/>
                <w:lang w:val="uk-UA"/>
              </w:rPr>
            </w:pPr>
            <w:r>
              <w:rPr>
                <w:rFonts w:ascii="Arial" w:hAnsi="Arial" w:cs="Arial"/>
                <w:lang w:val="uk-UA"/>
              </w:rPr>
              <w:t>Харчова пр-ть (16,7)</w:t>
            </w:r>
          </w:p>
          <w:p w:rsidR="00C32992" w:rsidRDefault="002F17BE">
            <w:pPr>
              <w:jc w:val="both"/>
              <w:rPr>
                <w:rFonts w:ascii="Arial" w:hAnsi="Arial" w:cs="Arial"/>
                <w:lang w:val="uk-UA"/>
              </w:rPr>
            </w:pPr>
            <w:r>
              <w:rPr>
                <w:rFonts w:ascii="Arial" w:hAnsi="Arial" w:cs="Arial"/>
                <w:lang w:val="uk-UA"/>
              </w:rPr>
              <w:t>Легка пр-ть (1,2)</w:t>
            </w:r>
          </w:p>
        </w:tc>
        <w:tc>
          <w:tcPr>
            <w:tcW w:w="2880" w:type="dxa"/>
          </w:tcPr>
          <w:p w:rsidR="00C32992" w:rsidRDefault="002F17BE">
            <w:pPr>
              <w:jc w:val="both"/>
              <w:rPr>
                <w:rFonts w:ascii="Arial" w:hAnsi="Arial" w:cs="Arial"/>
                <w:lang w:val="uk-UA"/>
              </w:rPr>
            </w:pPr>
            <w:r>
              <w:rPr>
                <w:rFonts w:ascii="Arial" w:hAnsi="Arial" w:cs="Arial"/>
                <w:lang w:val="uk-UA"/>
              </w:rPr>
              <w:t>Чорна мет-ія (33,7)</w:t>
            </w:r>
          </w:p>
          <w:p w:rsidR="00C32992" w:rsidRDefault="002F17BE">
            <w:pPr>
              <w:jc w:val="both"/>
              <w:rPr>
                <w:rFonts w:ascii="Arial" w:hAnsi="Arial" w:cs="Arial"/>
                <w:lang w:val="uk-UA"/>
              </w:rPr>
            </w:pPr>
            <w:r>
              <w:rPr>
                <w:rFonts w:ascii="Arial" w:hAnsi="Arial" w:cs="Arial"/>
                <w:lang w:val="uk-UA"/>
              </w:rPr>
              <w:t>Харчова пр-сть (4,3)</w:t>
            </w:r>
          </w:p>
          <w:p w:rsidR="00C32992" w:rsidRDefault="002F17BE">
            <w:pPr>
              <w:jc w:val="both"/>
              <w:rPr>
                <w:rFonts w:ascii="Arial" w:hAnsi="Arial" w:cs="Arial"/>
                <w:lang w:val="uk-UA"/>
              </w:rPr>
            </w:pPr>
            <w:r>
              <w:rPr>
                <w:rFonts w:ascii="Arial" w:hAnsi="Arial" w:cs="Arial"/>
                <w:lang w:val="uk-UA"/>
              </w:rPr>
              <w:t>Легка пр-ть (2,1)</w:t>
            </w:r>
          </w:p>
        </w:tc>
      </w:tr>
      <w:tr w:rsidR="00C32992">
        <w:tc>
          <w:tcPr>
            <w:tcW w:w="1368" w:type="dxa"/>
          </w:tcPr>
          <w:p w:rsidR="00C32992" w:rsidRDefault="002F17BE">
            <w:pPr>
              <w:jc w:val="both"/>
              <w:rPr>
                <w:rFonts w:ascii="Arial" w:hAnsi="Arial" w:cs="Arial"/>
                <w:lang w:val="uk-UA"/>
              </w:rPr>
            </w:pPr>
            <w:r>
              <w:rPr>
                <w:rFonts w:ascii="Arial" w:hAnsi="Arial" w:cs="Arial"/>
                <w:lang w:val="uk-UA"/>
              </w:rPr>
              <w:t>Держ. бюджет</w:t>
            </w: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5,9</w:t>
            </w:r>
          </w:p>
        </w:tc>
        <w:tc>
          <w:tcPr>
            <w:tcW w:w="1800" w:type="dxa"/>
          </w:tcPr>
          <w:p w:rsidR="00C32992" w:rsidRDefault="002F17BE">
            <w:pPr>
              <w:jc w:val="both"/>
              <w:rPr>
                <w:rFonts w:ascii="Arial" w:hAnsi="Arial" w:cs="Arial"/>
                <w:lang w:val="uk-UA"/>
              </w:rPr>
            </w:pPr>
            <w:r>
              <w:rPr>
                <w:rFonts w:ascii="Arial" w:hAnsi="Arial" w:cs="Arial"/>
                <w:lang w:val="uk-UA"/>
              </w:rPr>
              <w:t>10,1</w:t>
            </w:r>
          </w:p>
        </w:tc>
        <w:tc>
          <w:tcPr>
            <w:tcW w:w="2700" w:type="dxa"/>
          </w:tcPr>
          <w:p w:rsidR="00C32992" w:rsidRDefault="002F17BE">
            <w:pPr>
              <w:jc w:val="both"/>
              <w:rPr>
                <w:rFonts w:ascii="Arial" w:hAnsi="Arial" w:cs="Arial"/>
                <w:lang w:val="uk-UA"/>
              </w:rPr>
            </w:pPr>
            <w:r>
              <w:rPr>
                <w:rFonts w:ascii="Arial" w:hAnsi="Arial" w:cs="Arial"/>
                <w:lang w:val="uk-UA"/>
              </w:rPr>
              <w:t>Кольорова мет-ія (69,9)</w:t>
            </w:r>
          </w:p>
          <w:p w:rsidR="00C32992" w:rsidRDefault="002F17BE">
            <w:pPr>
              <w:jc w:val="both"/>
              <w:rPr>
                <w:rFonts w:ascii="Arial" w:hAnsi="Arial" w:cs="Arial"/>
                <w:lang w:val="uk-UA"/>
              </w:rPr>
            </w:pPr>
            <w:r>
              <w:rPr>
                <w:rFonts w:ascii="Arial" w:hAnsi="Arial" w:cs="Arial"/>
                <w:lang w:val="uk-UA"/>
              </w:rPr>
              <w:t>Вугільна пр-ть (20,1)</w:t>
            </w:r>
          </w:p>
          <w:p w:rsidR="00C32992" w:rsidRDefault="002F17BE">
            <w:pPr>
              <w:jc w:val="both"/>
              <w:rPr>
                <w:rFonts w:ascii="Arial" w:hAnsi="Arial" w:cs="Arial"/>
                <w:lang w:val="uk-UA"/>
              </w:rPr>
            </w:pPr>
            <w:r>
              <w:rPr>
                <w:rFonts w:ascii="Arial" w:hAnsi="Arial" w:cs="Arial"/>
                <w:lang w:val="uk-UA"/>
              </w:rPr>
              <w:t>С/г машинобудування (3,9)</w:t>
            </w:r>
          </w:p>
        </w:tc>
        <w:tc>
          <w:tcPr>
            <w:tcW w:w="2880" w:type="dxa"/>
          </w:tcPr>
          <w:p w:rsidR="00C32992" w:rsidRDefault="002F17BE">
            <w:pPr>
              <w:jc w:val="both"/>
              <w:rPr>
                <w:rFonts w:ascii="Arial" w:hAnsi="Arial" w:cs="Arial"/>
                <w:lang w:val="uk-UA"/>
              </w:rPr>
            </w:pPr>
            <w:r>
              <w:rPr>
                <w:rFonts w:ascii="Arial" w:hAnsi="Arial" w:cs="Arial"/>
                <w:lang w:val="uk-UA"/>
              </w:rPr>
              <w:t>Кольорова мет-ія (78,1)</w:t>
            </w:r>
          </w:p>
          <w:p w:rsidR="00C32992" w:rsidRDefault="002F17BE">
            <w:pPr>
              <w:jc w:val="both"/>
              <w:rPr>
                <w:rFonts w:ascii="Arial" w:hAnsi="Arial" w:cs="Arial"/>
                <w:lang w:val="uk-UA"/>
              </w:rPr>
            </w:pPr>
            <w:r>
              <w:rPr>
                <w:rFonts w:ascii="Arial" w:hAnsi="Arial" w:cs="Arial"/>
                <w:lang w:val="uk-UA"/>
              </w:rPr>
              <w:t>Вугільна пр-ть (38,8)</w:t>
            </w:r>
          </w:p>
          <w:p w:rsidR="00C32992" w:rsidRDefault="002F17BE">
            <w:pPr>
              <w:jc w:val="both"/>
              <w:rPr>
                <w:rFonts w:ascii="Arial" w:hAnsi="Arial" w:cs="Arial"/>
                <w:lang w:val="uk-UA"/>
              </w:rPr>
            </w:pPr>
            <w:r>
              <w:rPr>
                <w:rFonts w:ascii="Arial" w:hAnsi="Arial" w:cs="Arial"/>
                <w:lang w:val="uk-UA"/>
              </w:rPr>
              <w:t>С/г машинобудування (32,7)</w:t>
            </w:r>
          </w:p>
        </w:tc>
      </w:tr>
      <w:tr w:rsidR="00C32992">
        <w:tc>
          <w:tcPr>
            <w:tcW w:w="1368" w:type="dxa"/>
          </w:tcPr>
          <w:p w:rsidR="00C32992" w:rsidRDefault="002F17BE">
            <w:pPr>
              <w:jc w:val="both"/>
              <w:rPr>
                <w:rFonts w:ascii="Arial" w:hAnsi="Arial" w:cs="Arial"/>
                <w:lang w:val="uk-UA"/>
              </w:rPr>
            </w:pPr>
            <w:r>
              <w:rPr>
                <w:rFonts w:ascii="Arial" w:hAnsi="Arial" w:cs="Arial"/>
                <w:lang w:val="uk-UA"/>
              </w:rPr>
              <w:t>Кредити</w:t>
            </w: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0,6</w:t>
            </w:r>
          </w:p>
        </w:tc>
        <w:tc>
          <w:tcPr>
            <w:tcW w:w="1800" w:type="dxa"/>
          </w:tcPr>
          <w:p w:rsidR="00C32992" w:rsidRDefault="002F17BE">
            <w:pPr>
              <w:jc w:val="both"/>
              <w:rPr>
                <w:rFonts w:ascii="Arial" w:hAnsi="Arial" w:cs="Arial"/>
                <w:lang w:val="uk-UA"/>
              </w:rPr>
            </w:pPr>
            <w:r>
              <w:rPr>
                <w:rFonts w:ascii="Arial" w:hAnsi="Arial" w:cs="Arial"/>
                <w:lang w:val="uk-UA"/>
              </w:rPr>
              <w:t>6,1</w:t>
            </w:r>
          </w:p>
        </w:tc>
        <w:tc>
          <w:tcPr>
            <w:tcW w:w="2700" w:type="dxa"/>
          </w:tcPr>
          <w:p w:rsidR="00C32992" w:rsidRDefault="002F17BE">
            <w:pPr>
              <w:jc w:val="both"/>
              <w:rPr>
                <w:rFonts w:ascii="Arial" w:hAnsi="Arial" w:cs="Arial"/>
                <w:lang w:val="uk-UA"/>
              </w:rPr>
            </w:pPr>
            <w:r>
              <w:rPr>
                <w:rFonts w:ascii="Arial" w:hAnsi="Arial" w:cs="Arial"/>
                <w:lang w:val="uk-UA"/>
              </w:rPr>
              <w:t>Харчова пр-ть (90,3)</w:t>
            </w:r>
          </w:p>
          <w:p w:rsidR="00C32992" w:rsidRDefault="002F17BE">
            <w:pPr>
              <w:jc w:val="both"/>
              <w:rPr>
                <w:rFonts w:ascii="Arial" w:hAnsi="Arial" w:cs="Arial"/>
                <w:lang w:val="uk-UA"/>
              </w:rPr>
            </w:pPr>
            <w:r>
              <w:rPr>
                <w:rFonts w:ascii="Arial" w:hAnsi="Arial" w:cs="Arial"/>
                <w:lang w:val="uk-UA"/>
              </w:rPr>
              <w:t>Вугільна пр-ть (5,8)</w:t>
            </w:r>
          </w:p>
          <w:p w:rsidR="00C32992" w:rsidRDefault="002F17BE">
            <w:pPr>
              <w:jc w:val="both"/>
              <w:rPr>
                <w:rFonts w:ascii="Arial" w:hAnsi="Arial" w:cs="Arial"/>
                <w:lang w:val="uk-UA"/>
              </w:rPr>
            </w:pPr>
            <w:r>
              <w:rPr>
                <w:rFonts w:ascii="Arial" w:hAnsi="Arial" w:cs="Arial"/>
                <w:lang w:val="uk-UA"/>
              </w:rPr>
              <w:t>Легка пр-ть (2,0)</w:t>
            </w:r>
          </w:p>
        </w:tc>
        <w:tc>
          <w:tcPr>
            <w:tcW w:w="2880" w:type="dxa"/>
          </w:tcPr>
          <w:p w:rsidR="00C32992" w:rsidRDefault="002F17BE">
            <w:pPr>
              <w:jc w:val="both"/>
              <w:rPr>
                <w:rFonts w:ascii="Arial" w:hAnsi="Arial" w:cs="Arial"/>
                <w:lang w:val="uk-UA"/>
              </w:rPr>
            </w:pPr>
            <w:r>
              <w:rPr>
                <w:rFonts w:ascii="Arial" w:hAnsi="Arial" w:cs="Arial"/>
                <w:lang w:val="uk-UA"/>
              </w:rPr>
              <w:t>Харчова пр-ть (18,9)</w:t>
            </w:r>
          </w:p>
          <w:p w:rsidR="00C32992" w:rsidRDefault="002F17BE">
            <w:pPr>
              <w:jc w:val="both"/>
              <w:rPr>
                <w:rFonts w:ascii="Arial" w:hAnsi="Arial" w:cs="Arial"/>
                <w:lang w:val="uk-UA"/>
              </w:rPr>
            </w:pPr>
            <w:r>
              <w:rPr>
                <w:rFonts w:ascii="Arial" w:hAnsi="Arial" w:cs="Arial"/>
                <w:lang w:val="uk-UA"/>
              </w:rPr>
              <w:t>Вугільна пр-ть (6,8)</w:t>
            </w:r>
          </w:p>
          <w:p w:rsidR="00C32992" w:rsidRDefault="002F17BE">
            <w:pPr>
              <w:jc w:val="both"/>
              <w:rPr>
                <w:rFonts w:ascii="Arial" w:hAnsi="Arial" w:cs="Arial"/>
                <w:lang w:val="uk-UA"/>
              </w:rPr>
            </w:pPr>
            <w:r>
              <w:rPr>
                <w:rFonts w:ascii="Arial" w:hAnsi="Arial" w:cs="Arial"/>
                <w:lang w:val="uk-UA"/>
              </w:rPr>
              <w:t>Легка пр-ть (2,9)</w:t>
            </w:r>
          </w:p>
        </w:tc>
      </w:tr>
      <w:tr w:rsidR="00C32992">
        <w:tc>
          <w:tcPr>
            <w:tcW w:w="1368" w:type="dxa"/>
          </w:tcPr>
          <w:p w:rsidR="00C32992" w:rsidRDefault="002F17BE">
            <w:pPr>
              <w:jc w:val="both"/>
              <w:rPr>
                <w:rFonts w:ascii="Arial" w:hAnsi="Arial" w:cs="Arial"/>
                <w:lang w:val="uk-UA"/>
              </w:rPr>
            </w:pPr>
            <w:r>
              <w:rPr>
                <w:rFonts w:ascii="Arial" w:hAnsi="Arial" w:cs="Arial"/>
                <w:lang w:val="uk-UA"/>
              </w:rPr>
              <w:t>Власні кошти</w:t>
            </w: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13,4</w:t>
            </w:r>
          </w:p>
        </w:tc>
        <w:tc>
          <w:tcPr>
            <w:tcW w:w="1800" w:type="dxa"/>
          </w:tcPr>
          <w:p w:rsidR="00C32992" w:rsidRDefault="002F17BE">
            <w:pPr>
              <w:jc w:val="both"/>
              <w:rPr>
                <w:rFonts w:ascii="Arial" w:hAnsi="Arial" w:cs="Arial"/>
                <w:lang w:val="uk-UA"/>
              </w:rPr>
            </w:pPr>
            <w:r>
              <w:rPr>
                <w:rFonts w:ascii="Arial" w:hAnsi="Arial" w:cs="Arial"/>
                <w:lang w:val="uk-UA"/>
              </w:rPr>
              <w:t>69,3</w:t>
            </w:r>
          </w:p>
        </w:tc>
        <w:tc>
          <w:tcPr>
            <w:tcW w:w="2700" w:type="dxa"/>
          </w:tcPr>
          <w:p w:rsidR="00C32992" w:rsidRDefault="002F17BE">
            <w:pPr>
              <w:jc w:val="both"/>
              <w:rPr>
                <w:rFonts w:ascii="Arial" w:hAnsi="Arial" w:cs="Arial"/>
                <w:lang w:val="uk-UA"/>
              </w:rPr>
            </w:pPr>
            <w:r>
              <w:rPr>
                <w:rFonts w:ascii="Arial" w:hAnsi="Arial" w:cs="Arial"/>
                <w:lang w:val="uk-UA"/>
              </w:rPr>
              <w:t>Харчова пр-ть (31,5)</w:t>
            </w:r>
          </w:p>
          <w:p w:rsidR="00C32992" w:rsidRDefault="002F17BE">
            <w:pPr>
              <w:jc w:val="both"/>
              <w:rPr>
                <w:rFonts w:ascii="Arial" w:hAnsi="Arial" w:cs="Arial"/>
                <w:lang w:val="uk-UA"/>
              </w:rPr>
            </w:pPr>
            <w:r>
              <w:rPr>
                <w:rFonts w:ascii="Arial" w:hAnsi="Arial" w:cs="Arial"/>
                <w:lang w:val="uk-UA"/>
              </w:rPr>
              <w:t>Чорна мет-гія (16,5)</w:t>
            </w:r>
          </w:p>
          <w:p w:rsidR="00C32992" w:rsidRDefault="002F17BE">
            <w:pPr>
              <w:jc w:val="both"/>
              <w:rPr>
                <w:rFonts w:ascii="Arial" w:hAnsi="Arial" w:cs="Arial"/>
                <w:lang w:val="uk-UA"/>
              </w:rPr>
            </w:pPr>
            <w:r>
              <w:rPr>
                <w:rFonts w:ascii="Arial" w:hAnsi="Arial" w:cs="Arial"/>
                <w:lang w:val="uk-UA"/>
              </w:rPr>
              <w:t>Паливна пр-ть (8,8)</w:t>
            </w:r>
          </w:p>
        </w:tc>
        <w:tc>
          <w:tcPr>
            <w:tcW w:w="2880" w:type="dxa"/>
          </w:tcPr>
          <w:p w:rsidR="00C32992" w:rsidRDefault="002F17BE">
            <w:pPr>
              <w:jc w:val="both"/>
              <w:rPr>
                <w:rFonts w:ascii="Arial" w:hAnsi="Arial" w:cs="Arial"/>
                <w:lang w:val="uk-UA"/>
              </w:rPr>
            </w:pPr>
            <w:r>
              <w:rPr>
                <w:rFonts w:ascii="Arial" w:hAnsi="Arial" w:cs="Arial"/>
                <w:lang w:val="uk-UA"/>
              </w:rPr>
              <w:t>Харчова пр-ть (75,1)</w:t>
            </w:r>
          </w:p>
          <w:p w:rsidR="00C32992" w:rsidRDefault="002F17BE">
            <w:pPr>
              <w:jc w:val="both"/>
              <w:rPr>
                <w:rFonts w:ascii="Arial" w:hAnsi="Arial" w:cs="Arial"/>
                <w:lang w:val="uk-UA"/>
              </w:rPr>
            </w:pPr>
            <w:r>
              <w:rPr>
                <w:rFonts w:ascii="Arial" w:hAnsi="Arial" w:cs="Arial"/>
                <w:lang w:val="uk-UA"/>
              </w:rPr>
              <w:t>Чорна металургія (63,2)</w:t>
            </w:r>
          </w:p>
          <w:p w:rsidR="00C32992" w:rsidRDefault="002F17BE">
            <w:pPr>
              <w:jc w:val="both"/>
              <w:rPr>
                <w:rFonts w:ascii="Arial" w:hAnsi="Arial" w:cs="Arial"/>
                <w:lang w:val="uk-UA"/>
              </w:rPr>
            </w:pPr>
            <w:r>
              <w:rPr>
                <w:rFonts w:ascii="Arial" w:hAnsi="Arial" w:cs="Arial"/>
                <w:lang w:val="uk-UA"/>
              </w:rPr>
              <w:t>Паливна пр-ть (71,7)</w:t>
            </w:r>
          </w:p>
        </w:tc>
      </w:tr>
      <w:tr w:rsidR="00C32992">
        <w:tc>
          <w:tcPr>
            <w:tcW w:w="1368" w:type="dxa"/>
          </w:tcPr>
          <w:p w:rsidR="00C32992" w:rsidRDefault="002F17BE">
            <w:pPr>
              <w:jc w:val="both"/>
              <w:rPr>
                <w:rFonts w:ascii="Arial" w:hAnsi="Arial" w:cs="Arial"/>
                <w:lang w:val="uk-UA"/>
              </w:rPr>
            </w:pPr>
            <w:r>
              <w:rPr>
                <w:rFonts w:ascii="Arial" w:hAnsi="Arial" w:cs="Arial"/>
                <w:lang w:val="uk-UA"/>
              </w:rPr>
              <w:t>Держ. інноваційний фонд</w:t>
            </w: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26,9</w:t>
            </w:r>
          </w:p>
        </w:tc>
        <w:tc>
          <w:tcPr>
            <w:tcW w:w="1800" w:type="dxa"/>
          </w:tcPr>
          <w:p w:rsidR="00C32992" w:rsidRDefault="002F17BE">
            <w:pPr>
              <w:jc w:val="both"/>
              <w:rPr>
                <w:rFonts w:ascii="Arial" w:hAnsi="Arial" w:cs="Arial"/>
                <w:lang w:val="uk-UA"/>
              </w:rPr>
            </w:pPr>
            <w:r>
              <w:rPr>
                <w:rFonts w:ascii="Arial" w:hAnsi="Arial" w:cs="Arial"/>
                <w:lang w:val="uk-UA"/>
              </w:rPr>
              <w:t>3,2</w:t>
            </w:r>
          </w:p>
        </w:tc>
        <w:tc>
          <w:tcPr>
            <w:tcW w:w="2700" w:type="dxa"/>
          </w:tcPr>
          <w:p w:rsidR="00C32992" w:rsidRDefault="002F17BE">
            <w:pPr>
              <w:jc w:val="both"/>
              <w:rPr>
                <w:rFonts w:ascii="Arial" w:hAnsi="Arial" w:cs="Arial"/>
                <w:lang w:val="uk-UA"/>
              </w:rPr>
            </w:pPr>
            <w:r>
              <w:rPr>
                <w:rFonts w:ascii="Arial" w:hAnsi="Arial" w:cs="Arial"/>
                <w:lang w:val="uk-UA"/>
              </w:rPr>
              <w:t>Мікробіологічна промисловість (22,6)</w:t>
            </w:r>
          </w:p>
          <w:p w:rsidR="00C32992" w:rsidRDefault="002F17BE">
            <w:pPr>
              <w:jc w:val="both"/>
              <w:rPr>
                <w:rFonts w:ascii="Arial" w:hAnsi="Arial" w:cs="Arial"/>
                <w:lang w:val="uk-UA"/>
              </w:rPr>
            </w:pPr>
            <w:r>
              <w:rPr>
                <w:rFonts w:ascii="Arial" w:hAnsi="Arial" w:cs="Arial"/>
                <w:lang w:val="uk-UA"/>
              </w:rPr>
              <w:t>Станкобудування (13,1)</w:t>
            </w:r>
          </w:p>
          <w:p w:rsidR="00C32992" w:rsidRDefault="002F17BE">
            <w:pPr>
              <w:jc w:val="both"/>
              <w:rPr>
                <w:rFonts w:ascii="Arial" w:hAnsi="Arial" w:cs="Arial"/>
                <w:lang w:val="uk-UA"/>
              </w:rPr>
            </w:pPr>
            <w:r>
              <w:rPr>
                <w:rFonts w:ascii="Arial" w:hAnsi="Arial" w:cs="Arial"/>
                <w:lang w:val="uk-UA"/>
              </w:rPr>
              <w:t>Електротехнічна промисловість (10,7)</w:t>
            </w:r>
          </w:p>
        </w:tc>
        <w:tc>
          <w:tcPr>
            <w:tcW w:w="2880" w:type="dxa"/>
          </w:tcPr>
          <w:p w:rsidR="00C32992" w:rsidRDefault="002F17BE">
            <w:pPr>
              <w:jc w:val="both"/>
              <w:rPr>
                <w:rFonts w:ascii="Arial" w:hAnsi="Arial" w:cs="Arial"/>
                <w:lang w:val="uk-UA"/>
              </w:rPr>
            </w:pPr>
            <w:r>
              <w:rPr>
                <w:rFonts w:ascii="Arial" w:hAnsi="Arial" w:cs="Arial"/>
                <w:lang w:val="uk-UA"/>
              </w:rPr>
              <w:t>Мікробіологічна промисловість (98,9)</w:t>
            </w:r>
          </w:p>
          <w:p w:rsidR="00C32992" w:rsidRDefault="002F17BE">
            <w:pPr>
              <w:jc w:val="both"/>
              <w:rPr>
                <w:rFonts w:ascii="Arial" w:hAnsi="Arial" w:cs="Arial"/>
                <w:lang w:val="uk-UA"/>
              </w:rPr>
            </w:pPr>
            <w:r>
              <w:rPr>
                <w:rFonts w:ascii="Arial" w:hAnsi="Arial" w:cs="Arial"/>
                <w:lang w:val="uk-UA"/>
              </w:rPr>
              <w:t>Станкобудування (69,1)</w:t>
            </w:r>
          </w:p>
          <w:p w:rsidR="00C32992" w:rsidRDefault="002F17BE">
            <w:pPr>
              <w:jc w:val="both"/>
              <w:rPr>
                <w:rFonts w:ascii="Arial" w:hAnsi="Arial" w:cs="Arial"/>
                <w:lang w:val="uk-UA"/>
              </w:rPr>
            </w:pPr>
            <w:r>
              <w:rPr>
                <w:rFonts w:ascii="Arial" w:hAnsi="Arial" w:cs="Arial"/>
                <w:lang w:val="uk-UA"/>
              </w:rPr>
              <w:t>Електротехнічна промисловість (15,6)</w:t>
            </w:r>
          </w:p>
        </w:tc>
      </w:tr>
      <w:tr w:rsidR="00C32992">
        <w:tc>
          <w:tcPr>
            <w:tcW w:w="1368" w:type="dxa"/>
          </w:tcPr>
          <w:p w:rsidR="00C32992" w:rsidRDefault="002F17BE">
            <w:pPr>
              <w:jc w:val="both"/>
              <w:rPr>
                <w:rFonts w:ascii="Arial" w:hAnsi="Arial" w:cs="Arial"/>
                <w:lang w:val="uk-UA"/>
              </w:rPr>
            </w:pPr>
            <w:r>
              <w:rPr>
                <w:rFonts w:ascii="Arial" w:hAnsi="Arial" w:cs="Arial"/>
                <w:lang w:val="uk-UA"/>
              </w:rPr>
              <w:t>Інші джерела</w:t>
            </w:r>
          </w:p>
          <w:p w:rsidR="00C32992" w:rsidRDefault="00C32992">
            <w:pPr>
              <w:jc w:val="both"/>
              <w:rPr>
                <w:rFonts w:ascii="Arial" w:hAnsi="Arial" w:cs="Arial"/>
                <w:lang w:val="uk-UA"/>
              </w:rPr>
            </w:pPr>
          </w:p>
          <w:p w:rsidR="00C32992" w:rsidRDefault="002F17BE">
            <w:pPr>
              <w:jc w:val="both"/>
              <w:rPr>
                <w:rFonts w:ascii="Arial" w:hAnsi="Arial" w:cs="Arial"/>
                <w:lang w:val="uk-UA"/>
              </w:rPr>
            </w:pPr>
            <w:r>
              <w:rPr>
                <w:rFonts w:ascii="Arial" w:hAnsi="Arial" w:cs="Arial"/>
                <w:lang w:val="uk-UA"/>
              </w:rPr>
              <w:t>3,1</w:t>
            </w:r>
          </w:p>
        </w:tc>
        <w:tc>
          <w:tcPr>
            <w:tcW w:w="1800" w:type="dxa"/>
          </w:tcPr>
          <w:p w:rsidR="00C32992" w:rsidRDefault="002F17BE">
            <w:pPr>
              <w:jc w:val="both"/>
              <w:rPr>
                <w:rFonts w:ascii="Arial" w:hAnsi="Arial" w:cs="Arial"/>
                <w:lang w:val="uk-UA"/>
              </w:rPr>
            </w:pPr>
            <w:r>
              <w:rPr>
                <w:rFonts w:ascii="Arial" w:hAnsi="Arial" w:cs="Arial"/>
                <w:lang w:val="uk-UA"/>
              </w:rPr>
              <w:t>3,1</w:t>
            </w:r>
          </w:p>
        </w:tc>
        <w:tc>
          <w:tcPr>
            <w:tcW w:w="2700" w:type="dxa"/>
          </w:tcPr>
          <w:p w:rsidR="00C32992" w:rsidRDefault="002F17BE">
            <w:pPr>
              <w:jc w:val="both"/>
              <w:rPr>
                <w:rFonts w:ascii="Arial" w:hAnsi="Arial" w:cs="Arial"/>
                <w:lang w:val="uk-UA"/>
              </w:rPr>
            </w:pPr>
            <w:r>
              <w:rPr>
                <w:rFonts w:ascii="Arial" w:hAnsi="Arial" w:cs="Arial"/>
                <w:lang w:val="uk-UA"/>
              </w:rPr>
              <w:t>Електротехнічна промисловість (36,6)</w:t>
            </w:r>
          </w:p>
          <w:p w:rsidR="00C32992" w:rsidRDefault="002F17BE">
            <w:pPr>
              <w:jc w:val="both"/>
              <w:rPr>
                <w:rFonts w:ascii="Arial" w:hAnsi="Arial" w:cs="Arial"/>
                <w:lang w:val="uk-UA"/>
              </w:rPr>
            </w:pPr>
            <w:r>
              <w:rPr>
                <w:rFonts w:ascii="Arial" w:hAnsi="Arial" w:cs="Arial"/>
                <w:lang w:val="uk-UA"/>
              </w:rPr>
              <w:t>Важке та енергетичне машинобудування (16,0)</w:t>
            </w:r>
          </w:p>
          <w:p w:rsidR="00C32992" w:rsidRDefault="002F17BE">
            <w:pPr>
              <w:jc w:val="both"/>
              <w:rPr>
                <w:rFonts w:ascii="Arial" w:hAnsi="Arial" w:cs="Arial"/>
                <w:lang w:val="uk-UA"/>
              </w:rPr>
            </w:pPr>
            <w:r>
              <w:rPr>
                <w:rFonts w:ascii="Arial" w:hAnsi="Arial" w:cs="Arial"/>
                <w:lang w:val="uk-UA"/>
              </w:rPr>
              <w:t>Промисловість засобів зв</w:t>
            </w:r>
            <w:r>
              <w:rPr>
                <w:rFonts w:ascii="Arial" w:hAnsi="Arial" w:cs="Arial"/>
                <w:lang w:val="ru-RU"/>
              </w:rPr>
              <w:t>’</w:t>
            </w:r>
            <w:r>
              <w:rPr>
                <w:rFonts w:ascii="Arial" w:hAnsi="Arial" w:cs="Arial"/>
                <w:lang w:val="uk-UA"/>
              </w:rPr>
              <w:t>язку (12,4)</w:t>
            </w:r>
          </w:p>
        </w:tc>
        <w:tc>
          <w:tcPr>
            <w:tcW w:w="2880" w:type="dxa"/>
          </w:tcPr>
          <w:p w:rsidR="00C32992" w:rsidRDefault="002F17BE">
            <w:pPr>
              <w:jc w:val="both"/>
              <w:rPr>
                <w:rFonts w:ascii="Arial" w:hAnsi="Arial" w:cs="Arial"/>
                <w:lang w:val="uk-UA"/>
              </w:rPr>
            </w:pPr>
            <w:r>
              <w:rPr>
                <w:rFonts w:ascii="Arial" w:hAnsi="Arial" w:cs="Arial"/>
                <w:lang w:val="uk-UA"/>
              </w:rPr>
              <w:t>Електротехнічна промисловість (51,8)</w:t>
            </w:r>
          </w:p>
          <w:p w:rsidR="00C32992" w:rsidRDefault="002F17BE">
            <w:pPr>
              <w:jc w:val="both"/>
              <w:rPr>
                <w:rFonts w:ascii="Arial" w:hAnsi="Arial" w:cs="Arial"/>
                <w:lang w:val="uk-UA"/>
              </w:rPr>
            </w:pPr>
            <w:r>
              <w:rPr>
                <w:rFonts w:ascii="Arial" w:hAnsi="Arial" w:cs="Arial"/>
                <w:lang w:val="uk-UA"/>
              </w:rPr>
              <w:t>Важке та енергетичне машинобудування (47,9)</w:t>
            </w:r>
          </w:p>
          <w:p w:rsidR="00C32992" w:rsidRDefault="002F17BE">
            <w:pPr>
              <w:jc w:val="both"/>
              <w:rPr>
                <w:rFonts w:ascii="Arial" w:hAnsi="Arial" w:cs="Arial"/>
                <w:lang w:val="uk-UA"/>
              </w:rPr>
            </w:pPr>
            <w:r>
              <w:rPr>
                <w:rFonts w:ascii="Arial" w:hAnsi="Arial" w:cs="Arial"/>
                <w:lang w:val="uk-UA"/>
              </w:rPr>
              <w:t>Промисловість засобів зв</w:t>
            </w:r>
            <w:r>
              <w:rPr>
                <w:rFonts w:ascii="Arial" w:hAnsi="Arial" w:cs="Arial"/>
                <w:lang w:val="ru-RU"/>
              </w:rPr>
              <w:t>’</w:t>
            </w:r>
            <w:r>
              <w:rPr>
                <w:rFonts w:ascii="Arial" w:hAnsi="Arial" w:cs="Arial"/>
                <w:lang w:val="uk-UA"/>
              </w:rPr>
              <w:t>язку (53,1)</w:t>
            </w:r>
          </w:p>
        </w:tc>
      </w:tr>
    </w:tbl>
    <w:p w:rsidR="00C32992" w:rsidRDefault="002F17BE">
      <w:pPr>
        <w:pStyle w:val="20"/>
      </w:pPr>
      <w:r>
        <w:t>У таблиці 3 відображені пріоритети різних економічних суб’єктів щодо фінансування інноваційної сфери галузей промисловості України.</w:t>
      </w:r>
    </w:p>
    <w:p w:rsidR="00C32992" w:rsidRDefault="002F17BE">
      <w:pPr>
        <w:pStyle w:val="20"/>
      </w:pPr>
      <w:r>
        <w:t>Як вітчизняні, так і іноземні інвестори переважну частку інвестиційних коштів спрямовують в одну галузь – чорну металургію (81,2 та 80,4%). Фінансування вітчизняними інвесторами приладобудування складає 7,5% загального фінансування галузі .</w:t>
      </w:r>
    </w:p>
    <w:p w:rsidR="00C32992" w:rsidRDefault="002F17BE">
      <w:pPr>
        <w:pStyle w:val="20"/>
      </w:pPr>
      <w:r>
        <w:t>Іноземні інвестиції є дуже важливим джерелом фінансування інновацій у чорній металургії (33,7%) та деяких інших галузях. На усе машинобудування припадає лише 0,6% інвестицій.</w:t>
      </w:r>
    </w:p>
    <w:p w:rsidR="00C32992" w:rsidRDefault="002F17BE">
      <w:pPr>
        <w:pStyle w:val="20"/>
      </w:pPr>
      <w:r>
        <w:t>Держава останніми роками активно підтримує кольорову металургію, що поглинає 70% бюджетних коштів на інноваційну сферу. Бюджетні асигнування в машинобудування склали лише 8,6% асигнувань у кольорову металургію. На другому місці  за абсолютним обсягом отримуваних коштів перебуває вугільна промисловість, куди держава спрямовує 20,1% бюджетних коштів.  Потреби машинобудування держава забезпечує на 3,1%.</w:t>
      </w:r>
    </w:p>
    <w:p w:rsidR="00C32992" w:rsidRDefault="002F17BE">
      <w:pPr>
        <w:pStyle w:val="20"/>
      </w:pPr>
      <w:r>
        <w:t xml:space="preserve">Переважну частку кредитних надходжень (90.3%) отримує харчова промисловість, тоді як у машинобудування та металообробку загалом надходять лише 0,7% обсягів кредитів. </w:t>
      </w:r>
    </w:p>
    <w:p w:rsidR="00C32992" w:rsidRDefault="002F17BE">
      <w:pPr>
        <w:pStyle w:val="20"/>
      </w:pPr>
      <w:r>
        <w:t>У розподілі власних ресурсів лідирують харчова промисловість (31,5%), чорна металургія (16,5%) та паливна промисловість (8,8%), що спричинено, перш за все, їх економічною “розкрученістю” та можливістю перерозподілу отримуваних доходів. У сукупності середньо- та високонаукоємних галузі залучили для фінансування інновацій 13,4% власних коштів.</w:t>
      </w:r>
    </w:p>
    <w:p w:rsidR="00C32992" w:rsidRDefault="002F17BE">
      <w:pPr>
        <w:ind w:firstLine="540"/>
        <w:jc w:val="both"/>
        <w:rPr>
          <w:rFonts w:ascii="Arial" w:hAnsi="Arial" w:cs="Arial"/>
          <w:lang w:val="ru-RU"/>
        </w:rPr>
      </w:pPr>
      <w:r>
        <w:rPr>
          <w:rFonts w:ascii="Arial" w:hAnsi="Arial" w:cs="Arial"/>
          <w:lang w:val="uk-UA"/>
        </w:rPr>
        <w:t>Кошти Державного інноваційного фонду у структурі фінансування інновацій займають лише 3,2%. Вони розподіляються з великою увагою до інтересів галузей, що претендують на віднесення до середньо- та високонаукоємних. Машинобудування та металообробка залучають майже 60,0% коштів фонду. На другому місці перебувають верстатобудування та інструментальна промисловість (13,1%), на третьому – електротехнічна промисловість (10,7%), четверте-п</w:t>
      </w:r>
      <w:r>
        <w:rPr>
          <w:rFonts w:ascii="Arial" w:hAnsi="Arial" w:cs="Arial"/>
          <w:lang w:val="ru-RU"/>
        </w:rPr>
        <w:t xml:space="preserve">’яте місця ділять оборонна промисловість та приладобудування (по 9,6%). </w:t>
      </w:r>
    </w:p>
    <w:p w:rsidR="00C32992" w:rsidRDefault="002F17BE">
      <w:pPr>
        <w:pStyle w:val="20"/>
        <w:rPr>
          <w:lang w:val="ru-RU"/>
        </w:rPr>
      </w:pPr>
      <w:r>
        <w:rPr>
          <w:lang w:val="ru-RU"/>
        </w:rPr>
        <w:t>Розподіл коштів із  «інших» джерел (під ними, як правило, розуміють міністерські фонди та наукові частини титульно ненаукових програм) ще більше сприяють розвитку наукоємних галузей. Якщо зважити на відносно невеликі кошти, спрямовані в паливну промисловість та електроенергетику, можна зробити висновок, що «інші» джерела фактично виявляються призначеними для підтримки частини наукоємних виробництв та є доповненням бюджету в плані лобіювання їхніх інтересів (як відомо, розподілення бюджетних коштів часто виявляється під пресингом сировинних лобі). Приладобудування отримує досить значні кошти від «інших» джерел (4,1% усіх коштів).</w:t>
      </w:r>
    </w:p>
    <w:p w:rsidR="00C32992" w:rsidRDefault="002F17BE">
      <w:pPr>
        <w:ind w:firstLine="540"/>
        <w:jc w:val="both"/>
        <w:rPr>
          <w:rFonts w:ascii="Arial" w:hAnsi="Arial" w:cs="Arial"/>
          <w:lang w:val="uk-UA"/>
        </w:rPr>
      </w:pPr>
      <w:r>
        <w:rPr>
          <w:rFonts w:ascii="Arial" w:hAnsi="Arial" w:cs="Arial"/>
          <w:lang w:val="ru-RU"/>
        </w:rPr>
        <w:t xml:space="preserve"> </w:t>
      </w:r>
      <w:r>
        <w:rPr>
          <w:rFonts w:ascii="Arial" w:hAnsi="Arial" w:cs="Arial"/>
          <w:lang w:val="uk-UA"/>
        </w:rPr>
        <w:t xml:space="preserve"> Аналіз свідчить, що за зростанням уваги до розвитку галузей із значним рівнем наукоємності джерела коштів розміщуються в такому порядку: іноземні інвестори, кредити, держава, вітчизняні інвестори, самі галузі (власні кошти), Державний інноваційний фонд, інші джерела.  </w:t>
      </w:r>
    </w:p>
    <w:p w:rsidR="00C32992" w:rsidRDefault="00C32992">
      <w:pPr>
        <w:ind w:firstLine="540"/>
        <w:jc w:val="both"/>
        <w:rPr>
          <w:rFonts w:ascii="Arial" w:hAnsi="Arial" w:cs="Arial"/>
          <w:lang w:val="uk-UA"/>
        </w:rPr>
      </w:pPr>
    </w:p>
    <w:p w:rsidR="00C32992" w:rsidRDefault="00C32992">
      <w:pPr>
        <w:ind w:firstLine="540"/>
        <w:jc w:val="both"/>
        <w:rPr>
          <w:rFonts w:ascii="Arial" w:hAnsi="Arial" w:cs="Arial"/>
          <w:lang w:val="uk-UA"/>
        </w:rPr>
      </w:pPr>
    </w:p>
    <w:p w:rsidR="00C32992" w:rsidRDefault="002F17BE">
      <w:pPr>
        <w:ind w:firstLine="540"/>
        <w:jc w:val="both"/>
        <w:rPr>
          <w:rFonts w:ascii="Arial" w:hAnsi="Arial" w:cs="Arial"/>
          <w:lang w:val="uk-UA"/>
        </w:rPr>
      </w:pPr>
      <w:r>
        <w:rPr>
          <w:rFonts w:ascii="Arial" w:hAnsi="Arial" w:cs="Arial"/>
          <w:lang w:val="uk-UA"/>
        </w:rPr>
        <w:t xml:space="preserve"> </w:t>
      </w:r>
    </w:p>
    <w:p w:rsidR="00C32992" w:rsidRDefault="002F17BE">
      <w:pPr>
        <w:pStyle w:val="20"/>
      </w:pPr>
      <w:r>
        <w:t xml:space="preserve">Фінансування машинобудування  та приладобудування  є недостатнім, як з боку приватних інвесторів, так і з боку держави. Приватні інвестори надають перевагу галузям, де є можливість швидкого отримання високої норми прибутку (металургія, харчова промисловість). Держава усіма силами підтримує галузі, на які припадає найбільша частка валютних надходжень, головним чином – металургію. Така політика приводить до подальшого спрощення структури експорту (зараз високотехнологічна продукція займає 9% експорту, у той час як металургійна – 44%) та виробництва загалом, збільшує залежність української економіки від кон’юнктури світового ринку, приводить до численних антидемпінгових процесів і, як наслідок, значних втрат експортної виручки. Однак головним недоліком такої політики є її спрямованість на отримання економічних вигод у короткостроковому періоду без зважання на довгострокові перспективи української економіки. Майже абсолютна відсутність підтримки високотехнологічних галузей, дуже малі видатки на наукову сферу привели до припинення діяльності або надзвичайного зменшення її обсягів багатьох підприємств високотехнологічних галузей (зокрема досліджуваної), зменшення обсягів інноваційної діяльності, перепливу наукових кадрів із наукоємних галузей та сфери наукових досліджень до інших сфер економіки або ж за кордон. Для забезпечення довгострокового економічного зростання слід збільшувати фінансування науки, поступово переміщувати державні видатки з низькотехнологічних галузей до високотехнологічних, сприяти підвищенню приватних інвесторів, зокрема іноземних, саме в високотехнологічних галузях.  </w:t>
      </w:r>
    </w:p>
    <w:p w:rsidR="00C32992" w:rsidRDefault="002F17BE">
      <w:pPr>
        <w:pStyle w:val="20"/>
      </w:pPr>
      <w:r>
        <w:t xml:space="preserve"> Найближчим часом слід скористатися досвідом розвинених країн, що застосовують такі заходи для підтримки високонаукоємних галузей. </w:t>
      </w:r>
    </w:p>
    <w:p w:rsidR="00C32992" w:rsidRDefault="002F17BE">
      <w:pPr>
        <w:numPr>
          <w:ilvl w:val="0"/>
          <w:numId w:val="3"/>
        </w:numPr>
        <w:jc w:val="both"/>
        <w:rPr>
          <w:rFonts w:ascii="Arial" w:hAnsi="Arial" w:cs="Arial"/>
          <w:lang w:val="uk-UA"/>
        </w:rPr>
      </w:pPr>
      <w:r>
        <w:rPr>
          <w:rFonts w:ascii="Arial" w:hAnsi="Arial" w:cs="Arial"/>
          <w:lang w:val="uk-UA"/>
        </w:rPr>
        <w:t>Включення витрат на ІР приватного сектора у собівартість продукції.</w:t>
      </w:r>
    </w:p>
    <w:p w:rsidR="00C32992" w:rsidRDefault="002F17BE">
      <w:pPr>
        <w:numPr>
          <w:ilvl w:val="0"/>
          <w:numId w:val="3"/>
        </w:numPr>
        <w:jc w:val="both"/>
        <w:rPr>
          <w:rFonts w:ascii="Arial" w:hAnsi="Arial" w:cs="Arial"/>
          <w:lang w:val="uk-UA"/>
        </w:rPr>
      </w:pPr>
      <w:r>
        <w:rPr>
          <w:rFonts w:ascii="Arial" w:hAnsi="Arial" w:cs="Arial"/>
          <w:lang w:val="uk-UA"/>
        </w:rPr>
        <w:t>Списання значної частини наукового устаткування за прискореними нормами амортизації.</w:t>
      </w:r>
    </w:p>
    <w:p w:rsidR="00C32992" w:rsidRDefault="002F17BE">
      <w:pPr>
        <w:numPr>
          <w:ilvl w:val="0"/>
          <w:numId w:val="3"/>
        </w:numPr>
        <w:jc w:val="both"/>
        <w:rPr>
          <w:rFonts w:ascii="Arial" w:hAnsi="Arial" w:cs="Arial"/>
          <w:lang w:val="uk-UA"/>
        </w:rPr>
      </w:pPr>
      <w:r>
        <w:rPr>
          <w:rFonts w:ascii="Arial" w:hAnsi="Arial" w:cs="Arial"/>
          <w:lang w:val="uk-UA"/>
        </w:rPr>
        <w:t>Застосування системи адресних податкових пільг, спрямованих на постійне нарощування обсягу наукових витрат у великих корпораціях та на залучення дрібного й середнього бізнесу до інноваційної діяльностіу сфері високих технологій.</w:t>
      </w:r>
    </w:p>
    <w:p w:rsidR="00C32992" w:rsidRDefault="002F17BE">
      <w:pPr>
        <w:numPr>
          <w:ilvl w:val="0"/>
          <w:numId w:val="3"/>
        </w:numPr>
        <w:jc w:val="both"/>
        <w:rPr>
          <w:rFonts w:ascii="Arial" w:hAnsi="Arial" w:cs="Arial"/>
          <w:lang w:val="uk-UA"/>
        </w:rPr>
      </w:pPr>
      <w:r>
        <w:rPr>
          <w:rFonts w:ascii="Arial" w:hAnsi="Arial" w:cs="Arial"/>
          <w:lang w:val="uk-UA"/>
        </w:rPr>
        <w:t>Пільгове кредитування науково-технічних розробок і пайове фінансування великих проектів, створення інституційних умов для розвитку венчурного фінансування.</w:t>
      </w:r>
    </w:p>
    <w:p w:rsidR="00C32992" w:rsidRDefault="002F17BE">
      <w:pPr>
        <w:numPr>
          <w:ilvl w:val="0"/>
          <w:numId w:val="3"/>
        </w:numPr>
        <w:jc w:val="both"/>
        <w:rPr>
          <w:rFonts w:ascii="Arial" w:hAnsi="Arial" w:cs="Arial"/>
          <w:lang w:val="uk-UA"/>
        </w:rPr>
      </w:pPr>
      <w:r>
        <w:rPr>
          <w:rFonts w:ascii="Arial" w:hAnsi="Arial" w:cs="Arial"/>
          <w:lang w:val="uk-UA"/>
        </w:rPr>
        <w:t>Безоплатна передача або надання на пільгових умовах державної власності або землі для організації інноваційних підприємств (в основному в сфері освіти або для дрібного та середнього бізнесу), а також для створення наукової інфраструктури в регіонах.</w:t>
      </w:r>
    </w:p>
    <w:p w:rsidR="00C32992" w:rsidRDefault="002F17BE">
      <w:pPr>
        <w:jc w:val="both"/>
        <w:rPr>
          <w:rFonts w:ascii="Arial" w:hAnsi="Arial" w:cs="Arial"/>
          <w:lang w:val="uk-UA"/>
        </w:rPr>
      </w:pPr>
      <w:r>
        <w:rPr>
          <w:rFonts w:ascii="Arial" w:hAnsi="Arial" w:cs="Arial"/>
          <w:lang w:val="uk-UA"/>
        </w:rPr>
        <w:t>Зазначені заходи використовують в усіх без винятку розвинених та нових індустріальних країнах і їх доповнюють дії центральних та місцевих органів влади з розвитку антимонопольного регулювання, митної політики, охорони прав інтелектуальної власності в інтересах стимулювання інноваційної активності.</w:t>
      </w:r>
    </w:p>
    <w:p w:rsidR="00C32992" w:rsidRDefault="002F17BE">
      <w:pPr>
        <w:ind w:firstLine="360"/>
        <w:jc w:val="both"/>
        <w:rPr>
          <w:rFonts w:ascii="Arial" w:hAnsi="Arial" w:cs="Arial"/>
          <w:lang w:val="uk-UA"/>
        </w:rPr>
      </w:pPr>
      <w:r>
        <w:rPr>
          <w:rFonts w:ascii="Arial" w:hAnsi="Arial" w:cs="Arial"/>
          <w:lang w:val="uk-UA"/>
        </w:rPr>
        <w:t xml:space="preserve">    В Україні, на думку науковців та керівників підприємств галузі автоматизації, доцільним є здійснення таких заходів.</w:t>
      </w:r>
    </w:p>
    <w:p w:rsidR="00C32992" w:rsidRDefault="00C32992">
      <w:pPr>
        <w:ind w:firstLine="360"/>
        <w:jc w:val="both"/>
        <w:rPr>
          <w:rFonts w:ascii="Arial" w:hAnsi="Arial" w:cs="Arial"/>
          <w:lang w:val="uk-UA"/>
        </w:rPr>
      </w:pPr>
    </w:p>
    <w:p w:rsidR="00C32992" w:rsidRDefault="00C32992">
      <w:pPr>
        <w:ind w:firstLine="360"/>
        <w:jc w:val="both"/>
        <w:rPr>
          <w:rFonts w:ascii="Arial" w:hAnsi="Arial" w:cs="Arial"/>
          <w:lang w:val="uk-UA"/>
        </w:rPr>
      </w:pPr>
    </w:p>
    <w:p w:rsidR="00C32992" w:rsidRDefault="00C32992">
      <w:pPr>
        <w:ind w:firstLine="360"/>
        <w:jc w:val="both"/>
        <w:rPr>
          <w:rFonts w:ascii="Arial" w:hAnsi="Arial" w:cs="Arial"/>
          <w:lang w:val="uk-UA"/>
        </w:rPr>
      </w:pPr>
    </w:p>
    <w:p w:rsidR="00C32992" w:rsidRDefault="002F17BE">
      <w:pPr>
        <w:numPr>
          <w:ilvl w:val="0"/>
          <w:numId w:val="4"/>
        </w:numPr>
        <w:jc w:val="both"/>
        <w:rPr>
          <w:rFonts w:ascii="Arial" w:hAnsi="Arial" w:cs="Arial"/>
          <w:lang w:val="uk-UA"/>
        </w:rPr>
      </w:pPr>
      <w:r>
        <w:rPr>
          <w:rFonts w:ascii="Arial" w:hAnsi="Arial" w:cs="Arial"/>
          <w:lang w:val="uk-UA"/>
        </w:rPr>
        <w:t>Податкові пільги.</w:t>
      </w:r>
    </w:p>
    <w:p w:rsidR="00C32992" w:rsidRDefault="002F17BE">
      <w:pPr>
        <w:pStyle w:val="30"/>
      </w:pPr>
      <w:r>
        <w:t>Для підприємств, що виробляють високонаукоємну продукцію, слід знизити ставки ПДВ та податку на прибуток. (Існують пропозиції щодо нульової ставки одного з податків та суттєвого – приблизно вдвічі – зниження ставки іншого). На нашу думку, позитивний ефект від зниження податків у довгостроковій перспективі значно переважить негативний у короткостроковій. Підприємства отримають суттєві кошти для розвитку виробництва, оновлення основних фондів, розробку та впровадження нових видів продукції, а втрати бюджету будуть відносно невеликими унаслідок невеликої ринкової частки, яку мають підприємства автоматизації та робототехніки (та й загалом високонаукоємних галузей) .</w:t>
      </w:r>
    </w:p>
    <w:p w:rsidR="00C32992" w:rsidRDefault="002F17BE">
      <w:pPr>
        <w:ind w:left="360"/>
        <w:jc w:val="both"/>
        <w:rPr>
          <w:rFonts w:ascii="Arial" w:hAnsi="Arial" w:cs="Arial"/>
          <w:lang w:val="en-US"/>
        </w:rPr>
      </w:pPr>
      <w:r>
        <w:rPr>
          <w:rFonts w:ascii="Arial" w:hAnsi="Arial" w:cs="Arial"/>
          <w:lang w:val="uk-UA"/>
        </w:rPr>
        <w:t xml:space="preserve">Крім того, позитивний ефект матиме звільнення підприємств від сплати податку на землю. </w:t>
      </w:r>
    </w:p>
    <w:p w:rsidR="00C32992" w:rsidRDefault="00C32992">
      <w:pPr>
        <w:ind w:left="360"/>
        <w:jc w:val="both"/>
        <w:rPr>
          <w:rFonts w:ascii="Arial" w:hAnsi="Arial" w:cs="Arial"/>
          <w:lang w:val="en-US"/>
        </w:rPr>
      </w:pPr>
    </w:p>
    <w:p w:rsidR="00C32992" w:rsidRDefault="002F17BE">
      <w:pPr>
        <w:ind w:left="360"/>
        <w:jc w:val="both"/>
        <w:rPr>
          <w:rFonts w:ascii="Arial" w:hAnsi="Arial" w:cs="Arial"/>
          <w:lang w:val="uk-UA"/>
        </w:rPr>
      </w:pPr>
      <w:r>
        <w:rPr>
          <w:rFonts w:ascii="Arial" w:hAnsi="Arial" w:cs="Arial"/>
          <w:lang w:val="uk-UA"/>
        </w:rPr>
        <w:t>2. Пільгове кредитування.</w:t>
      </w:r>
    </w:p>
    <w:p w:rsidR="00C32992" w:rsidRDefault="002F17BE">
      <w:pPr>
        <w:jc w:val="both"/>
        <w:rPr>
          <w:rFonts w:ascii="Arial" w:hAnsi="Arial" w:cs="Arial"/>
          <w:lang w:val="uk-UA"/>
        </w:rPr>
      </w:pPr>
      <w:r>
        <w:rPr>
          <w:rFonts w:ascii="Arial" w:hAnsi="Arial" w:cs="Arial"/>
          <w:lang w:val="uk-UA"/>
        </w:rPr>
        <w:t xml:space="preserve">      Кредитування виробників високотехнологічної продукції можна здійснювати такими шляхами.</w:t>
      </w:r>
    </w:p>
    <w:p w:rsidR="00C32992" w:rsidRDefault="002F17BE">
      <w:pPr>
        <w:jc w:val="both"/>
        <w:rPr>
          <w:rFonts w:ascii="Arial" w:hAnsi="Arial" w:cs="Arial"/>
          <w:lang w:val="uk-UA"/>
        </w:rPr>
      </w:pPr>
      <w:r>
        <w:rPr>
          <w:rFonts w:ascii="Arial" w:hAnsi="Arial" w:cs="Arial"/>
          <w:lang w:val="uk-UA"/>
        </w:rPr>
        <w:t>а)  Встановлення пільг на ціну кредиту залежно  від його призначення .</w:t>
      </w:r>
    </w:p>
    <w:p w:rsidR="00C32992" w:rsidRDefault="002F17BE">
      <w:pPr>
        <w:jc w:val="both"/>
        <w:rPr>
          <w:rFonts w:ascii="Arial" w:hAnsi="Arial" w:cs="Arial"/>
          <w:lang w:val="uk-UA"/>
        </w:rPr>
      </w:pPr>
      <w:r>
        <w:rPr>
          <w:rFonts w:ascii="Arial" w:hAnsi="Arial" w:cs="Arial"/>
          <w:lang w:val="uk-UA"/>
        </w:rPr>
        <w:t>б) Надання пільг комерційним банкам, що кредитуватимуть підприємства пріоритетних галузей промисловості.</w:t>
      </w:r>
    </w:p>
    <w:p w:rsidR="00C32992" w:rsidRDefault="002F17BE">
      <w:pPr>
        <w:jc w:val="both"/>
        <w:rPr>
          <w:rFonts w:ascii="Arial" w:hAnsi="Arial" w:cs="Arial"/>
          <w:lang w:val="uk-UA"/>
        </w:rPr>
      </w:pPr>
      <w:r>
        <w:rPr>
          <w:rFonts w:ascii="Arial" w:hAnsi="Arial" w:cs="Arial"/>
          <w:lang w:val="uk-UA"/>
        </w:rPr>
        <w:t>в) Створення спеціальних державних банків для кредитування високотехнологічних галузей.</w:t>
      </w:r>
    </w:p>
    <w:p w:rsidR="00C32992" w:rsidRDefault="002F17BE">
      <w:pPr>
        <w:ind w:left="360"/>
        <w:jc w:val="both"/>
        <w:rPr>
          <w:rFonts w:ascii="Arial" w:hAnsi="Arial" w:cs="Arial"/>
          <w:lang w:val="uk-UA"/>
        </w:rPr>
      </w:pPr>
      <w:r>
        <w:rPr>
          <w:rFonts w:ascii="Arial" w:hAnsi="Arial" w:cs="Arial"/>
          <w:lang w:val="uk-UA"/>
        </w:rPr>
        <w:t>3. Збільшення обсягів прямого державного фінансування суб’єктів науково-технічної діяльності у виробничій сфері.</w:t>
      </w:r>
    </w:p>
    <w:p w:rsidR="00C32992" w:rsidRDefault="002F17BE">
      <w:pPr>
        <w:ind w:left="360"/>
        <w:jc w:val="both"/>
        <w:rPr>
          <w:rFonts w:ascii="Arial" w:hAnsi="Arial" w:cs="Arial"/>
          <w:lang w:val="uk-UA"/>
        </w:rPr>
      </w:pPr>
      <w:r>
        <w:rPr>
          <w:rFonts w:ascii="Arial" w:hAnsi="Arial" w:cs="Arial"/>
          <w:lang w:val="uk-UA"/>
        </w:rPr>
        <w:t>4. Захист інтелектуальної власності.</w:t>
      </w:r>
    </w:p>
    <w:p w:rsidR="00C32992" w:rsidRDefault="002F17BE">
      <w:pPr>
        <w:pStyle w:val="a4"/>
      </w:pPr>
      <w:r>
        <w:t>Слід поліпшити законодавчу базу щодо захисту інтелектуальної власності та розробити механізми забезпечення дотримання законодавства.</w:t>
      </w:r>
    </w:p>
    <w:p w:rsidR="00C32992" w:rsidRDefault="002F17BE">
      <w:pPr>
        <w:pStyle w:val="a4"/>
      </w:pPr>
      <w:r>
        <w:t>Ці заходи, по-перше,  суттєво підвищувамуть матеріальну зацікавленість у результатах своєї праці творців інновацій; по-друге, завдяки можливості зарахування об’єктів інтелектуальної власності як внеску в статутний капітал, поліпшуватимуть умови співпраці з іноземними підприємствами та полегшуватимуть доступ до банківських кредитів.</w:t>
      </w:r>
    </w:p>
    <w:p w:rsidR="00C32992" w:rsidRDefault="002F17BE">
      <w:pPr>
        <w:ind w:left="360"/>
        <w:jc w:val="both"/>
        <w:rPr>
          <w:rFonts w:ascii="Arial" w:hAnsi="Arial" w:cs="Arial"/>
          <w:lang w:val="uk-UA"/>
        </w:rPr>
      </w:pPr>
      <w:r>
        <w:rPr>
          <w:rFonts w:ascii="Arial" w:hAnsi="Arial" w:cs="Arial"/>
          <w:lang w:val="uk-UA"/>
        </w:rPr>
        <w:t>5. Зовнішньоторговельна політика.</w:t>
      </w:r>
    </w:p>
    <w:p w:rsidR="00C32992" w:rsidRDefault="002F17BE">
      <w:pPr>
        <w:pStyle w:val="a4"/>
      </w:pPr>
      <w:r>
        <w:t xml:space="preserve">Доцільною є розумна підтримка тарифними та нетарифними методами національних виробників високотехнологічної продукції.  Також слід знизити (у багатьох випадках – скасувати) торговельні бар’єри для високоякісних імпортованих компонентів, використовуваних у виробництві, що їх не виробляють в Україні або якість яких є незадовільною. </w:t>
      </w:r>
    </w:p>
    <w:p w:rsidR="00C32992" w:rsidRDefault="002F17BE">
      <w:pPr>
        <w:numPr>
          <w:ilvl w:val="0"/>
          <w:numId w:val="6"/>
        </w:numPr>
        <w:jc w:val="both"/>
        <w:rPr>
          <w:rFonts w:ascii="Arial" w:hAnsi="Arial" w:cs="Arial"/>
          <w:lang w:val="uk-UA"/>
        </w:rPr>
      </w:pPr>
      <w:r>
        <w:rPr>
          <w:rFonts w:ascii="Arial" w:hAnsi="Arial" w:cs="Arial"/>
          <w:lang w:val="uk-UA"/>
        </w:rPr>
        <w:t>Встановлення норм прискореної амортизації обладнання.</w:t>
      </w:r>
    </w:p>
    <w:p w:rsidR="00C32992" w:rsidRDefault="002F17BE">
      <w:pPr>
        <w:numPr>
          <w:ilvl w:val="0"/>
          <w:numId w:val="6"/>
        </w:numPr>
        <w:jc w:val="both"/>
        <w:rPr>
          <w:rFonts w:ascii="Arial" w:hAnsi="Arial" w:cs="Arial"/>
          <w:lang w:val="uk-UA"/>
        </w:rPr>
      </w:pPr>
      <w:r>
        <w:rPr>
          <w:rFonts w:ascii="Arial" w:hAnsi="Arial" w:cs="Arial"/>
          <w:lang w:val="uk-UA"/>
        </w:rPr>
        <w:t>Проведення конкурсів на держзамовлення серед державних та недержавних підприємств.</w:t>
      </w:r>
    </w:p>
    <w:p w:rsidR="00C32992" w:rsidRDefault="002F17BE">
      <w:pPr>
        <w:ind w:firstLine="360"/>
        <w:jc w:val="both"/>
        <w:rPr>
          <w:rFonts w:ascii="Arial" w:hAnsi="Arial" w:cs="Arial"/>
          <w:lang w:val="uk-UA"/>
        </w:rPr>
      </w:pPr>
      <w:r>
        <w:rPr>
          <w:rFonts w:ascii="Arial" w:hAnsi="Arial" w:cs="Arial"/>
          <w:lang w:val="uk-UA"/>
        </w:rPr>
        <w:t>На нашу думку, дані заходи є першочерговими, а їх здійснення можливе протягом відносно невеликого часового проміжку.</w:t>
      </w:r>
    </w:p>
    <w:p w:rsidR="00C32992" w:rsidRDefault="002F17BE">
      <w:pPr>
        <w:ind w:firstLine="360"/>
        <w:jc w:val="both"/>
        <w:rPr>
          <w:rFonts w:ascii="Arial" w:hAnsi="Arial" w:cs="Arial"/>
          <w:lang w:val="uk-UA"/>
        </w:rPr>
      </w:pPr>
      <w:r>
        <w:rPr>
          <w:rFonts w:ascii="Arial" w:hAnsi="Arial" w:cs="Arial"/>
          <w:lang w:val="uk-UA"/>
        </w:rPr>
        <w:t>Важливим фактором, що перешкоджає залученню коштів підприємствами пріоритетних галузей (і інших також) є нерозвиненість фондового ринку. Заходи, що стимулюватимуть його розвиток, позитивно вплинуть як на загальну економічну ситуацію, так і на високонаукоємні галузі зокрема.</w:t>
      </w:r>
    </w:p>
    <w:p w:rsidR="00C32992" w:rsidRDefault="002F17BE">
      <w:pPr>
        <w:pStyle w:val="20"/>
      </w:pPr>
      <w:r>
        <w:t>У перспективі важливим засобом підтримки високотехнологічних виробництв мають стати венчурні фонди. Для початку діяльності їх в Україні слід, по-перше, розробити відповідне законодавство. По-друге, необхідно популяризувати можливості, перспективність та ефективність венчурного бізнесу на прикладі його успішного розвитку за кордоном.</w:t>
      </w:r>
    </w:p>
    <w:p w:rsidR="00C32992" w:rsidRDefault="00C32992">
      <w:pPr>
        <w:ind w:left="360"/>
        <w:jc w:val="both"/>
        <w:rPr>
          <w:rFonts w:ascii="Arial" w:hAnsi="Arial" w:cs="Arial"/>
          <w:lang w:val="uk-UA"/>
        </w:rPr>
      </w:pPr>
    </w:p>
    <w:p w:rsidR="00C32992" w:rsidRDefault="002F17BE">
      <w:pPr>
        <w:pStyle w:val="3"/>
      </w:pPr>
      <w:r>
        <w:t>2. Підвищення конкурентоздатності галузі автоматизації шляхом міжнародної співпраці.</w:t>
      </w:r>
    </w:p>
    <w:p w:rsidR="00C32992" w:rsidRDefault="002F17BE">
      <w:pPr>
        <w:pStyle w:val="20"/>
      </w:pPr>
      <w:r>
        <w:t>Для підвищення технологічного рівня українського виробництва надзвичайно важливо співпрацювати із іноземними та міжнародними підприємствами та установами.</w:t>
      </w:r>
    </w:p>
    <w:p w:rsidR="00C32992" w:rsidRDefault="002F17BE">
      <w:pPr>
        <w:pStyle w:val="20"/>
      </w:pPr>
      <w:r>
        <w:t xml:space="preserve">Насамперед, слід стимулювати приплив іноземних інвестицій до  галузі автоматизації та інших високонаукоємних виробництв, залучення іноземного венчурного капіталу. Використання іноземних інноваційних технологій, управлінського досвіду та фінансових коштів дозволить суттєво підвищити конкурентоздатність національного виробництва. </w:t>
      </w:r>
    </w:p>
    <w:p w:rsidR="00C32992" w:rsidRDefault="002F17BE">
      <w:pPr>
        <w:ind w:firstLine="540"/>
        <w:jc w:val="both"/>
        <w:rPr>
          <w:rFonts w:ascii="Arial" w:hAnsi="Arial" w:cs="Arial"/>
          <w:lang w:val="ru-RU"/>
        </w:rPr>
      </w:pPr>
      <w:r>
        <w:rPr>
          <w:rFonts w:ascii="Arial" w:hAnsi="Arial" w:cs="Arial"/>
          <w:lang w:val="uk-UA"/>
        </w:rPr>
        <w:t>Крім того, найближчими роками держава має створити умови для залучення до України іноземних наукових лабораторій та наукоємних промислових фірм, що здійснюють НДДКР, формування спільних технологічних альянсів, науково-технологічних консорціумів, науково-виробничих кластерів, технологічних інкубаторів, організації вільних зон торгівлі наукоємними товарами та послугами тощо. Важливими заходами є сприяння формуванню  великих корпоративних структур (в основному фінансово-промислових груп – ФПГ) у галузях високих технологій , а також вітчизняних транснаціональних корпорацій.</w:t>
      </w:r>
      <w:r>
        <w:rPr>
          <w:rFonts w:ascii="Arial" w:hAnsi="Arial" w:cs="Arial"/>
          <w:lang w:val="ru-RU"/>
        </w:rPr>
        <w:t xml:space="preserve"> Ці форми міжнародної співпраці дозволяють виробникам наукоємної продукції виходити на зовнішні ринки, підвищувати свою конкурентоздатність завдяки отриманню від закордонних партнерів нових технологій, освоєння сучасних методів управління. </w:t>
      </w:r>
    </w:p>
    <w:p w:rsidR="00C32992" w:rsidRDefault="002F17BE">
      <w:pPr>
        <w:jc w:val="both"/>
        <w:rPr>
          <w:rFonts w:ascii="Arial" w:hAnsi="Arial" w:cs="Arial"/>
          <w:lang w:val="uk-UA"/>
        </w:rPr>
      </w:pPr>
      <w:r>
        <w:rPr>
          <w:rFonts w:ascii="Arial" w:hAnsi="Arial" w:cs="Arial"/>
          <w:lang w:val="uk-UA"/>
        </w:rPr>
        <w:t xml:space="preserve">      Звісно, є об’єктивні труднощі на шляху ефективної реалізації спільних проектів із іноземними партнерами. Це стосується насамперед забезпечення рівних умов співпраці, для чого в українських підприємств часто немає достатніх коштів. Надання ж інтелектуальної власності як внеску також вимагає значних витрат на патентування та підтримку патентних прав за кордоном. Тому сьогодні зазначені напрямки діяльності потребують державної підтримки. </w:t>
      </w: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2F17BE">
      <w:pPr>
        <w:jc w:val="center"/>
        <w:rPr>
          <w:rFonts w:ascii="Arial" w:hAnsi="Arial" w:cs="Arial"/>
          <w:lang w:val="uk-UA"/>
        </w:rPr>
      </w:pPr>
      <w:r>
        <w:rPr>
          <w:rFonts w:ascii="Arial" w:hAnsi="Arial" w:cs="Arial"/>
          <w:lang w:val="uk-UA"/>
        </w:rPr>
        <w:t>Висновок</w:t>
      </w:r>
    </w:p>
    <w:p w:rsidR="00C32992" w:rsidRDefault="00C32992">
      <w:pPr>
        <w:jc w:val="center"/>
        <w:rPr>
          <w:rFonts w:ascii="Arial" w:hAnsi="Arial" w:cs="Arial"/>
          <w:lang w:val="uk-UA"/>
        </w:rPr>
      </w:pPr>
    </w:p>
    <w:p w:rsidR="00C32992" w:rsidRDefault="002F17BE">
      <w:pPr>
        <w:pStyle w:val="20"/>
      </w:pPr>
      <w:r>
        <w:t>Галузь автоматизації та робототехніки є пріоритетним сектором промисловості для розвинених країн світу і має стати таким в українській економіці.</w:t>
      </w:r>
    </w:p>
    <w:p w:rsidR="00C32992" w:rsidRDefault="002F17BE">
      <w:pPr>
        <w:pStyle w:val="20"/>
      </w:pPr>
      <w:r>
        <w:t>На теперішній час галузь автоматизації є конкурентоздатною на внутрішньому ринку, ринку Росії. Поки що недостатньо великим є сектор українських підприємств на ринку Азії, Латинської  Америки, Африки, існують значні можливості для його розширення. На зазначених ринках продукція українських підприємств є конкурентоспроможною завдяки тому, що багато її зразків не набагато поступаються світовим аналогам за технічними характеристиками (а в численних випадках навіть переважають їх) і при цьому є в кілька разів дешевшими. Малою є частка українських підприємств на ринку Європи та США  через невідповідність багатьох видів продукції застосовуваним там стандартам, недостатньо високу якість, протекціоністські заходи щодо високотехнологічних товарів. У короткотерміновій перспективі українським виробникам слід, насамперед, утримати завойовані ринки та зміцнити свою позицію на них, здійснити вихід на ті ринки, на які він є можливим найближчим часом, а в довгостроковій – наближати параметри продукції до відповідних світовим стандартам та намагатися розширити свою присутність на ринку високорозвинених країн.</w:t>
      </w:r>
    </w:p>
    <w:p w:rsidR="00C32992" w:rsidRDefault="002F17BE">
      <w:pPr>
        <w:pStyle w:val="20"/>
      </w:pPr>
      <w:r>
        <w:t xml:space="preserve">Найважливішими проблемами галузі є нестача коштів на оновлення основних фондів та розробку нових видів продукції, незадовільний стан суміжних галузей.  Відсутність усвідомлення державою важливості галузі для довгострокового економічного зростання країни призвела до ігнорування нею інтересів галузі, відсутності економічного стимулювання її розвитку. Для підвищення конкурентоспроможності галузі необхідним є застосування податкових стимулів, кредитних пільг, запровадження або посилення протекціоністських заходів щодо окремих видів продукції. Для стимулювання довгострокового розвитку галузі слід сприяти підвищенню її науково-технічного потенціалу через   збільшення  державних видатків на науково-технічну сферу, розробку законодавства щодо інтелектуальної власності, залучення іноземних інвестицій, сприяння розвитку венчурних фондів, сприяння участі України в міждержавних науково-технічних проектах.  </w:t>
      </w:r>
    </w:p>
    <w:p w:rsidR="00C32992" w:rsidRDefault="00C32992">
      <w:pPr>
        <w:jc w:val="both"/>
        <w:rPr>
          <w:rFonts w:ascii="Arial" w:hAnsi="Arial" w:cs="Arial"/>
          <w:lang w:val="uk-UA"/>
        </w:rPr>
      </w:pPr>
    </w:p>
    <w:p w:rsidR="00C32992" w:rsidRDefault="00C32992">
      <w:pPr>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2F17BE">
      <w:pPr>
        <w:ind w:left="360"/>
        <w:jc w:val="center"/>
        <w:rPr>
          <w:rFonts w:ascii="Arial" w:hAnsi="Arial" w:cs="Arial"/>
          <w:lang w:val="uk-UA"/>
        </w:rPr>
      </w:pPr>
      <w:r>
        <w:rPr>
          <w:rFonts w:ascii="Arial" w:hAnsi="Arial" w:cs="Arial"/>
          <w:lang w:val="uk-UA"/>
        </w:rPr>
        <w:t>Література</w:t>
      </w:r>
    </w:p>
    <w:p w:rsidR="00C32992" w:rsidRDefault="00C32992">
      <w:pPr>
        <w:ind w:left="360"/>
        <w:jc w:val="center"/>
        <w:rPr>
          <w:rFonts w:ascii="Arial" w:hAnsi="Arial" w:cs="Arial"/>
          <w:lang w:val="uk-UA"/>
        </w:rPr>
      </w:pPr>
    </w:p>
    <w:p w:rsidR="00C32992" w:rsidRDefault="002F17BE">
      <w:pPr>
        <w:numPr>
          <w:ilvl w:val="0"/>
          <w:numId w:val="7"/>
        </w:numPr>
        <w:rPr>
          <w:rFonts w:ascii="Arial" w:hAnsi="Arial" w:cs="Arial"/>
          <w:lang w:val="uk-UA"/>
        </w:rPr>
      </w:pPr>
      <w:r>
        <w:rPr>
          <w:rFonts w:ascii="Arial" w:hAnsi="Arial" w:cs="Arial"/>
          <w:lang w:val="uk-UA"/>
        </w:rPr>
        <w:t>Яковлєв В. Оновлення продукції та шляхи його стимулювання у промисловій сфері України. //Економіст, №12, грудень 1998.</w:t>
      </w:r>
    </w:p>
    <w:p w:rsidR="00C32992" w:rsidRDefault="002F17BE">
      <w:pPr>
        <w:numPr>
          <w:ilvl w:val="0"/>
          <w:numId w:val="7"/>
        </w:numPr>
        <w:rPr>
          <w:rFonts w:ascii="Arial" w:hAnsi="Arial" w:cs="Arial"/>
          <w:lang w:val="uk-UA"/>
        </w:rPr>
      </w:pPr>
      <w:r>
        <w:rPr>
          <w:rFonts w:ascii="Arial" w:hAnsi="Arial" w:cs="Arial"/>
          <w:lang w:val="uk-UA"/>
        </w:rPr>
        <w:t xml:space="preserve">Булкин И. Определение наукоемкости сфер </w:t>
      </w:r>
      <w:r>
        <w:rPr>
          <w:rFonts w:ascii="Arial" w:hAnsi="Arial" w:cs="Arial"/>
          <w:lang w:val="ru-RU"/>
        </w:rPr>
        <w:t>э</w:t>
      </w:r>
      <w:r>
        <w:rPr>
          <w:rFonts w:ascii="Arial" w:hAnsi="Arial" w:cs="Arial"/>
          <w:lang w:val="uk-UA"/>
        </w:rPr>
        <w:t>кономики. //Наука та наукознавство, №2, 2001.</w:t>
      </w:r>
    </w:p>
    <w:p w:rsidR="00C32992" w:rsidRDefault="002F17BE">
      <w:pPr>
        <w:numPr>
          <w:ilvl w:val="0"/>
          <w:numId w:val="7"/>
        </w:numPr>
        <w:rPr>
          <w:rFonts w:ascii="Arial" w:hAnsi="Arial" w:cs="Arial"/>
          <w:lang w:val="uk-UA"/>
        </w:rPr>
      </w:pPr>
      <w:r>
        <w:rPr>
          <w:rFonts w:ascii="Arial" w:hAnsi="Arial" w:cs="Arial"/>
          <w:lang w:val="uk-UA"/>
        </w:rPr>
        <w:t>Августімов В. Чи звернуть державні мужі на стан електроніки?//Економіст, №5,1999.</w:t>
      </w:r>
    </w:p>
    <w:p w:rsidR="00C32992" w:rsidRDefault="002F17BE">
      <w:pPr>
        <w:numPr>
          <w:ilvl w:val="0"/>
          <w:numId w:val="7"/>
        </w:numPr>
        <w:rPr>
          <w:rFonts w:ascii="Arial" w:hAnsi="Arial" w:cs="Arial"/>
          <w:lang w:val="uk-UA"/>
        </w:rPr>
      </w:pPr>
      <w:r>
        <w:rPr>
          <w:rFonts w:ascii="Arial" w:hAnsi="Arial" w:cs="Arial"/>
          <w:lang w:val="uk-UA"/>
        </w:rPr>
        <w:t>Малицький Б., Булкін І., Єгоров І., Соловйов В. Аналіз становлення наукової системи України.//Наука та наукознавство, №2, 2001.</w:t>
      </w:r>
    </w:p>
    <w:p w:rsidR="00C32992" w:rsidRDefault="002F17BE">
      <w:pPr>
        <w:numPr>
          <w:ilvl w:val="0"/>
          <w:numId w:val="7"/>
        </w:numPr>
        <w:rPr>
          <w:rFonts w:ascii="Arial" w:hAnsi="Arial" w:cs="Arial"/>
          <w:lang w:val="uk-UA"/>
        </w:rPr>
      </w:pPr>
      <w:r>
        <w:rPr>
          <w:rFonts w:ascii="Arial" w:hAnsi="Arial" w:cs="Arial"/>
          <w:lang w:val="uk-UA"/>
        </w:rPr>
        <w:t xml:space="preserve">Иванова Н. Инновационная сфера: итоги столетия.//Мировая </w:t>
      </w:r>
      <w:r>
        <w:rPr>
          <w:rFonts w:ascii="Arial" w:hAnsi="Arial" w:cs="Arial"/>
          <w:lang w:val="ru-RU"/>
        </w:rPr>
        <w:t>э</w:t>
      </w:r>
      <w:r>
        <w:rPr>
          <w:rFonts w:ascii="Arial" w:hAnsi="Arial" w:cs="Arial"/>
          <w:lang w:val="uk-UA"/>
        </w:rPr>
        <w:t xml:space="preserve">кономика </w:t>
      </w:r>
      <w:r>
        <w:rPr>
          <w:rFonts w:ascii="Arial" w:hAnsi="Arial" w:cs="Arial"/>
          <w:lang w:val="ru-RU"/>
        </w:rPr>
        <w:t>и международные отношения, №8, 2001.</w:t>
      </w:r>
    </w:p>
    <w:p w:rsidR="00C32992" w:rsidRDefault="002F17BE">
      <w:pPr>
        <w:numPr>
          <w:ilvl w:val="0"/>
          <w:numId w:val="7"/>
        </w:numPr>
        <w:rPr>
          <w:rFonts w:ascii="Arial" w:hAnsi="Arial" w:cs="Arial"/>
          <w:lang w:val="uk-UA"/>
        </w:rPr>
      </w:pPr>
      <w:r>
        <w:rPr>
          <w:rFonts w:ascii="Arial" w:hAnsi="Arial" w:cs="Arial"/>
          <w:lang w:val="uk-UA"/>
        </w:rPr>
        <w:t>Цибульов П. Зерна не проростають на камені...//Український промисловець, №9, 1998.</w:t>
      </w:r>
    </w:p>
    <w:p w:rsidR="00C32992" w:rsidRDefault="002F17BE">
      <w:pPr>
        <w:numPr>
          <w:ilvl w:val="0"/>
          <w:numId w:val="7"/>
        </w:numPr>
        <w:rPr>
          <w:rFonts w:ascii="Arial" w:hAnsi="Arial" w:cs="Arial"/>
          <w:lang w:val="uk-UA"/>
        </w:rPr>
      </w:pPr>
      <w:r>
        <w:rPr>
          <w:rFonts w:ascii="Arial" w:hAnsi="Arial" w:cs="Arial"/>
          <w:lang w:val="uk-UA"/>
        </w:rPr>
        <w:t>Миндели Л., Заварухин В. Международн</w:t>
      </w:r>
      <w:r>
        <w:rPr>
          <w:rFonts w:ascii="Arial" w:hAnsi="Arial" w:cs="Arial"/>
          <w:lang w:val="ru-RU"/>
        </w:rPr>
        <w:t>ы</w:t>
      </w:r>
      <w:r>
        <w:rPr>
          <w:rFonts w:ascii="Arial" w:hAnsi="Arial" w:cs="Arial"/>
          <w:lang w:val="uk-UA"/>
        </w:rPr>
        <w:t>е аспекты российской инновационной политики.//Мировая экономика и международные отношения, №5, 2001.</w:t>
      </w:r>
    </w:p>
    <w:p w:rsidR="00C32992" w:rsidRDefault="00C32992">
      <w:pPr>
        <w:ind w:left="360"/>
        <w:jc w:val="center"/>
        <w:rPr>
          <w:rFonts w:ascii="Arial" w:hAnsi="Arial" w:cs="Arial"/>
          <w:lang w:val="uk-UA"/>
        </w:rPr>
      </w:pPr>
    </w:p>
    <w:p w:rsidR="00C32992" w:rsidRDefault="00C32992">
      <w:pPr>
        <w:ind w:left="360"/>
        <w:jc w:val="center"/>
        <w:rPr>
          <w:rFonts w:ascii="Arial" w:hAnsi="Arial" w:cs="Arial"/>
          <w:lang w:val="uk-UA"/>
        </w:rPr>
      </w:pPr>
    </w:p>
    <w:p w:rsidR="00C32992" w:rsidRDefault="002F17BE">
      <w:pPr>
        <w:pStyle w:val="3"/>
        <w:rPr>
          <w:i w:val="0"/>
          <w:iCs w:val="0"/>
        </w:rPr>
      </w:pPr>
      <w:r>
        <w:rPr>
          <w:i w:val="0"/>
          <w:iCs w:val="0"/>
        </w:rPr>
        <w:t xml:space="preserve">Список джерел, використаних для порівняльного аналізу </w:t>
      </w:r>
    </w:p>
    <w:p w:rsidR="00C32992" w:rsidRDefault="002F17BE">
      <w:pPr>
        <w:pStyle w:val="3"/>
        <w:rPr>
          <w:i w:val="0"/>
          <w:iCs w:val="0"/>
        </w:rPr>
      </w:pPr>
      <w:r>
        <w:rPr>
          <w:i w:val="0"/>
          <w:iCs w:val="0"/>
        </w:rPr>
        <w:t>експортної продукції (таблиці №-№ 1і 2).</w:t>
      </w:r>
    </w:p>
    <w:p w:rsidR="00C32992" w:rsidRDefault="00C32992">
      <w:pPr>
        <w:ind w:firstLine="567"/>
        <w:jc w:val="both"/>
        <w:rPr>
          <w:lang w:val="uk-UA"/>
        </w:rPr>
      </w:pPr>
    </w:p>
    <w:p w:rsidR="00C32992" w:rsidRDefault="002F17BE">
      <w:pPr>
        <w:ind w:firstLine="567"/>
        <w:jc w:val="center"/>
        <w:rPr>
          <w:b/>
          <w:lang w:val="uk-UA"/>
        </w:rPr>
      </w:pPr>
      <w:r>
        <w:rPr>
          <w:b/>
          <w:lang w:val="uk-UA"/>
        </w:rPr>
        <w:t>По техніко-економічних характеристиках систем САДКО і аналогів.</w:t>
      </w:r>
    </w:p>
    <w:p w:rsidR="00C32992" w:rsidRDefault="00C32992">
      <w:pPr>
        <w:ind w:firstLine="567"/>
        <w:jc w:val="center"/>
        <w:rPr>
          <w:b/>
          <w:lang w:val="uk-UA"/>
        </w:rPr>
      </w:pPr>
    </w:p>
    <w:p w:rsidR="00C32992" w:rsidRDefault="002F17BE">
      <w:pPr>
        <w:numPr>
          <w:ilvl w:val="0"/>
          <w:numId w:val="8"/>
        </w:numPr>
        <w:rPr>
          <w:rFonts w:ascii="Arial" w:hAnsi="Arial" w:cs="Arial"/>
          <w:lang w:val="uk-UA"/>
        </w:rPr>
      </w:pPr>
      <w:r>
        <w:rPr>
          <w:rFonts w:ascii="Arial" w:hAnsi="Arial" w:cs="Arial"/>
          <w:lang w:val="uk-UA"/>
        </w:rPr>
        <w:t>Матеріали НВО ТОВ “АМІСО” (Україна, м. Миколаїв).</w:t>
      </w:r>
    </w:p>
    <w:p w:rsidR="00C32992" w:rsidRDefault="002F17BE">
      <w:pPr>
        <w:numPr>
          <w:ilvl w:val="0"/>
          <w:numId w:val="8"/>
        </w:numPr>
        <w:rPr>
          <w:rFonts w:ascii="Arial" w:hAnsi="Arial" w:cs="Arial"/>
          <w:lang w:val="uk-UA"/>
        </w:rPr>
      </w:pPr>
      <w:r>
        <w:rPr>
          <w:rFonts w:ascii="Arial" w:hAnsi="Arial" w:cs="Arial"/>
          <w:lang w:val="uk-UA"/>
        </w:rPr>
        <w:t xml:space="preserve">Комерційна пропозиція фірми </w:t>
      </w:r>
      <w:r>
        <w:rPr>
          <w:rFonts w:ascii="Arial" w:hAnsi="Arial" w:cs="Arial"/>
          <w:lang w:val="en-US"/>
        </w:rPr>
        <w:t>SF</w:t>
      </w:r>
      <w:r>
        <w:rPr>
          <w:rFonts w:ascii="Arial" w:hAnsi="Arial" w:cs="Arial"/>
          <w:lang w:val="uk-UA"/>
        </w:rPr>
        <w:t xml:space="preserve"> </w:t>
      </w:r>
      <w:r>
        <w:rPr>
          <w:rFonts w:ascii="Arial" w:hAnsi="Arial" w:cs="Arial"/>
          <w:lang w:val="en-US"/>
        </w:rPr>
        <w:t>CONTROL</w:t>
      </w:r>
      <w:r>
        <w:rPr>
          <w:rFonts w:ascii="Arial" w:hAnsi="Arial" w:cs="Arial"/>
          <w:lang w:val="uk-UA"/>
        </w:rPr>
        <w:t xml:space="preserve"> (Фінляндія, м. Хельсінкі) заводу “Залив” (Україна, м. Керч) по оснащенню суден проекту 17020 системами “</w:t>
      </w:r>
      <w:r>
        <w:rPr>
          <w:rFonts w:ascii="Arial" w:hAnsi="Arial" w:cs="Arial"/>
          <w:lang w:val="en-US"/>
        </w:rPr>
        <w:t>Level</w:t>
      </w:r>
      <w:r>
        <w:rPr>
          <w:rFonts w:ascii="Arial" w:hAnsi="Arial" w:cs="Arial"/>
          <w:lang w:val="uk-UA"/>
        </w:rPr>
        <w:t xml:space="preserve"> </w:t>
      </w:r>
      <w:r>
        <w:rPr>
          <w:rFonts w:ascii="Arial" w:hAnsi="Arial" w:cs="Arial"/>
          <w:lang w:val="en-US"/>
        </w:rPr>
        <w:t>datic</w:t>
      </w:r>
      <w:r>
        <w:rPr>
          <w:rFonts w:ascii="Arial" w:hAnsi="Arial" w:cs="Arial"/>
          <w:lang w:val="uk-UA"/>
        </w:rPr>
        <w:t xml:space="preserve">” № </w:t>
      </w:r>
      <w:r>
        <w:rPr>
          <w:rFonts w:ascii="Arial" w:hAnsi="Arial" w:cs="Arial"/>
          <w:lang w:val="en-US"/>
        </w:rPr>
        <w:t>SFC</w:t>
      </w:r>
      <w:r>
        <w:rPr>
          <w:rFonts w:ascii="Arial" w:hAnsi="Arial" w:cs="Arial"/>
          <w:lang w:val="uk-UA"/>
        </w:rPr>
        <w:t>-94246</w:t>
      </w:r>
      <w:r>
        <w:rPr>
          <w:rFonts w:ascii="Arial" w:hAnsi="Arial" w:cs="Arial"/>
          <w:lang w:val="en-US"/>
        </w:rPr>
        <w:t>C</w:t>
      </w:r>
      <w:r>
        <w:rPr>
          <w:rFonts w:ascii="Arial" w:hAnsi="Arial" w:cs="Arial"/>
          <w:lang w:val="uk-UA"/>
        </w:rPr>
        <w:t xml:space="preserve"> від 13.10.1994 р.</w:t>
      </w:r>
    </w:p>
    <w:p w:rsidR="00C32992" w:rsidRDefault="002F17BE">
      <w:pPr>
        <w:numPr>
          <w:ilvl w:val="0"/>
          <w:numId w:val="8"/>
        </w:numPr>
        <w:rPr>
          <w:rFonts w:ascii="Arial" w:hAnsi="Arial" w:cs="Arial"/>
          <w:lang w:val="uk-UA"/>
        </w:rPr>
      </w:pPr>
      <w:r>
        <w:rPr>
          <w:rFonts w:ascii="Arial" w:hAnsi="Arial" w:cs="Arial"/>
          <w:lang w:val="uk-UA"/>
        </w:rPr>
        <w:t xml:space="preserve">Контракт № 95-01-07 фірми </w:t>
      </w:r>
      <w:r>
        <w:rPr>
          <w:rFonts w:ascii="Arial" w:hAnsi="Arial" w:cs="Arial"/>
          <w:lang w:val="en-US"/>
        </w:rPr>
        <w:t>SF</w:t>
      </w:r>
      <w:r>
        <w:rPr>
          <w:rFonts w:ascii="Arial" w:hAnsi="Arial" w:cs="Arial"/>
          <w:lang w:val="uk-UA"/>
        </w:rPr>
        <w:t xml:space="preserve"> </w:t>
      </w:r>
      <w:r>
        <w:rPr>
          <w:rFonts w:ascii="Arial" w:hAnsi="Arial" w:cs="Arial"/>
          <w:lang w:val="en-US"/>
        </w:rPr>
        <w:t>CONTROL</w:t>
      </w:r>
      <w:r>
        <w:rPr>
          <w:rFonts w:ascii="Arial" w:hAnsi="Arial" w:cs="Arial"/>
          <w:lang w:val="uk-UA"/>
        </w:rPr>
        <w:t xml:space="preserve"> (Фінляндія, м. Хельсінкі) по постачанню заводу “Океан” (Україна, м. Миколаїв) системи заміру рівней і осадки “</w:t>
      </w:r>
      <w:r>
        <w:rPr>
          <w:rFonts w:ascii="Arial" w:hAnsi="Arial" w:cs="Arial"/>
          <w:lang w:val="en-US"/>
        </w:rPr>
        <w:t>Level</w:t>
      </w:r>
      <w:r>
        <w:rPr>
          <w:rFonts w:ascii="Arial" w:hAnsi="Arial" w:cs="Arial"/>
          <w:lang w:val="uk-UA"/>
        </w:rPr>
        <w:t xml:space="preserve"> </w:t>
      </w:r>
      <w:r>
        <w:rPr>
          <w:rFonts w:ascii="Arial" w:hAnsi="Arial" w:cs="Arial"/>
          <w:lang w:val="en-US"/>
        </w:rPr>
        <w:t>datic</w:t>
      </w:r>
      <w:r>
        <w:rPr>
          <w:rFonts w:ascii="Arial" w:hAnsi="Arial" w:cs="Arial"/>
          <w:lang w:val="uk-UA"/>
        </w:rPr>
        <w:t xml:space="preserve"> 100</w:t>
      </w:r>
      <w:r>
        <w:rPr>
          <w:rFonts w:ascii="Arial" w:hAnsi="Arial" w:cs="Arial"/>
          <w:lang w:val="en-US"/>
        </w:rPr>
        <w:t>S</w:t>
      </w:r>
      <w:r>
        <w:rPr>
          <w:rFonts w:ascii="Arial" w:hAnsi="Arial" w:cs="Arial"/>
          <w:lang w:val="uk-UA"/>
        </w:rPr>
        <w:t>”.</w:t>
      </w:r>
    </w:p>
    <w:p w:rsidR="00C32992" w:rsidRDefault="002F17BE">
      <w:pPr>
        <w:numPr>
          <w:ilvl w:val="0"/>
          <w:numId w:val="8"/>
        </w:numPr>
        <w:rPr>
          <w:rFonts w:ascii="Arial" w:hAnsi="Arial" w:cs="Arial"/>
          <w:lang w:val="uk-UA"/>
        </w:rPr>
      </w:pPr>
      <w:r>
        <w:rPr>
          <w:rFonts w:ascii="Arial" w:hAnsi="Arial" w:cs="Arial"/>
          <w:lang w:val="uk-UA"/>
        </w:rPr>
        <w:t xml:space="preserve">Контракт № 960219 від 20.02.1996 р. фірми </w:t>
      </w:r>
      <w:r>
        <w:rPr>
          <w:rFonts w:ascii="Arial" w:hAnsi="Arial" w:cs="Arial"/>
          <w:lang w:val="en-US"/>
        </w:rPr>
        <w:t>VIMEX</w:t>
      </w:r>
      <w:r>
        <w:rPr>
          <w:rFonts w:ascii="Arial" w:hAnsi="Arial" w:cs="Arial"/>
          <w:lang w:val="uk-UA"/>
        </w:rPr>
        <w:t xml:space="preserve"> </w:t>
      </w:r>
      <w:r>
        <w:rPr>
          <w:rFonts w:ascii="Arial" w:hAnsi="Arial" w:cs="Arial"/>
          <w:lang w:val="en-US"/>
        </w:rPr>
        <w:t>A</w:t>
      </w:r>
      <w:r>
        <w:rPr>
          <w:rFonts w:ascii="Arial" w:hAnsi="Arial" w:cs="Arial"/>
          <w:lang w:val="uk-UA"/>
        </w:rPr>
        <w:t>/</w:t>
      </w:r>
      <w:r>
        <w:rPr>
          <w:rFonts w:ascii="Arial" w:hAnsi="Arial" w:cs="Arial"/>
          <w:lang w:val="en-US"/>
        </w:rPr>
        <w:t>S</w:t>
      </w:r>
      <w:r>
        <w:rPr>
          <w:rFonts w:ascii="Arial" w:hAnsi="Arial" w:cs="Arial"/>
          <w:lang w:val="uk-UA"/>
        </w:rPr>
        <w:t xml:space="preserve"> (Норвегія) по постачанню заводу “Океан” (Україна, м. Миколаїв) комплекту давачів сигналізації рівней </w:t>
      </w:r>
      <w:r>
        <w:rPr>
          <w:rFonts w:ascii="Arial" w:hAnsi="Arial" w:cs="Arial"/>
          <w:lang w:val="en-US"/>
        </w:rPr>
        <w:t>NOR</w:t>
      </w:r>
      <w:r>
        <w:rPr>
          <w:rFonts w:ascii="Arial" w:hAnsi="Arial" w:cs="Arial"/>
          <w:lang w:val="uk-UA"/>
        </w:rPr>
        <w:t xml:space="preserve">2593 ( специфікація </w:t>
      </w:r>
      <w:r>
        <w:rPr>
          <w:rFonts w:ascii="Arial" w:hAnsi="Arial" w:cs="Arial"/>
          <w:lang w:val="en-US"/>
        </w:rPr>
        <w:t>VX</w:t>
      </w:r>
      <w:r>
        <w:rPr>
          <w:rFonts w:ascii="Arial" w:hAnsi="Arial" w:cs="Arial"/>
          <w:lang w:val="uk-UA"/>
        </w:rPr>
        <w:t>-3383.</w:t>
      </w:r>
      <w:r>
        <w:rPr>
          <w:rFonts w:ascii="Arial" w:hAnsi="Arial" w:cs="Arial"/>
          <w:lang w:val="en-US"/>
        </w:rPr>
        <w:t>Rev</w:t>
      </w:r>
      <w:r>
        <w:rPr>
          <w:rFonts w:ascii="Arial" w:hAnsi="Arial" w:cs="Arial"/>
          <w:lang w:val="uk-UA"/>
        </w:rPr>
        <w:t xml:space="preserve">. </w:t>
      </w:r>
      <w:r>
        <w:rPr>
          <w:rFonts w:ascii="Arial" w:hAnsi="Arial" w:cs="Arial"/>
          <w:lang w:val="en-US"/>
        </w:rPr>
        <w:t>B</w:t>
      </w:r>
      <w:r>
        <w:rPr>
          <w:rFonts w:ascii="Arial" w:hAnsi="Arial" w:cs="Arial"/>
          <w:lang w:val="uk-UA"/>
        </w:rPr>
        <w:t>-1) для суде проекту 17005.</w:t>
      </w:r>
    </w:p>
    <w:p w:rsidR="00C32992" w:rsidRDefault="002F17BE">
      <w:pPr>
        <w:numPr>
          <w:ilvl w:val="0"/>
          <w:numId w:val="8"/>
        </w:numPr>
        <w:rPr>
          <w:rFonts w:ascii="Arial" w:hAnsi="Arial" w:cs="Arial"/>
          <w:lang w:val="uk-UA"/>
        </w:rPr>
      </w:pPr>
      <w:r>
        <w:rPr>
          <w:rFonts w:ascii="Arial" w:hAnsi="Arial" w:cs="Arial"/>
          <w:lang w:val="uk-UA"/>
        </w:rPr>
        <w:t>Saab TankRadar. The new generation G3. Technical Description/Combitech Group Saab Marine Electronics. Third Edition, March, 1996 – 48 p.</w:t>
      </w:r>
    </w:p>
    <w:p w:rsidR="00C32992" w:rsidRDefault="002F17BE">
      <w:pPr>
        <w:numPr>
          <w:ilvl w:val="0"/>
          <w:numId w:val="8"/>
        </w:numPr>
        <w:rPr>
          <w:rFonts w:ascii="Arial" w:hAnsi="Arial" w:cs="Arial"/>
          <w:lang w:val="uk-UA"/>
        </w:rPr>
      </w:pPr>
      <w:r>
        <w:rPr>
          <w:rFonts w:ascii="Arial" w:hAnsi="Arial" w:cs="Arial"/>
          <w:lang w:val="uk-UA"/>
        </w:rPr>
        <w:t xml:space="preserve">The </w:t>
      </w:r>
      <w:r>
        <w:rPr>
          <w:rFonts w:ascii="Arial" w:hAnsi="Arial" w:cs="Arial"/>
          <w:lang w:val="en-US"/>
        </w:rPr>
        <w:t>N</w:t>
      </w:r>
      <w:r>
        <w:rPr>
          <w:rFonts w:ascii="Arial" w:hAnsi="Arial" w:cs="Arial"/>
          <w:lang w:val="uk-UA"/>
        </w:rPr>
        <w:t>ew Saab TankRadar gives even more. Рекламний буклет фірми.</w:t>
      </w:r>
    </w:p>
    <w:p w:rsidR="00C32992" w:rsidRDefault="002F17BE">
      <w:pPr>
        <w:numPr>
          <w:ilvl w:val="0"/>
          <w:numId w:val="8"/>
        </w:numPr>
        <w:rPr>
          <w:rFonts w:ascii="Arial" w:hAnsi="Arial" w:cs="Arial"/>
          <w:lang w:val="uk-UA"/>
        </w:rPr>
      </w:pPr>
      <w:r>
        <w:rPr>
          <w:rFonts w:ascii="Arial" w:hAnsi="Arial" w:cs="Arial"/>
          <w:lang w:val="uk-UA"/>
        </w:rPr>
        <w:t>Рекламні проспекти фірм “</w:t>
      </w:r>
      <w:r>
        <w:rPr>
          <w:rFonts w:ascii="Arial" w:hAnsi="Arial" w:cs="Arial"/>
          <w:lang w:val="en-US"/>
        </w:rPr>
        <w:t>SF</w:t>
      </w:r>
      <w:r>
        <w:rPr>
          <w:rFonts w:ascii="Arial" w:hAnsi="Arial" w:cs="Arial"/>
          <w:lang w:val="uk-UA"/>
        </w:rPr>
        <w:t xml:space="preserve"> </w:t>
      </w:r>
      <w:r>
        <w:rPr>
          <w:rFonts w:ascii="Arial" w:hAnsi="Arial" w:cs="Arial"/>
          <w:lang w:val="en-US"/>
        </w:rPr>
        <w:t>CONTROL</w:t>
      </w:r>
      <w:r>
        <w:rPr>
          <w:rFonts w:ascii="Arial" w:hAnsi="Arial" w:cs="Arial"/>
          <w:lang w:val="uk-UA"/>
        </w:rPr>
        <w:t xml:space="preserve">” (Фінляндія) та </w:t>
      </w:r>
      <w:r>
        <w:rPr>
          <w:rFonts w:ascii="Arial" w:hAnsi="Arial" w:cs="Arial"/>
          <w:lang w:val="en-US"/>
        </w:rPr>
        <w:t>VIMEX</w:t>
      </w:r>
      <w:r>
        <w:rPr>
          <w:rFonts w:ascii="Arial" w:hAnsi="Arial" w:cs="Arial"/>
          <w:lang w:val="uk-UA"/>
        </w:rPr>
        <w:t xml:space="preserve"> </w:t>
      </w:r>
      <w:r>
        <w:rPr>
          <w:rFonts w:ascii="Arial" w:hAnsi="Arial" w:cs="Arial"/>
          <w:lang w:val="en-US"/>
        </w:rPr>
        <w:t>A</w:t>
      </w:r>
      <w:r>
        <w:rPr>
          <w:rFonts w:ascii="Arial" w:hAnsi="Arial" w:cs="Arial"/>
          <w:lang w:val="uk-UA"/>
        </w:rPr>
        <w:t>/</w:t>
      </w:r>
      <w:r>
        <w:rPr>
          <w:rFonts w:ascii="Arial" w:hAnsi="Arial" w:cs="Arial"/>
          <w:lang w:val="en-US"/>
        </w:rPr>
        <w:t>S</w:t>
      </w:r>
      <w:r>
        <w:rPr>
          <w:rFonts w:ascii="Arial" w:hAnsi="Arial" w:cs="Arial"/>
          <w:lang w:val="uk-UA"/>
        </w:rPr>
        <w:t xml:space="preserve"> (Норвегія).</w:t>
      </w:r>
    </w:p>
    <w:p w:rsidR="00C32992" w:rsidRDefault="00C32992">
      <w:pPr>
        <w:rPr>
          <w:rFonts w:ascii="Arial" w:hAnsi="Arial" w:cs="Arial"/>
          <w:lang w:val="uk-UA"/>
        </w:rPr>
      </w:pPr>
    </w:p>
    <w:p w:rsidR="00C32992" w:rsidRDefault="00C32992">
      <w:pPr>
        <w:rPr>
          <w:rFonts w:ascii="Arial" w:hAnsi="Arial" w:cs="Arial"/>
          <w:lang w:val="uk-UA"/>
        </w:rPr>
      </w:pPr>
    </w:p>
    <w:p w:rsidR="00C32992" w:rsidRDefault="00C32992">
      <w:pPr>
        <w:rPr>
          <w:rFonts w:ascii="Arial" w:hAnsi="Arial" w:cs="Arial"/>
          <w:lang w:val="uk-UA"/>
        </w:rPr>
      </w:pPr>
    </w:p>
    <w:p w:rsidR="00C32992" w:rsidRDefault="00C32992">
      <w:pPr>
        <w:rPr>
          <w:rFonts w:ascii="Arial" w:hAnsi="Arial" w:cs="Arial"/>
          <w:lang w:val="uk-UA"/>
        </w:rPr>
      </w:pPr>
    </w:p>
    <w:p w:rsidR="00C32992" w:rsidRDefault="00C32992">
      <w:pPr>
        <w:rPr>
          <w:rFonts w:ascii="Arial" w:hAnsi="Arial" w:cs="Arial"/>
          <w:lang w:val="uk-UA"/>
        </w:rPr>
      </w:pPr>
    </w:p>
    <w:p w:rsidR="00C32992" w:rsidRDefault="00C32992">
      <w:pPr>
        <w:rPr>
          <w:rFonts w:ascii="Arial" w:hAnsi="Arial" w:cs="Arial"/>
          <w:lang w:val="uk-UA"/>
        </w:rPr>
      </w:pPr>
    </w:p>
    <w:p w:rsidR="00C32992" w:rsidRDefault="00C32992">
      <w:pPr>
        <w:rPr>
          <w:rFonts w:ascii="Arial" w:hAnsi="Arial" w:cs="Arial"/>
          <w:lang w:val="uk-UA"/>
        </w:rPr>
      </w:pPr>
    </w:p>
    <w:p w:rsidR="00C32992" w:rsidRDefault="002F17BE">
      <w:pPr>
        <w:pStyle w:val="4"/>
        <w:rPr>
          <w:rFonts w:ascii="Arial" w:hAnsi="Arial" w:cs="Arial"/>
          <w:sz w:val="28"/>
          <w:lang w:val="en-US"/>
        </w:rPr>
      </w:pPr>
      <w:r>
        <w:rPr>
          <w:rFonts w:ascii="Arial" w:hAnsi="Arial" w:cs="Arial"/>
          <w:sz w:val="28"/>
        </w:rPr>
        <w:t xml:space="preserve">По техніко-економічних характеристиках систем </w:t>
      </w:r>
    </w:p>
    <w:p w:rsidR="00C32992" w:rsidRDefault="002F17BE">
      <w:pPr>
        <w:pStyle w:val="4"/>
        <w:rPr>
          <w:rFonts w:ascii="Arial" w:hAnsi="Arial" w:cs="Arial"/>
          <w:sz w:val="28"/>
        </w:rPr>
      </w:pPr>
      <w:r>
        <w:rPr>
          <w:rFonts w:ascii="Arial" w:hAnsi="Arial" w:cs="Arial"/>
          <w:sz w:val="28"/>
        </w:rPr>
        <w:t>газо-плазморізальних</w:t>
      </w:r>
      <w:r>
        <w:rPr>
          <w:rFonts w:ascii="Arial" w:hAnsi="Arial" w:cs="Arial"/>
          <w:sz w:val="28"/>
          <w:lang w:val="ru-RU"/>
        </w:rPr>
        <w:t xml:space="preserve"> </w:t>
      </w:r>
      <w:r>
        <w:rPr>
          <w:rFonts w:ascii="Arial" w:hAnsi="Arial" w:cs="Arial"/>
          <w:sz w:val="28"/>
        </w:rPr>
        <w:t>машин “Кристал” і аналогів.</w:t>
      </w:r>
    </w:p>
    <w:p w:rsidR="00C32992" w:rsidRDefault="00C32992">
      <w:pPr>
        <w:jc w:val="center"/>
        <w:rPr>
          <w:rFonts w:ascii="Arial" w:hAnsi="Arial" w:cs="Arial"/>
          <w:b/>
          <w:lang w:val="uk-UA"/>
        </w:rPr>
      </w:pPr>
    </w:p>
    <w:p w:rsidR="00C32992" w:rsidRDefault="002F17BE">
      <w:pPr>
        <w:numPr>
          <w:ilvl w:val="0"/>
          <w:numId w:val="9"/>
        </w:numPr>
        <w:rPr>
          <w:rFonts w:ascii="Arial" w:hAnsi="Arial" w:cs="Arial"/>
          <w:lang w:val="ru-RU"/>
        </w:rPr>
      </w:pPr>
      <w:r>
        <w:rPr>
          <w:rFonts w:ascii="Arial" w:hAnsi="Arial" w:cs="Arial"/>
          <w:lang w:val="ru-RU"/>
        </w:rPr>
        <w:t>Матеріали ВАТ “Завод “Кристал” (Україна, м. Миколаїв)</w:t>
      </w:r>
    </w:p>
    <w:p w:rsidR="00C32992" w:rsidRDefault="002F17BE">
      <w:pPr>
        <w:numPr>
          <w:ilvl w:val="0"/>
          <w:numId w:val="9"/>
        </w:numPr>
        <w:rPr>
          <w:rFonts w:ascii="Arial" w:hAnsi="Arial" w:cs="Arial"/>
          <w:lang w:val="ru-RU"/>
        </w:rPr>
      </w:pPr>
      <w:r>
        <w:rPr>
          <w:rFonts w:ascii="Arial" w:hAnsi="Arial" w:cs="Arial"/>
          <w:lang w:val="uk-UA"/>
        </w:rPr>
        <w:t>Комерційна пропозиція фірми “</w:t>
      </w:r>
      <w:r>
        <w:rPr>
          <w:rFonts w:ascii="Arial" w:hAnsi="Arial" w:cs="Arial"/>
          <w:lang w:val="en-US"/>
        </w:rPr>
        <w:t>ESAB</w:t>
      </w:r>
      <w:r>
        <w:rPr>
          <w:rFonts w:ascii="Arial" w:hAnsi="Arial" w:cs="Arial"/>
          <w:lang w:val="ru-RU"/>
        </w:rPr>
        <w:t>-</w:t>
      </w:r>
      <w:r>
        <w:rPr>
          <w:rFonts w:ascii="Arial" w:hAnsi="Arial" w:cs="Arial"/>
          <w:lang w:val="en-US"/>
        </w:rPr>
        <w:t>HANCOCK</w:t>
      </w:r>
      <w:r>
        <w:rPr>
          <w:rFonts w:ascii="Arial" w:hAnsi="Arial" w:cs="Arial"/>
          <w:lang w:val="ru-RU"/>
        </w:rPr>
        <w:t xml:space="preserve"> </w:t>
      </w:r>
      <w:r>
        <w:rPr>
          <w:rFonts w:ascii="Arial" w:hAnsi="Arial" w:cs="Arial"/>
          <w:lang w:val="en-US"/>
        </w:rPr>
        <w:t>GmbH</w:t>
      </w:r>
      <w:r>
        <w:rPr>
          <w:rFonts w:ascii="Arial" w:hAnsi="Arial" w:cs="Arial"/>
          <w:lang w:val="uk-UA"/>
        </w:rPr>
        <w:t>” (Німеччина) Мінському тракторному заводу (Республіка Білорусь) № 073-990242/001 від 30.03.1999 р.</w:t>
      </w:r>
    </w:p>
    <w:p w:rsidR="00C32992" w:rsidRDefault="002F17BE">
      <w:pPr>
        <w:numPr>
          <w:ilvl w:val="0"/>
          <w:numId w:val="9"/>
        </w:numPr>
        <w:rPr>
          <w:rFonts w:ascii="Arial" w:hAnsi="Arial" w:cs="Arial"/>
          <w:lang w:val="uk-UA"/>
        </w:rPr>
      </w:pPr>
      <w:r>
        <w:rPr>
          <w:rFonts w:ascii="Arial" w:hAnsi="Arial" w:cs="Arial"/>
          <w:lang w:val="ru-RU"/>
        </w:rPr>
        <w:t>Рекламний проспект фірми “</w:t>
      </w:r>
      <w:r>
        <w:rPr>
          <w:rFonts w:ascii="Arial" w:hAnsi="Arial" w:cs="Arial"/>
          <w:lang w:val="en-US"/>
        </w:rPr>
        <w:t>Messer</w:t>
      </w:r>
      <w:r>
        <w:rPr>
          <w:rFonts w:ascii="Arial" w:hAnsi="Arial" w:cs="Arial"/>
          <w:lang w:val="ru-RU"/>
        </w:rPr>
        <w:t xml:space="preserve"> </w:t>
      </w:r>
      <w:r>
        <w:rPr>
          <w:rFonts w:ascii="Arial" w:hAnsi="Arial" w:cs="Arial"/>
          <w:lang w:val="en-US"/>
        </w:rPr>
        <w:t>Griesheim</w:t>
      </w:r>
      <w:r>
        <w:rPr>
          <w:rFonts w:ascii="Arial" w:hAnsi="Arial" w:cs="Arial"/>
          <w:lang w:val="ru-RU"/>
        </w:rPr>
        <w:t xml:space="preserve"> </w:t>
      </w:r>
      <w:r>
        <w:rPr>
          <w:rFonts w:ascii="Arial" w:hAnsi="Arial" w:cs="Arial"/>
          <w:lang w:val="en-US"/>
        </w:rPr>
        <w:t>GmbH</w:t>
      </w:r>
      <w:r>
        <w:rPr>
          <w:rFonts w:ascii="Arial" w:hAnsi="Arial" w:cs="Arial"/>
          <w:lang w:val="uk-UA"/>
        </w:rPr>
        <w:t>” (Німеччина).</w:t>
      </w:r>
    </w:p>
    <w:p w:rsidR="00C32992" w:rsidRDefault="002F17BE">
      <w:pPr>
        <w:numPr>
          <w:ilvl w:val="0"/>
          <w:numId w:val="9"/>
        </w:numPr>
        <w:rPr>
          <w:rFonts w:ascii="Arial" w:hAnsi="Arial" w:cs="Arial"/>
          <w:lang w:val="uk-UA"/>
        </w:rPr>
      </w:pPr>
      <w:r>
        <w:rPr>
          <w:rFonts w:ascii="Arial" w:hAnsi="Arial" w:cs="Arial"/>
          <w:lang w:val="uk-UA"/>
        </w:rPr>
        <w:t>Комерційна пропозиція ТОВ “Науково-виробнича фірма “Технолазер” Орловському заводу екскаваторів (Російська федерація, м.Орел) № 322 від 14.08.2000 р.</w:t>
      </w:r>
    </w:p>
    <w:p w:rsidR="00C32992" w:rsidRDefault="00C32992">
      <w:pPr>
        <w:rPr>
          <w:rFonts w:ascii="Arial" w:hAnsi="Arial" w:cs="Arial"/>
          <w:lang w:val="uk-UA"/>
        </w:rPr>
      </w:pPr>
    </w:p>
    <w:p w:rsidR="00C32992" w:rsidRDefault="002F17BE">
      <w:pPr>
        <w:jc w:val="center"/>
        <w:rPr>
          <w:rFonts w:ascii="Arial" w:hAnsi="Arial" w:cs="Arial"/>
          <w:b/>
          <w:lang w:val="uk-UA"/>
        </w:rPr>
      </w:pPr>
      <w:r>
        <w:rPr>
          <w:rFonts w:ascii="Arial" w:hAnsi="Arial" w:cs="Arial"/>
          <w:b/>
          <w:lang w:val="uk-UA"/>
        </w:rPr>
        <w:t>Інші.</w:t>
      </w:r>
    </w:p>
    <w:p w:rsidR="00C32992" w:rsidRDefault="002F17BE">
      <w:pPr>
        <w:pStyle w:val="20"/>
        <w:numPr>
          <w:ilvl w:val="0"/>
          <w:numId w:val="10"/>
        </w:numPr>
      </w:pPr>
      <w:r>
        <w:t>Жуков Ю.Д., Гордєєв Б.М. Методи поліметрії та контроль параметрів зберігання зерна. Журнал “Зберігання й переробка зерна” 2000 № 8, стор. 31-33.</w:t>
      </w:r>
    </w:p>
    <w:p w:rsidR="00C32992" w:rsidRDefault="002F17BE">
      <w:pPr>
        <w:pStyle w:val="20"/>
        <w:numPr>
          <w:ilvl w:val="0"/>
          <w:numId w:val="10"/>
        </w:numPr>
      </w:pPr>
      <w:r>
        <w:t>Гордєєв Б.М., Жуков Ю.Д., Попович М.М. З досвіду експлуатації системи автоматизованого дистанційного контролю параметрів зберігання зерна. Журнал “Зберігання й переробка зерна” 2001 № 5, стор. 51-52.</w:t>
      </w:r>
    </w:p>
    <w:p w:rsidR="00C32992" w:rsidRDefault="00C32992">
      <w:pPr>
        <w:ind w:left="567"/>
        <w:rPr>
          <w:rFonts w:ascii="Arial" w:hAnsi="Arial" w:cs="Arial"/>
          <w:lang w:val="uk-UA"/>
        </w:rPr>
      </w:pPr>
    </w:p>
    <w:p w:rsidR="00C32992" w:rsidRDefault="002F17BE">
      <w:pPr>
        <w:ind w:left="360"/>
        <w:jc w:val="both"/>
        <w:rPr>
          <w:rFonts w:ascii="Arial" w:hAnsi="Arial" w:cs="Arial"/>
          <w:lang w:val="uk-UA"/>
        </w:rPr>
      </w:pPr>
      <w:r>
        <w:rPr>
          <w:rFonts w:ascii="Arial" w:hAnsi="Arial" w:cs="Arial"/>
          <w:lang w:val="uk-UA"/>
        </w:rPr>
        <w:t>Таблиця №3.</w:t>
      </w:r>
    </w:p>
    <w:p w:rsidR="00C32992" w:rsidRDefault="002F17BE">
      <w:pPr>
        <w:ind w:left="360"/>
        <w:jc w:val="both"/>
        <w:rPr>
          <w:rFonts w:ascii="Arial" w:hAnsi="Arial" w:cs="Arial"/>
          <w:lang w:val="uk-UA"/>
        </w:rPr>
      </w:pPr>
      <w:r>
        <w:rPr>
          <w:rFonts w:ascii="Arial" w:hAnsi="Arial" w:cs="Arial"/>
          <w:lang w:val="uk-UA"/>
        </w:rPr>
        <w:t xml:space="preserve">Джерело – </w:t>
      </w:r>
      <w:r>
        <w:rPr>
          <w:rFonts w:ascii="Arial" w:hAnsi="Arial" w:cs="Arial"/>
          <w:lang w:val="ru-RU"/>
        </w:rPr>
        <w:t>[</w:t>
      </w:r>
      <w:r>
        <w:rPr>
          <w:rFonts w:ascii="Arial" w:hAnsi="Arial" w:cs="Arial"/>
          <w:lang w:val="uk-UA"/>
        </w:rPr>
        <w:t>4</w:t>
      </w:r>
      <w:r>
        <w:rPr>
          <w:rFonts w:ascii="Arial" w:hAnsi="Arial" w:cs="Arial"/>
          <w:lang w:val="ru-RU"/>
        </w:rPr>
        <w:t>]</w:t>
      </w:r>
      <w:r>
        <w:rPr>
          <w:rFonts w:ascii="Arial" w:hAnsi="Arial" w:cs="Arial"/>
          <w:lang w:val="uk-UA"/>
        </w:rPr>
        <w:t xml:space="preserve"> в основному списку літератури.</w:t>
      </w: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p>
    <w:p w:rsidR="00C32992" w:rsidRDefault="00C32992">
      <w:pPr>
        <w:ind w:left="360"/>
        <w:jc w:val="both"/>
        <w:rPr>
          <w:rFonts w:ascii="Arial" w:hAnsi="Arial" w:cs="Arial"/>
          <w:lang w:val="uk-UA"/>
        </w:rPr>
      </w:pPr>
      <w:bookmarkStart w:id="0" w:name="_GoBack"/>
      <w:bookmarkEnd w:id="0"/>
    </w:p>
    <w:sectPr w:rsidR="00C329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002C8"/>
    <w:multiLevelType w:val="singleLevel"/>
    <w:tmpl w:val="C8285552"/>
    <w:lvl w:ilvl="0">
      <w:start w:val="1"/>
      <w:numFmt w:val="decimal"/>
      <w:lvlText w:val="%1."/>
      <w:lvlJc w:val="left"/>
      <w:pPr>
        <w:tabs>
          <w:tab w:val="num" w:pos="927"/>
        </w:tabs>
        <w:ind w:left="927" w:hanging="360"/>
      </w:pPr>
      <w:rPr>
        <w:rFonts w:hint="default"/>
      </w:rPr>
    </w:lvl>
  </w:abstractNum>
  <w:abstractNum w:abstractNumId="1">
    <w:nsid w:val="1CE24F9A"/>
    <w:multiLevelType w:val="hybridMultilevel"/>
    <w:tmpl w:val="DBFE5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8A4E26"/>
    <w:multiLevelType w:val="hybridMultilevel"/>
    <w:tmpl w:val="8C504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5D1518"/>
    <w:multiLevelType w:val="hybridMultilevel"/>
    <w:tmpl w:val="0BEEFD4E"/>
    <w:lvl w:ilvl="0" w:tplc="9A985C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2B68DB"/>
    <w:multiLevelType w:val="hybridMultilevel"/>
    <w:tmpl w:val="71D0A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1B7ADE"/>
    <w:multiLevelType w:val="hybridMultilevel"/>
    <w:tmpl w:val="8DB6111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7D03B0"/>
    <w:multiLevelType w:val="hybridMultilevel"/>
    <w:tmpl w:val="27D6C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AA52A0"/>
    <w:multiLevelType w:val="singleLevel"/>
    <w:tmpl w:val="375C5658"/>
    <w:lvl w:ilvl="0">
      <w:numFmt w:val="bullet"/>
      <w:lvlText w:val="-"/>
      <w:lvlJc w:val="left"/>
      <w:pPr>
        <w:tabs>
          <w:tab w:val="num" w:pos="360"/>
        </w:tabs>
        <w:ind w:left="360" w:hanging="360"/>
      </w:pPr>
      <w:rPr>
        <w:rFonts w:hint="default"/>
      </w:rPr>
    </w:lvl>
  </w:abstractNum>
  <w:abstractNum w:abstractNumId="8">
    <w:nsid w:val="68B42164"/>
    <w:multiLevelType w:val="singleLevel"/>
    <w:tmpl w:val="3DE27462"/>
    <w:lvl w:ilvl="0">
      <w:start w:val="1"/>
      <w:numFmt w:val="decimal"/>
      <w:lvlText w:val="%1."/>
      <w:lvlJc w:val="left"/>
      <w:pPr>
        <w:tabs>
          <w:tab w:val="num" w:pos="927"/>
        </w:tabs>
        <w:ind w:left="927" w:hanging="360"/>
      </w:pPr>
      <w:rPr>
        <w:rFonts w:hint="default"/>
      </w:rPr>
    </w:lvl>
  </w:abstractNum>
  <w:abstractNum w:abstractNumId="9">
    <w:nsid w:val="72DF1886"/>
    <w:multiLevelType w:val="singleLevel"/>
    <w:tmpl w:val="F07E9F02"/>
    <w:lvl w:ilvl="0">
      <w:start w:val="1"/>
      <w:numFmt w:val="decimal"/>
      <w:lvlText w:val="%1."/>
      <w:lvlJc w:val="left"/>
      <w:pPr>
        <w:tabs>
          <w:tab w:val="num" w:pos="927"/>
        </w:tabs>
        <w:ind w:left="927" w:hanging="360"/>
      </w:pPr>
      <w:rPr>
        <w:rFonts w:hint="default"/>
      </w:rPr>
    </w:lvl>
  </w:abstractNum>
  <w:num w:numId="1">
    <w:abstractNumId w:val="2"/>
  </w:num>
  <w:num w:numId="2">
    <w:abstractNumId w:val="6"/>
  </w:num>
  <w:num w:numId="3">
    <w:abstractNumId w:val="3"/>
  </w:num>
  <w:num w:numId="4">
    <w:abstractNumId w:val="1"/>
  </w:num>
  <w:num w:numId="5">
    <w:abstractNumId w:val="7"/>
  </w:num>
  <w:num w:numId="6">
    <w:abstractNumId w:val="5"/>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7BE"/>
    <w:rsid w:val="002F17BE"/>
    <w:rsid w:val="00C26FD3"/>
    <w:rsid w:val="00C3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3A16E-FB75-4E71-944A-55B1FB69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next w:val="a"/>
    <w:qFormat/>
    <w:pPr>
      <w:keepNext/>
      <w:jc w:val="center"/>
      <w:outlineLvl w:val="0"/>
    </w:pPr>
    <w:rPr>
      <w:szCs w:val="20"/>
      <w:lang w:val="uk-UA"/>
    </w:rPr>
  </w:style>
  <w:style w:type="paragraph" w:styleId="2">
    <w:name w:val="heading 2"/>
    <w:basedOn w:val="a"/>
    <w:next w:val="a"/>
    <w:qFormat/>
    <w:pPr>
      <w:keepNext/>
      <w:ind w:firstLine="567"/>
      <w:jc w:val="center"/>
      <w:outlineLvl w:val="1"/>
    </w:pPr>
    <w:rPr>
      <w:b/>
      <w:szCs w:val="20"/>
      <w:lang w:val="uk-UA"/>
    </w:rPr>
  </w:style>
  <w:style w:type="paragraph" w:styleId="3">
    <w:name w:val="heading 3"/>
    <w:basedOn w:val="a"/>
    <w:next w:val="a"/>
    <w:qFormat/>
    <w:pPr>
      <w:keepNext/>
      <w:jc w:val="both"/>
      <w:outlineLvl w:val="2"/>
    </w:pPr>
    <w:rPr>
      <w:rFonts w:ascii="Arial" w:hAnsi="Arial" w:cs="Arial"/>
      <w:i/>
      <w:iCs/>
      <w:lang w:val="uk-UA"/>
    </w:rPr>
  </w:style>
  <w:style w:type="paragraph" w:styleId="4">
    <w:name w:val="heading 4"/>
    <w:basedOn w:val="a"/>
    <w:next w:val="a"/>
    <w:qFormat/>
    <w:pPr>
      <w:keepNext/>
      <w:jc w:val="center"/>
      <w:outlineLvl w:val="3"/>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rPr>
      <w:sz w:val="28"/>
      <w:lang w:val="uk-UA"/>
    </w:rPr>
  </w:style>
  <w:style w:type="paragraph" w:styleId="a4">
    <w:name w:val="Body Text"/>
    <w:basedOn w:val="a"/>
    <w:semiHidden/>
    <w:pPr>
      <w:jc w:val="both"/>
    </w:pPr>
    <w:rPr>
      <w:rFonts w:ascii="Arial" w:hAnsi="Arial" w:cs="Arial"/>
      <w:lang w:val="uk-UA"/>
    </w:rPr>
  </w:style>
  <w:style w:type="paragraph" w:styleId="20">
    <w:name w:val="Body Text Indent 2"/>
    <w:basedOn w:val="a"/>
    <w:semiHidden/>
    <w:pPr>
      <w:ind w:firstLine="540"/>
      <w:jc w:val="both"/>
    </w:pPr>
    <w:rPr>
      <w:rFonts w:ascii="Arial" w:hAnsi="Arial" w:cs="Arial"/>
      <w:lang w:val="uk-UA"/>
    </w:rPr>
  </w:style>
  <w:style w:type="paragraph" w:styleId="30">
    <w:name w:val="Body Text Indent 3"/>
    <w:basedOn w:val="a"/>
    <w:semiHidden/>
    <w:pPr>
      <w:ind w:left="360"/>
      <w:jc w:val="both"/>
    </w:pPr>
    <w:rPr>
      <w:rFonts w:ascii="Arial" w:hAnsi="Arial" w:cs="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4556</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Економіка. Банківська справа</Manager>
  <Company>Економіка. Банківська справа</Company>
  <LinksUpToDate>false</LinksUpToDate>
  <CharactersWithSpaces>30471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2014-05-11T11:58:00Z</dcterms:created>
  <dcterms:modified xsi:type="dcterms:W3CDTF">2014-05-11T11:58:00Z</dcterms:modified>
  <cp:category>Економіка. Банківська справа</cp:category>
</cp:coreProperties>
</file>