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23" w:rsidRDefault="00FB1C23">
      <w:pPr>
        <w:spacing w:line="360" w:lineRule="auto"/>
        <w:ind w:left="1080" w:right="1000" w:firstLine="567"/>
        <w:jc w:val="center"/>
        <w:rPr>
          <w:b/>
          <w:bCs/>
          <w:sz w:val="56"/>
          <w:szCs w:val="28"/>
        </w:rPr>
      </w:pPr>
    </w:p>
    <w:p w:rsidR="00FB1C23" w:rsidRDefault="00FB1C23">
      <w:pPr>
        <w:spacing w:line="360" w:lineRule="auto"/>
        <w:ind w:left="1080" w:right="1000" w:firstLine="567"/>
        <w:jc w:val="center"/>
        <w:rPr>
          <w:b/>
          <w:bCs/>
          <w:sz w:val="56"/>
          <w:szCs w:val="28"/>
        </w:rPr>
      </w:pPr>
    </w:p>
    <w:p w:rsidR="00FB1C23" w:rsidRDefault="00FB1C23">
      <w:pPr>
        <w:spacing w:line="360" w:lineRule="auto"/>
        <w:ind w:left="1080" w:right="1000" w:firstLine="567"/>
        <w:jc w:val="center"/>
        <w:rPr>
          <w:b/>
          <w:bCs/>
          <w:sz w:val="56"/>
          <w:szCs w:val="28"/>
        </w:rPr>
      </w:pPr>
    </w:p>
    <w:p w:rsidR="00FB1C23" w:rsidRDefault="00FB1C23">
      <w:pPr>
        <w:spacing w:line="360" w:lineRule="auto"/>
        <w:ind w:left="1080" w:right="1000" w:firstLine="567"/>
        <w:jc w:val="center"/>
        <w:rPr>
          <w:b/>
          <w:bCs/>
          <w:sz w:val="56"/>
          <w:szCs w:val="28"/>
        </w:rPr>
      </w:pPr>
    </w:p>
    <w:p w:rsidR="00FB1C23" w:rsidRDefault="00FA6E0E">
      <w:pPr>
        <w:spacing w:line="360" w:lineRule="auto"/>
        <w:ind w:left="1080" w:right="1000" w:firstLine="567"/>
        <w:jc w:val="center"/>
        <w:rPr>
          <w:b/>
          <w:bCs/>
          <w:sz w:val="56"/>
          <w:szCs w:val="28"/>
        </w:rPr>
      </w:pPr>
      <w:r>
        <w:rPr>
          <w:b/>
          <w:bCs/>
          <w:sz w:val="56"/>
          <w:szCs w:val="28"/>
        </w:rPr>
        <w:t>Реферат на тему:</w:t>
      </w:r>
    </w:p>
    <w:p w:rsidR="00FB1C23" w:rsidRDefault="00FA6E0E">
      <w:pPr>
        <w:pStyle w:val="a3"/>
      </w:pPr>
      <w:r>
        <w:t>ОБҐРУНТУВАННЯ ВИРОБНИЧОЇ ПРОГРАМИ ВИРОБНИЧОЮ ПОТУЖНІСТЮ</w:t>
      </w:r>
    </w:p>
    <w:p w:rsidR="00FB1C23" w:rsidRDefault="00FB1C23">
      <w:pPr>
        <w:spacing w:before="260" w:line="360" w:lineRule="auto"/>
        <w:ind w:left="120" w:firstLine="567"/>
        <w:rPr>
          <w:sz w:val="28"/>
          <w:szCs w:val="28"/>
        </w:rPr>
        <w:sectPr w:rsidR="00FB1C2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1C23" w:rsidRDefault="00FA6E0E">
      <w:pPr>
        <w:spacing w:before="260" w:line="360" w:lineRule="auto"/>
        <w:ind w:left="120" w:firstLine="567"/>
        <w:rPr>
          <w:sz w:val="28"/>
          <w:szCs w:val="28"/>
        </w:rPr>
      </w:pPr>
      <w:r>
        <w:rPr>
          <w:sz w:val="28"/>
          <w:szCs w:val="28"/>
        </w:rPr>
        <w:t>Виробнича потужність підрозділів, виражена безпосередньо в зсязі продукції, обчислюється для умов однопродуктового виробництва за формулою:</w:t>
      </w:r>
    </w:p>
    <w:p w:rsidR="00FB1C23" w:rsidRDefault="00FA6E0E">
      <w:pPr>
        <w:pStyle w:val="FR4"/>
        <w:spacing w:before="30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 o:ole="" fillcolor="window">
            <v:imagedata r:id="rId5" o:title=""/>
          </v:shape>
          <o:OLEObject Type="Embed" ProgID="Equation.3" ShapeID="_x0000_i1025" DrawAspect="Content" ObjectID="_1459134174" r:id="rId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FB1C23" w:rsidRDefault="00FA6E0E">
      <w:pPr>
        <w:spacing w:before="300"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де Nв.п — виробнича потужність групи взаємозамінних агрега</w:t>
      </w:r>
      <w:r>
        <w:rPr>
          <w:sz w:val="28"/>
          <w:szCs w:val="28"/>
        </w:rPr>
        <w:softHyphen/>
        <w:t>тів (верстатів) у натуральному виразі;</w:t>
      </w:r>
    </w:p>
    <w:p w:rsidR="00FB1C23" w:rsidRDefault="00FA6E0E">
      <w:pPr>
        <w:spacing w:line="360" w:lineRule="auto"/>
        <w:ind w:left="280" w:firstLine="567"/>
        <w:rPr>
          <w:sz w:val="28"/>
          <w:szCs w:val="28"/>
        </w:rPr>
      </w:pPr>
      <w:r>
        <w:rPr>
          <w:sz w:val="28"/>
          <w:szCs w:val="28"/>
        </w:rPr>
        <w:t>Тр — час роботи одного агрегату за розрахунковий період, год.;</w:t>
      </w:r>
    </w:p>
    <w:p w:rsidR="00FB1C23" w:rsidRDefault="00FA6E0E">
      <w:pPr>
        <w:spacing w:line="360" w:lineRule="auto"/>
        <w:ind w:left="280"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то —</w:t>
      </w:r>
      <w:r>
        <w:rPr>
          <w:sz w:val="28"/>
          <w:szCs w:val="28"/>
        </w:rPr>
        <w:t xml:space="preserve"> кількість однотипних взаємозамінних агрегатів у групі;</w:t>
      </w:r>
    </w:p>
    <w:p w:rsidR="00FB1C23" w:rsidRDefault="00FA6E0E">
      <w:pPr>
        <w:spacing w:line="360" w:lineRule="auto"/>
        <w:ind w:left="280"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t</w:t>
      </w:r>
      <w:r>
        <w:rPr>
          <w:i/>
          <w:iCs/>
          <w:sz w:val="20"/>
          <w:szCs w:val="20"/>
          <w:lang w:val="ru-RU"/>
        </w:rPr>
        <w:t>0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затрати часу на виготовлення одного виробу. Якщо </w:t>
      </w:r>
      <w:r>
        <w:rPr>
          <w:i/>
          <w:iCs/>
          <w:sz w:val="28"/>
          <w:szCs w:val="28"/>
        </w:rPr>
        <w:t>tо</w:t>
      </w:r>
      <w:r>
        <w:rPr>
          <w:sz w:val="28"/>
          <w:szCs w:val="28"/>
        </w:rPr>
        <w:t xml:space="preserve"> виражено в нормованому часі (машинні нормо-години) — t</w:t>
      </w:r>
      <w:r>
        <w:rPr>
          <w:sz w:val="20"/>
          <w:szCs w:val="20"/>
        </w:rPr>
        <w:t>н</w:t>
      </w:r>
      <w:r>
        <w:rPr>
          <w:sz w:val="28"/>
          <w:szCs w:val="28"/>
        </w:rPr>
        <w:t>, то</w:t>
      </w:r>
    </w:p>
    <w:p w:rsidR="00FB1C23" w:rsidRDefault="00FA6E0E">
      <w:pPr>
        <w:spacing w:before="40" w:line="360" w:lineRule="auto"/>
        <w:ind w:firstLine="567"/>
        <w:jc w:val="right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object w:dxaOrig="760" w:dyaOrig="720">
          <v:shape id="_x0000_i1026" type="#_x0000_t75" style="width:38.25pt;height:36pt" o:ole="" fillcolor="window">
            <v:imagedata r:id="rId7" o:title=""/>
          </v:shape>
          <o:OLEObject Type="Embed" ProgID="Equation.3" ShapeID="_x0000_i1026" DrawAspect="Content" ObjectID="_1459134175" r:id="rId8"/>
        </w:object>
      </w:r>
      <w:r>
        <w:rPr>
          <w:sz w:val="28"/>
          <w:szCs w:val="28"/>
          <w:lang w:val="ru-RU"/>
        </w:rPr>
        <w:t xml:space="preserve">                                                    (2)</w:t>
      </w:r>
    </w:p>
    <w:p w:rsidR="00FB1C23" w:rsidRDefault="00FA6E0E">
      <w:pPr>
        <w:spacing w:before="4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н — плановий (прогнозний) коефіцієнт виконання норм (береться переважно на досягнутому рівні).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 умов кількох груп устаткування, виробнича потужність ви</w:t>
      </w:r>
      <w:r>
        <w:rPr>
          <w:sz w:val="28"/>
          <w:szCs w:val="28"/>
        </w:rPr>
        <w:softHyphen/>
        <w:t>значається лімітуючою групою, якщо не передбачається заходів щодо її розширення.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Виробнича потужність системи взаємопов'язаних машин, що працюють за єдиним регламентованим ритмом (потокові, авто</w:t>
      </w:r>
      <w:r>
        <w:rPr>
          <w:sz w:val="28"/>
          <w:szCs w:val="28"/>
        </w:rPr>
        <w:softHyphen/>
        <w:t>матичні лінії), обчислюється за формулою:</w:t>
      </w:r>
    </w:p>
    <w:p w:rsidR="00FB1C23" w:rsidRDefault="00FA6E0E">
      <w:pPr>
        <w:pStyle w:val="FR4"/>
        <w:spacing w:before="36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27" type="#_x0000_t75" style="width:72.75pt;height:36pt" o:ole="" fillcolor="window">
            <v:imagedata r:id="rId5" o:title=""/>
          </v:shape>
          <o:OLEObject Type="Embed" ProgID="Equation.3" ShapeID="_x0000_i1027" DrawAspect="Content" ObjectID="_145913417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(3)</w:t>
      </w:r>
    </w:p>
    <w:p w:rsidR="00FB1C23" w:rsidRDefault="00FA6E0E">
      <w:pPr>
        <w:spacing w:before="2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де Тр — час роботи технологічної лінії за розрахунковий пері</w:t>
      </w:r>
      <w:r>
        <w:rPr>
          <w:sz w:val="28"/>
          <w:szCs w:val="28"/>
        </w:rPr>
        <w:softHyphen/>
        <w:t>од, год;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такт роботи лінії (проміжок часу, через який вироби схо</w:t>
      </w:r>
      <w:r>
        <w:rPr>
          <w:sz w:val="28"/>
          <w:szCs w:val="28"/>
        </w:rPr>
        <w:softHyphen/>
        <w:t>дять з лінії), хв.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виробничих підрозділах багатопродуктового виробництва з груповим розміщенням устаткування подібні обґрунтування мають форму порівнянних обчислень пропускної спроможнос</w:t>
      </w:r>
      <w:r>
        <w:rPr>
          <w:sz w:val="28"/>
          <w:szCs w:val="28"/>
        </w:rPr>
        <w:softHyphen/>
        <w:t>ті устаткування і його завантаження у машино-годинах. Від</w:t>
      </w:r>
      <w:r>
        <w:rPr>
          <w:sz w:val="28"/>
          <w:szCs w:val="28"/>
        </w:rPr>
        <w:softHyphen/>
        <w:t>ношення цих величин характеризує ступінь завантаження устат</w:t>
      </w:r>
      <w:r>
        <w:rPr>
          <w:sz w:val="28"/>
          <w:szCs w:val="28"/>
        </w:rPr>
        <w:softHyphen/>
        <w:t>кування.</w:t>
      </w:r>
    </w:p>
    <w:p w:rsidR="00FB1C23" w:rsidRDefault="00FA6E0E">
      <w:pPr>
        <w:spacing w:before="40" w:line="360" w:lineRule="auto"/>
        <w:ind w:firstLine="567"/>
        <w:jc w:val="center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object w:dxaOrig="880" w:dyaOrig="680">
          <v:shape id="_x0000_i1028" type="#_x0000_t75" style="width:44.25pt;height:33.75pt" o:ole="" fillcolor="window">
            <v:imagedata r:id="rId10" o:title=""/>
          </v:shape>
          <o:OLEObject Type="Embed" ProgID="Equation.3" ShapeID="_x0000_i1028" DrawAspect="Content" ObjectID="_1459134177" r:id="rId11"/>
        </w:object>
      </w:r>
    </w:p>
    <w:p w:rsidR="00FB1C23" w:rsidRDefault="00FA6E0E">
      <w:pPr>
        <w:spacing w:before="4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</w:rPr>
        <w:t>- коефіцієнт завантаження устаткування певної техно</w:t>
      </w:r>
      <w:r>
        <w:rPr>
          <w:sz w:val="28"/>
          <w:szCs w:val="28"/>
        </w:rPr>
        <w:softHyphen/>
        <w:t>логічної групи;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Тз — завантаження устаткування виробничою програмою у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плановому періоді, машино-годин;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0"/>
          <w:szCs w:val="20"/>
        </w:rPr>
        <w:t>п.с.</w:t>
      </w:r>
      <w:r>
        <w:rPr>
          <w:sz w:val="28"/>
          <w:szCs w:val="28"/>
        </w:rPr>
        <w:t xml:space="preserve"> — сумарний час роботи устаткування групи в плановому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періоді, який називають пропускною спроможністю цієї групи, машино-годин;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На практиці використовується й обернена величина цього по</w:t>
      </w:r>
      <w:r>
        <w:rPr>
          <w:sz w:val="28"/>
          <w:szCs w:val="28"/>
        </w:rPr>
        <w:softHyphen/>
        <w:t>казника (Тп.с./Тз). Останній показує, наскільки пропускна спромож</w:t>
      </w:r>
      <w:r>
        <w:rPr>
          <w:sz w:val="28"/>
          <w:szCs w:val="28"/>
        </w:rPr>
        <w:softHyphen/>
        <w:t>ність покриває завантаження устаткування і має назву коефіцієн</w:t>
      </w:r>
      <w:r>
        <w:rPr>
          <w:sz w:val="28"/>
          <w:szCs w:val="28"/>
        </w:rPr>
        <w:softHyphen/>
        <w:t>та пропускної спроможності (виробничої потужності).</w:t>
      </w:r>
    </w:p>
    <w:p w:rsidR="00FB1C23" w:rsidRDefault="00FA6E0E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Завантаження устаткування обчислюється на основі планового обсягу продукції і затрат часу на її обробку.</w:t>
      </w:r>
    </w:p>
    <w:p w:rsidR="00FB1C23" w:rsidRDefault="00FA6E0E">
      <w:pPr>
        <w:pStyle w:val="FR4"/>
        <w:spacing w:before="8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1300" w:dyaOrig="680">
          <v:shape id="_x0000_i1029" type="#_x0000_t75" style="width:65.25pt;height:33.75pt" o:ole="" fillcolor="window">
            <v:imagedata r:id="rId12" o:title=""/>
          </v:shape>
          <o:OLEObject Type="Embed" ProgID="Equation.3" ShapeID="_x0000_i1029" DrawAspect="Content" ObjectID="_145913417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(4)</w:t>
      </w:r>
    </w:p>
    <w:p w:rsidR="00FB1C23" w:rsidRDefault="00FA6E0E">
      <w:pPr>
        <w:spacing w:before="280"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>п —</w:t>
      </w:r>
      <w:r>
        <w:rPr>
          <w:sz w:val="28"/>
          <w:szCs w:val="28"/>
        </w:rPr>
        <w:t xml:space="preserve"> кількість найменувань виробів (деталей, комплектів), що обробляються на даній групі устаткування;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0"/>
          <w:szCs w:val="20"/>
          <w:lang w:val="en-US"/>
        </w:rPr>
        <w:t>i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кількість виробів </w:t>
      </w:r>
      <w:r>
        <w:rPr>
          <w:i/>
          <w:iCs/>
          <w:sz w:val="28"/>
          <w:szCs w:val="28"/>
        </w:rPr>
        <w:t>і-го</w:t>
      </w:r>
      <w:r>
        <w:rPr>
          <w:sz w:val="28"/>
          <w:szCs w:val="28"/>
        </w:rPr>
        <w:t xml:space="preserve"> найменування у натуральному виразі;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0"/>
          <w:szCs w:val="20"/>
          <w:lang w:val="en-US"/>
        </w:rPr>
        <w:t>i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 xml:space="preserve">затрати часу на обробку одного виробу </w:t>
      </w:r>
      <w:r>
        <w:rPr>
          <w:i/>
          <w:iCs/>
          <w:sz w:val="28"/>
          <w:szCs w:val="28"/>
        </w:rPr>
        <w:t>і-го</w:t>
      </w:r>
      <w:r>
        <w:rPr>
          <w:sz w:val="28"/>
          <w:szCs w:val="28"/>
        </w:rPr>
        <w:t xml:space="preserve"> найменування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даній групі устаткування, год.</w:t>
      </w:r>
    </w:p>
    <w:p w:rsidR="00FB1C23" w:rsidRDefault="00FA6E0E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Пропускна спроможність устаткування певної технологічної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групи визначається як добуток часу роботи одного агрегата (Tр) на їх кількість </w:t>
      </w:r>
      <w:r>
        <w:rPr>
          <w:i/>
          <w:iCs/>
          <w:sz w:val="28"/>
          <w:szCs w:val="28"/>
        </w:rPr>
        <w:t>(то).</w:t>
      </w:r>
    </w:p>
    <w:p w:rsidR="00FB1C23" w:rsidRDefault="00FA6E0E">
      <w:pPr>
        <w:pStyle w:val="FR4"/>
        <w:spacing w:before="80" w:line="360" w:lineRule="auto"/>
        <w:ind w:left="4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Тп.с=</w:t>
      </w:r>
      <w:r>
        <w:rPr>
          <w:rFonts w:ascii="Times New Roman" w:hAnsi="Times New Roman" w:cs="Times New Roman"/>
          <w:sz w:val="32"/>
          <w:szCs w:val="32"/>
        </w:rPr>
        <w:t>Тр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16"/>
          <w:szCs w:val="16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C23" w:rsidRDefault="00FA6E0E">
      <w:pPr>
        <w:spacing w:before="20" w:line="360" w:lineRule="auto"/>
        <w:ind w:left="360" w:right="800" w:firstLine="567"/>
        <w:rPr>
          <w:sz w:val="28"/>
          <w:szCs w:val="28"/>
        </w:rPr>
      </w:pPr>
      <w:r>
        <w:rPr>
          <w:sz w:val="28"/>
          <w:szCs w:val="28"/>
        </w:rPr>
        <w:t>Цей показник вже наводився вище (формула 5.5). Час роботи одного агрегата обчислюється так:</w:t>
      </w:r>
    </w:p>
    <w:p w:rsidR="00FB1C23" w:rsidRDefault="00FA6E0E">
      <w:pPr>
        <w:spacing w:before="280" w:line="360" w:lineRule="auto"/>
        <w:ind w:left="2560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Tp</w:t>
      </w:r>
      <w:r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н (1-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/100),                                                 (5) </w:t>
      </w:r>
    </w:p>
    <w:p w:rsidR="00FB1C23" w:rsidRDefault="00FA6E0E">
      <w:pPr>
        <w:spacing w:before="16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де Тн — номінальний (режимний) фонд часу роботи одного</w:t>
      </w:r>
    </w:p>
    <w:p w:rsidR="00FB1C23" w:rsidRDefault="00FA6E0E">
      <w:pPr>
        <w:spacing w:line="360" w:lineRule="auto"/>
        <w:ind w:left="120" w:firstLine="567"/>
        <w:rPr>
          <w:sz w:val="28"/>
          <w:szCs w:val="28"/>
        </w:rPr>
      </w:pPr>
      <w:r>
        <w:rPr>
          <w:sz w:val="28"/>
          <w:szCs w:val="28"/>
        </w:rPr>
        <w:t>агрегата (машини) в плановому періоді, год;</w:t>
      </w:r>
    </w:p>
    <w:p w:rsidR="00FB1C23" w:rsidRDefault="00FA6E0E">
      <w:pPr>
        <w:spacing w:line="360" w:lineRule="auto"/>
        <w:ind w:left="120" w:firstLine="567"/>
        <w:rPr>
          <w:sz w:val="28"/>
          <w:szCs w:val="28"/>
        </w:rPr>
      </w:pP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 — планові втрати часу на ремонт агрегата, %.</w:t>
      </w:r>
    </w:p>
    <w:p w:rsidR="00FB1C23" w:rsidRDefault="00FA6E0E">
      <w:pPr>
        <w:spacing w:line="360" w:lineRule="auto"/>
        <w:ind w:left="120" w:firstLine="567"/>
        <w:rPr>
          <w:sz w:val="28"/>
          <w:szCs w:val="28"/>
        </w:rPr>
      </w:pPr>
      <w:r>
        <w:rPr>
          <w:sz w:val="28"/>
          <w:szCs w:val="28"/>
        </w:rPr>
        <w:t xml:space="preserve"> Це формула загальна. Якщо можна точніше передбачити три</w:t>
      </w:r>
      <w:r>
        <w:rPr>
          <w:sz w:val="28"/>
          <w:szCs w:val="28"/>
        </w:rPr>
        <w:softHyphen/>
        <w:t xml:space="preserve">валість потрібного ремонту в робочий час, то ця величина просто віднімається від Тн. Коли такий ремонт не припадає на плановий період, то Тр = Тн.                                        </w:t>
      </w:r>
    </w:p>
    <w:p w:rsidR="00FB1C23" w:rsidRDefault="00FB1C23">
      <w:pPr>
        <w:spacing w:line="360" w:lineRule="auto"/>
        <w:ind w:left="120" w:firstLine="567"/>
        <w:rPr>
          <w:sz w:val="28"/>
          <w:szCs w:val="28"/>
        </w:rPr>
      </w:pPr>
    </w:p>
    <w:p w:rsidR="00FB1C23" w:rsidRDefault="00FA6E0E">
      <w:pPr>
        <w:spacing w:before="6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Тн=(Др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з-Дсt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з,                                     (6)</w:t>
      </w:r>
    </w:p>
    <w:p w:rsidR="00FB1C23" w:rsidRDefault="00FA6E0E">
      <w:pPr>
        <w:spacing w:before="20" w:line="360" w:lineRule="auto"/>
        <w:ind w:left="240" w:firstLine="567"/>
        <w:rPr>
          <w:sz w:val="28"/>
          <w:szCs w:val="28"/>
        </w:rPr>
      </w:pPr>
      <w:r>
        <w:rPr>
          <w:sz w:val="28"/>
          <w:szCs w:val="28"/>
        </w:rPr>
        <w:t>де Др — кількість робочих днів у плановому періоді;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tз — тривалість робочої зміни, год;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Дc — кількість днів зі скороченою робочою зміною;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tс —</w:t>
      </w:r>
      <w:r>
        <w:rPr>
          <w:sz w:val="28"/>
          <w:szCs w:val="28"/>
        </w:rPr>
        <w:t xml:space="preserve"> тривалість скорочення робочої зміни, год;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з — коефіцієнт змінності роботи (кількість змін роботи на добу). </w:t>
      </w: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табл. 5.1 показана спрощена форма таких обчислень на при</w:t>
      </w:r>
      <w:r>
        <w:rPr>
          <w:sz w:val="28"/>
          <w:szCs w:val="28"/>
        </w:rPr>
        <w:softHyphen/>
        <w:t>кладі механічного цеху з чотирма групами устаткування. Так, у плановому кварталі 66 робочих днів, у тому числі два дні передсвя</w:t>
      </w:r>
      <w:r>
        <w:rPr>
          <w:sz w:val="28"/>
          <w:szCs w:val="28"/>
        </w:rPr>
        <w:softHyphen/>
        <w:t>ткові. Тривалість робочої зміни— 8 год, у передсвяткові дні— 7 год. Планові втрати часу на ремонт — 2,1%. Цех працює у дві змі</w:t>
      </w:r>
      <w:r>
        <w:rPr>
          <w:sz w:val="28"/>
          <w:szCs w:val="28"/>
        </w:rPr>
        <w:softHyphen/>
        <w:t>ни. За цих умов час роботи одного верстата за квартал становитиме</w:t>
      </w:r>
    </w:p>
    <w:p w:rsidR="00FB1C23" w:rsidRDefault="00FA6E0E">
      <w:pPr>
        <w:spacing w:before="18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 </w:t>
      </w:r>
      <w:r>
        <w:rPr>
          <w:i/>
          <w:iCs/>
          <w:sz w:val="28"/>
          <w:szCs w:val="28"/>
        </w:rPr>
        <w:t>=</w:t>
      </w:r>
      <w:r>
        <w:rPr>
          <w:sz w:val="28"/>
          <w:szCs w:val="28"/>
        </w:rPr>
        <w:t xml:space="preserve"> (66 • 8 - 2 • 1) • 2 (1 –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,1/100) = 1030 год.</w:t>
      </w:r>
    </w:p>
    <w:p w:rsidR="00FB1C23" w:rsidRDefault="00FB1C23">
      <w:pPr>
        <w:pStyle w:val="FR4"/>
        <w:spacing w:before="30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B1C23" w:rsidRDefault="00FB1C23">
      <w:pPr>
        <w:pStyle w:val="FR4"/>
        <w:spacing w:before="30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B1C23" w:rsidRDefault="00FB1C23">
      <w:pPr>
        <w:pStyle w:val="FR4"/>
        <w:spacing w:before="30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B1C23" w:rsidRDefault="00FA6E0E">
      <w:pPr>
        <w:pStyle w:val="FR4"/>
        <w:spacing w:before="30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Таблиця.1</w:t>
      </w:r>
    </w:p>
    <w:p w:rsidR="00FB1C23" w:rsidRDefault="00FA6E0E">
      <w:pPr>
        <w:spacing w:before="40" w:after="100" w:line="360" w:lineRule="auto"/>
        <w:ind w:left="360" w:right="400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БАЛАНС ПРОПУСКНОЇ СПРОМОЖНОСТІ ТА ЗАВАНТАЖЕННЯ УСТАТКУВАННЯ МЕХАНІЧНОГО ЦЕХУ НА _____ квартал 200_р.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1251"/>
        <w:gridCol w:w="1559"/>
        <w:gridCol w:w="1560"/>
        <w:gridCol w:w="1417"/>
      </w:tblGrid>
      <w:tr w:rsidR="00FB1C23">
        <w:trPr>
          <w:cantSplit/>
          <w:trHeight w:hRule="exact" w:val="36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B1C23" w:rsidRDefault="00FB1C23">
            <w:pPr>
              <w:pBdr>
                <w:top w:val="single" w:sz="4" w:space="1" w:color="auto"/>
              </w:pBdr>
              <w:spacing w:before="20" w:line="360" w:lineRule="auto"/>
              <w:ind w:firstLine="567"/>
            </w:pPr>
          </w:p>
          <w:p w:rsidR="00FB1C23" w:rsidRDefault="00FA6E0E">
            <w:pPr>
              <w:spacing w:before="40" w:line="360" w:lineRule="auto"/>
              <w:ind w:firstLine="567"/>
            </w:pPr>
            <w:r>
              <w:t>Показник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  <w:jc w:val="center"/>
            </w:pPr>
            <w:r>
              <w:t>Групи устаткування</w:t>
            </w:r>
          </w:p>
          <w:p w:rsidR="00FB1C23" w:rsidRDefault="00FA6E0E">
            <w:pPr>
              <w:spacing w:before="20" w:line="360" w:lineRule="auto"/>
              <w:ind w:firstLine="567"/>
            </w:pPr>
            <w:r>
              <w:t>Групи уста</w:t>
            </w:r>
          </w:p>
          <w:p w:rsidR="00FB1C23" w:rsidRDefault="00FA6E0E">
            <w:pPr>
              <w:spacing w:before="20" w:line="360" w:lineRule="auto"/>
              <w:ind w:firstLine="567"/>
            </w:pPr>
            <w:r>
              <w:t>ткування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  <w:p w:rsidR="00FB1C23" w:rsidRDefault="00FB1C23">
            <w:pPr>
              <w:spacing w:before="20" w:line="360" w:lineRule="auto"/>
              <w:ind w:firstLine="567"/>
            </w:pPr>
          </w:p>
        </w:tc>
      </w:tr>
      <w:tr w:rsidR="00FB1C23">
        <w:trPr>
          <w:cantSplit/>
          <w:trHeight w:hRule="exact" w:val="617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</w:pPr>
            <w:r>
              <w:t>Токарна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</w:pPr>
            <w:r>
              <w:t>фрезерна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</w:pPr>
            <w:r>
              <w:t>сверлильна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C23" w:rsidRDefault="00FA6E0E">
            <w:pPr>
              <w:spacing w:before="40" w:line="360" w:lineRule="auto"/>
            </w:pPr>
            <w:r>
              <w:t>шліфу</w:t>
            </w:r>
            <w:r>
              <w:softHyphen/>
              <w:t>вальна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  <w:tr w:rsidR="00FB1C23">
        <w:trPr>
          <w:trHeight w:hRule="exact" w:val="1094"/>
        </w:trPr>
        <w:tc>
          <w:tcPr>
            <w:tcW w:w="2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Кількість верстатів, шт.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10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6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3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2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</w:tr>
      <w:tr w:rsidR="00FB1C23">
        <w:trPr>
          <w:trHeight w:hRule="exact" w:val="116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Фонд часу роботи одного верста</w:t>
            </w:r>
            <w:r>
              <w:softHyphen/>
              <w:t>та, год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1030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1030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1030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1030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  <w:tr w:rsidR="00FB1C23">
        <w:trPr>
          <w:trHeight w:hRule="exact" w:val="57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Пропускна спроможність, маш.-год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10300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6180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3090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2060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  <w:tr w:rsidR="00FB1C23">
        <w:trPr>
          <w:trHeight w:hRule="exact" w:val="957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Завантаження устаткування за нормами часу, маш.-год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jc w:val="center"/>
            </w:pPr>
            <w:r>
              <w:t>11 185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5800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3856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1236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  <w:tr w:rsidR="00FB1C23">
        <w:trPr>
          <w:trHeight w:hRule="exact" w:val="712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Коефіцієнт виконання норм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1,2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1,1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1,1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1,0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</w:tr>
      <w:tr w:rsidR="00FB1C23">
        <w:trPr>
          <w:trHeight w:hRule="exact" w:val="1616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Завантаження устаткування в ре</w:t>
            </w:r>
            <w:r>
              <w:softHyphen/>
              <w:t>альному часі, маш.-год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9321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5273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3505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1236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  <w:tr w:rsidR="00FB1C23">
        <w:trPr>
          <w:trHeight w:hRule="exact" w:val="534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Коефіцієнт завантаження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0,90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0,85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1,13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20" w:line="360" w:lineRule="auto"/>
              <w:ind w:firstLine="567"/>
            </w:pPr>
            <w:r>
              <w:t>0,60</w:t>
            </w:r>
          </w:p>
          <w:p w:rsidR="00FB1C23" w:rsidRDefault="00FB1C23">
            <w:pPr>
              <w:spacing w:before="20" w:line="360" w:lineRule="auto"/>
              <w:ind w:firstLine="567"/>
            </w:pPr>
          </w:p>
        </w:tc>
      </w:tr>
      <w:tr w:rsidR="00FB1C23">
        <w:trPr>
          <w:trHeight w:hRule="exact" w:val="138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Резерв пропускної спроможності, маш.-год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+979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+907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-—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+824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  <w:tr w:rsidR="00FB1C23">
        <w:trPr>
          <w:trHeight w:hRule="exact"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Дефіцит пропускної спроможно</w:t>
            </w:r>
            <w:r>
              <w:softHyphen/>
              <w:t>сті, маш.-год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—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—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-351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23" w:rsidRDefault="00FA6E0E">
            <w:pPr>
              <w:spacing w:before="40" w:line="360" w:lineRule="auto"/>
              <w:ind w:firstLine="567"/>
            </w:pPr>
            <w:r>
              <w:t>—</w:t>
            </w:r>
          </w:p>
          <w:p w:rsidR="00FB1C23" w:rsidRDefault="00FB1C23">
            <w:pPr>
              <w:spacing w:before="40" w:line="360" w:lineRule="auto"/>
              <w:ind w:firstLine="567"/>
            </w:pPr>
          </w:p>
        </w:tc>
      </w:tr>
    </w:tbl>
    <w:p w:rsidR="00FB1C23" w:rsidRDefault="00FB1C23">
      <w:pPr>
        <w:spacing w:line="360" w:lineRule="auto"/>
        <w:ind w:firstLine="567"/>
        <w:rPr>
          <w:sz w:val="28"/>
          <w:szCs w:val="28"/>
        </w:rPr>
      </w:pPr>
    </w:p>
    <w:p w:rsidR="00FB1C23" w:rsidRDefault="00FA6E0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Пропускна спроможність токарної групи верстатів — 1030 • 10 = 10 300 машино-годин. Обсяг токарних робіт на квартал (заван</w:t>
      </w:r>
      <w:r>
        <w:rPr>
          <w:sz w:val="28"/>
          <w:szCs w:val="28"/>
        </w:rPr>
        <w:softHyphen/>
        <w:t>таження) — 11 185 нормованих машино-годин. За коефіцієнта виконання норм 1,2 завантаження токарної групи верстатів у ре</w:t>
      </w:r>
      <w:r>
        <w:rPr>
          <w:sz w:val="28"/>
          <w:szCs w:val="28"/>
        </w:rPr>
        <w:softHyphen/>
        <w:t>альному часі дорівнюватиме:</w:t>
      </w:r>
    </w:p>
    <w:p w:rsidR="00FB1C23" w:rsidRDefault="00FA6E0E">
      <w:pPr>
        <w:spacing w:before="6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Тз = 11185 : 1,2 = 9321 машино-годину.</w:t>
      </w:r>
    </w:p>
    <w:p w:rsidR="00FB1C23" w:rsidRDefault="00FA6E0E">
      <w:pPr>
        <w:spacing w:before="4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Отже, коефіцієнт завантаження токарної групи верстатів до</w:t>
      </w:r>
      <w:r>
        <w:rPr>
          <w:sz w:val="28"/>
          <w:szCs w:val="28"/>
        </w:rPr>
        <w:softHyphen/>
        <w:t>рівнює:</w:t>
      </w:r>
    </w:p>
    <w:p w:rsidR="00FB1C23" w:rsidRDefault="00FA6E0E">
      <w:pPr>
        <w:spacing w:line="360" w:lineRule="auto"/>
        <w:ind w:left="2200" w:right="3000" w:firstLine="567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0"/>
          <w:szCs w:val="20"/>
        </w:rPr>
        <w:t>з</w:t>
      </w:r>
      <w:r>
        <w:rPr>
          <w:sz w:val="20"/>
          <w:szCs w:val="20"/>
          <w:lang w:val="ru-RU"/>
        </w:rPr>
        <w:t xml:space="preserve"> </w:t>
      </w:r>
      <w:r>
        <w:rPr>
          <w:sz w:val="28"/>
          <w:szCs w:val="28"/>
          <w:lang w:val="ru-RU"/>
        </w:rPr>
        <w:t>=9321/</w:t>
      </w:r>
      <w:r>
        <w:rPr>
          <w:sz w:val="28"/>
          <w:szCs w:val="28"/>
        </w:rPr>
        <w:t>10300</w:t>
      </w:r>
      <w:r>
        <w:rPr>
          <w:sz w:val="28"/>
          <w:szCs w:val="28"/>
          <w:lang w:val="ru-RU"/>
        </w:rPr>
        <w:t>=0</w:t>
      </w:r>
      <w:r>
        <w:rPr>
          <w:sz w:val="28"/>
          <w:szCs w:val="28"/>
        </w:rPr>
        <w:t>,9</w:t>
      </w:r>
    </w:p>
    <w:p w:rsidR="00FB1C23" w:rsidRDefault="00FA6E0E">
      <w:pPr>
        <w:spacing w:before="6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 досить високий рівень завантаження. Виробнича потуж</w:t>
      </w:r>
      <w:r>
        <w:rPr>
          <w:sz w:val="28"/>
          <w:szCs w:val="28"/>
        </w:rPr>
        <w:softHyphen/>
        <w:t>ність токарної групи верстатів дає змогу виконати виробничу програму, і при цьому ефективно використовується устаткуван</w:t>
      </w:r>
      <w:r>
        <w:rPr>
          <w:sz w:val="28"/>
          <w:szCs w:val="28"/>
        </w:rPr>
        <w:softHyphen/>
        <w:t>ня. Аналогічно виконуються розрахунки по інших групах. Але, як бачимо, свердлильна група устаткування перевантажена. Тут треба шукати резерви для того, щоб виконати заплановану ро</w:t>
      </w:r>
      <w:r>
        <w:rPr>
          <w:sz w:val="28"/>
          <w:szCs w:val="28"/>
        </w:rPr>
        <w:softHyphen/>
        <w:t>боту: перерозподіл роботи між підрозділами, часткова робота в третю зміну, зниження витрат часу тощо. Шліфувальна група устаткування, навпаки, недозавантажена. Щоправда, тут верста</w:t>
      </w:r>
      <w:r>
        <w:rPr>
          <w:sz w:val="28"/>
          <w:szCs w:val="28"/>
        </w:rPr>
        <w:softHyphen/>
        <w:t>тів небагато і, можливо, їх недостатня завантаженість тимчасо</w:t>
      </w:r>
      <w:r>
        <w:rPr>
          <w:sz w:val="28"/>
          <w:szCs w:val="28"/>
        </w:rPr>
        <w:softHyphen/>
        <w:t>ва. Отже, такі обчислення дають підставу для більш широких міркувань і прийняття відповідних рішень, у тому числі й інвес</w:t>
      </w:r>
      <w:r>
        <w:rPr>
          <w:sz w:val="28"/>
          <w:szCs w:val="28"/>
        </w:rPr>
        <w:softHyphen/>
        <w:t>тиційних.</w:t>
      </w:r>
    </w:p>
    <w:p w:rsidR="00FB1C23" w:rsidRDefault="00FB1C23">
      <w:pPr>
        <w:spacing w:line="360" w:lineRule="auto"/>
      </w:pPr>
      <w:bookmarkStart w:id="0" w:name="_GoBack"/>
      <w:bookmarkEnd w:id="0"/>
    </w:p>
    <w:sectPr w:rsidR="00FB1C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26BE0"/>
    <w:multiLevelType w:val="singleLevel"/>
    <w:tmpl w:val="922666FE"/>
    <w:lvl w:ilvl="0">
      <w:start w:val="6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E0E"/>
    <w:rsid w:val="00565463"/>
    <w:rsid w:val="00FA6E0E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5B7F8A8-8731-4AF8-9405-2DD1A375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auto"/>
      <w:ind w:left="1080" w:right="1000" w:firstLine="567"/>
      <w:jc w:val="center"/>
    </w:pPr>
    <w:rPr>
      <w:b/>
      <w:bCs/>
      <w:sz w:val="44"/>
      <w:szCs w:val="28"/>
    </w:rPr>
  </w:style>
  <w:style w:type="paragraph" w:customStyle="1" w:styleId="FR4">
    <w:name w:val="FR4"/>
    <w:pPr>
      <w:widowControl w:val="0"/>
      <w:autoSpaceDE w:val="0"/>
      <w:autoSpaceDN w:val="0"/>
      <w:jc w:val="both"/>
    </w:pPr>
    <w:rPr>
      <w:rFonts w:ascii="Arial" w:hAnsi="Arial" w:cs="Arial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Промисловість</Manager>
  <Company>Промисловість</Company>
  <LinksUpToDate>false</LinksUpToDate>
  <CharactersWithSpaces>5965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dcterms:created xsi:type="dcterms:W3CDTF">2014-04-16T03:16:00Z</dcterms:created>
  <dcterms:modified xsi:type="dcterms:W3CDTF">2014-04-16T03:16:00Z</dcterms:modified>
  <cp:category>Промисловість</cp:category>
</cp:coreProperties>
</file>