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7A" w:rsidRDefault="00E2457A" w:rsidP="008316EE">
      <w:pPr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49239D" w:rsidRPr="008316EE" w:rsidRDefault="0049239D" w:rsidP="008316EE">
      <w:pPr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 w:rsidRPr="008316EE">
        <w:rPr>
          <w:rFonts w:ascii="Times New Roman" w:hAnsi="Times New Roman"/>
          <w:b/>
          <w:sz w:val="28"/>
          <w:szCs w:val="28"/>
        </w:rPr>
        <w:t>Гребля А.А., 3 курс (КарГТУ)</w:t>
      </w:r>
    </w:p>
    <w:p w:rsidR="0049239D" w:rsidRPr="00660D46" w:rsidRDefault="0049239D" w:rsidP="00CA3496">
      <w:pPr>
        <w:ind w:left="0" w:firstLine="454"/>
        <w:jc w:val="both"/>
        <w:rPr>
          <w:rFonts w:ascii="Times New Roman" w:hAnsi="Times New Roman"/>
          <w:i/>
          <w:sz w:val="28"/>
          <w:szCs w:val="28"/>
        </w:rPr>
      </w:pPr>
      <w:r w:rsidRPr="008316EE">
        <w:rPr>
          <w:rFonts w:ascii="Times New Roman" w:hAnsi="Times New Roman"/>
          <w:i/>
          <w:sz w:val="28"/>
          <w:szCs w:val="28"/>
        </w:rPr>
        <w:t>Научный руководитель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6EE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д.э.н., профессор Ахметжанов Б.А.</w:t>
      </w:r>
    </w:p>
    <w:p w:rsidR="0049239D" w:rsidRDefault="0049239D" w:rsidP="00CA3496">
      <w:pPr>
        <w:ind w:left="0" w:firstLine="454"/>
        <w:jc w:val="both"/>
        <w:rPr>
          <w:rFonts w:ascii="Times New Roman" w:hAnsi="Times New Roman"/>
          <w:sz w:val="28"/>
          <w:szCs w:val="28"/>
        </w:rPr>
      </w:pPr>
    </w:p>
    <w:p w:rsidR="0049239D" w:rsidRDefault="0049239D" w:rsidP="008316EE">
      <w:pPr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ДЕНЕЖНО-КРЕДИТНОЙ ПОЛИТИКИ РЕСПУБЛИКИ КАЗАХСТАН В ПОСТКРИЗИСНЫЙ ПЕРИОД</w:t>
      </w:r>
    </w:p>
    <w:p w:rsidR="0049239D" w:rsidRPr="008316EE" w:rsidRDefault="0049239D" w:rsidP="008316EE">
      <w:pPr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49239D" w:rsidRPr="00F0500D" w:rsidRDefault="0049239D" w:rsidP="00CA3496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F0500D">
        <w:rPr>
          <w:rFonts w:ascii="Times New Roman" w:hAnsi="Times New Roman"/>
          <w:sz w:val="28"/>
          <w:szCs w:val="28"/>
        </w:rPr>
        <w:t>На сегодняшний момент можно с уверенностью сказать, что Казахстан вышел из кризиса с минимальными потерями относительно других государств ближнего и дальнего зарубежья. Теперь нашу страну ждет не менее сложный и ответственный посткризисный период, в течение которого основной целью будет выведение экономики на докризисные показатели и достижение их поступательного роста. В сложившихся условиях трудно недооценить роль денежно-кредитной политики страны на текущий 2011год и последующие годы, п</w:t>
      </w:r>
      <w:r>
        <w:rPr>
          <w:rFonts w:ascii="Times New Roman" w:hAnsi="Times New Roman"/>
          <w:sz w:val="28"/>
          <w:szCs w:val="28"/>
        </w:rPr>
        <w:t>ервоочередными</w:t>
      </w:r>
      <w:r w:rsidRPr="00F0500D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ами проведения которой буду</w:t>
      </w:r>
      <w:r w:rsidRPr="00F0500D">
        <w:rPr>
          <w:rFonts w:ascii="Times New Roman" w:hAnsi="Times New Roman"/>
          <w:sz w:val="28"/>
          <w:szCs w:val="28"/>
        </w:rPr>
        <w:t xml:space="preserve">т являться стабилизация экономики, обеспечение экономического роста, борьба с инфляцией, путем  контроля над денежной массой, уровнем ссудного процента  и другими инструментами воздействия на денежное предложение в стране. </w:t>
      </w:r>
    </w:p>
    <w:p w:rsidR="0049239D" w:rsidRDefault="0049239D" w:rsidP="00F4341D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Центральным звеном денежно</w:t>
      </w:r>
      <w:r w:rsidRPr="00F0500D">
        <w:rPr>
          <w:rFonts w:ascii="Times New Roman" w:hAnsi="Times New Roman"/>
          <w:sz w:val="28"/>
          <w:szCs w:val="28"/>
        </w:rPr>
        <w:t xml:space="preserve">-кредитной политики государства  является Национальный банк, а основными инструментами ее проведения были и остаются: операции на открытом рынке ценных бумаг, уровень процентной ставки по займам коммерческим банкам и величина обязательных резервов.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9239D" w:rsidRPr="00F0500D" w:rsidRDefault="0049239D" w:rsidP="00A45832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F0500D">
        <w:rPr>
          <w:rFonts w:ascii="Times New Roman" w:hAnsi="Times New Roman"/>
          <w:sz w:val="28"/>
          <w:szCs w:val="28"/>
        </w:rPr>
        <w:t>Сегодня Нацбанком страны уже разработаны основные направления денежно-кредитной политики Казахстана на 2011-2013 годы. Необходимо сразу отметить, что данная политика будет подвергаться корректировке с течением времени и под воздействием изменений экономических показателей в стране и в мире. Учитывая данный аспект, Нацбанком были предусмотрены сразу три сценария разви</w:t>
      </w:r>
      <w:r>
        <w:rPr>
          <w:rFonts w:ascii="Times New Roman" w:hAnsi="Times New Roman"/>
          <w:sz w:val="28"/>
          <w:szCs w:val="28"/>
        </w:rPr>
        <w:t>тия макроэкономической ситуации, основным критерием деления на которые стали мировые цены на нефть, прогнозируемые на уровне в 35,</w:t>
      </w:r>
      <w:r w:rsidRPr="00F4341D">
        <w:rPr>
          <w:rFonts w:ascii="Times New Roman" w:hAnsi="Times New Roman"/>
          <w:sz w:val="28"/>
          <w:szCs w:val="28"/>
        </w:rPr>
        <w:t xml:space="preserve"> </w:t>
      </w:r>
      <w:r w:rsidRPr="00F0500D">
        <w:rPr>
          <w:rFonts w:ascii="Times New Roman" w:hAnsi="Times New Roman"/>
          <w:sz w:val="28"/>
          <w:szCs w:val="28"/>
        </w:rPr>
        <w:t>65 и 80 долларов США за баррель</w:t>
      </w:r>
      <w:r>
        <w:rPr>
          <w:rFonts w:ascii="Times New Roman" w:hAnsi="Times New Roman"/>
          <w:sz w:val="28"/>
          <w:szCs w:val="28"/>
        </w:rPr>
        <w:t xml:space="preserve">. Исходя из этих показателей, </w:t>
      </w:r>
      <w:r w:rsidRPr="00F0500D">
        <w:rPr>
          <w:rFonts w:ascii="Times New Roman" w:hAnsi="Times New Roman"/>
          <w:sz w:val="28"/>
          <w:szCs w:val="28"/>
        </w:rPr>
        <w:t>реальный рост ВВП страны в 2011 году</w:t>
      </w:r>
      <w:r>
        <w:rPr>
          <w:rFonts w:ascii="Times New Roman" w:hAnsi="Times New Roman"/>
          <w:sz w:val="28"/>
          <w:szCs w:val="28"/>
        </w:rPr>
        <w:t xml:space="preserve"> прогнозируется</w:t>
      </w:r>
      <w:r w:rsidRPr="00F0500D">
        <w:rPr>
          <w:rFonts w:ascii="Times New Roman" w:hAnsi="Times New Roman"/>
          <w:sz w:val="28"/>
          <w:szCs w:val="28"/>
        </w:rPr>
        <w:t xml:space="preserve"> от -0,5% до 4,7%</w:t>
      </w:r>
      <w:r>
        <w:rPr>
          <w:rFonts w:ascii="Times New Roman" w:hAnsi="Times New Roman"/>
          <w:sz w:val="28"/>
          <w:szCs w:val="28"/>
        </w:rPr>
        <w:t xml:space="preserve"> в зависимости от развития того или иного сценария. Причем наиболее вероятной считается реализация третьего сценария, при котором цены на нефть составят 80 </w:t>
      </w:r>
      <w:r w:rsidRPr="00F0500D">
        <w:rPr>
          <w:rFonts w:ascii="Times New Roman" w:hAnsi="Times New Roman"/>
          <w:sz w:val="28"/>
          <w:szCs w:val="28"/>
        </w:rPr>
        <w:t>долларов США за баррель</w:t>
      </w:r>
      <w:r>
        <w:rPr>
          <w:rFonts w:ascii="Times New Roman" w:hAnsi="Times New Roman"/>
          <w:sz w:val="28"/>
          <w:szCs w:val="28"/>
        </w:rPr>
        <w:t>, ВВП страны вырастет на 4,7%,</w:t>
      </w:r>
      <w:r w:rsidRPr="00A45832">
        <w:rPr>
          <w:rFonts w:ascii="Times New Roman" w:hAnsi="Times New Roman"/>
          <w:sz w:val="28"/>
          <w:szCs w:val="28"/>
        </w:rPr>
        <w:t xml:space="preserve"> </w:t>
      </w:r>
      <w:r w:rsidRPr="00F0500D">
        <w:rPr>
          <w:rFonts w:ascii="Times New Roman" w:hAnsi="Times New Roman"/>
          <w:sz w:val="28"/>
          <w:szCs w:val="28"/>
        </w:rPr>
        <w:t xml:space="preserve">текущий счет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0500D">
        <w:rPr>
          <w:rFonts w:ascii="Times New Roman" w:hAnsi="Times New Roman"/>
          <w:sz w:val="28"/>
          <w:szCs w:val="28"/>
        </w:rPr>
        <w:t xml:space="preserve">1,6%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F0500D">
        <w:rPr>
          <w:rFonts w:ascii="Times New Roman" w:hAnsi="Times New Roman"/>
          <w:sz w:val="28"/>
          <w:szCs w:val="28"/>
        </w:rPr>
        <w:t xml:space="preserve">ВВП,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0500D">
        <w:rPr>
          <w:rFonts w:ascii="Times New Roman" w:hAnsi="Times New Roman"/>
          <w:sz w:val="28"/>
          <w:szCs w:val="28"/>
        </w:rPr>
        <w:t xml:space="preserve">платежный баланс </w:t>
      </w:r>
      <w:r>
        <w:rPr>
          <w:rFonts w:ascii="Times New Roman" w:hAnsi="Times New Roman"/>
          <w:sz w:val="28"/>
          <w:szCs w:val="28"/>
        </w:rPr>
        <w:t>–</w:t>
      </w:r>
      <w:r w:rsidRPr="00F05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0500D">
        <w:rPr>
          <w:rFonts w:ascii="Times New Roman" w:hAnsi="Times New Roman"/>
          <w:sz w:val="28"/>
          <w:szCs w:val="28"/>
        </w:rPr>
        <w:t>2,6%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F0500D">
        <w:rPr>
          <w:rFonts w:ascii="Times New Roman" w:hAnsi="Times New Roman"/>
          <w:sz w:val="28"/>
          <w:szCs w:val="28"/>
        </w:rPr>
        <w:t xml:space="preserve"> ВВП. </w:t>
      </w:r>
    </w:p>
    <w:p w:rsidR="0049239D" w:rsidRDefault="0049239D" w:rsidP="00751ADC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  <w:r w:rsidRPr="00F0500D">
        <w:rPr>
          <w:rFonts w:ascii="Times New Roman" w:hAnsi="Times New Roman"/>
          <w:sz w:val="28"/>
          <w:szCs w:val="28"/>
        </w:rPr>
        <w:t xml:space="preserve"> цель денежно-кредитной политики</w:t>
      </w:r>
      <w:r>
        <w:rPr>
          <w:rFonts w:ascii="Times New Roman" w:hAnsi="Times New Roman"/>
          <w:sz w:val="28"/>
          <w:szCs w:val="28"/>
        </w:rPr>
        <w:t xml:space="preserve"> РК в 2011-2013 годы-</w:t>
      </w:r>
      <w:r w:rsidRPr="00F0500D">
        <w:rPr>
          <w:rFonts w:ascii="Times New Roman" w:hAnsi="Times New Roman"/>
          <w:sz w:val="28"/>
          <w:szCs w:val="28"/>
        </w:rPr>
        <w:t xml:space="preserve"> обеспечение стабильности цен</w:t>
      </w:r>
      <w:r>
        <w:rPr>
          <w:rFonts w:ascii="Times New Roman" w:hAnsi="Times New Roman"/>
          <w:sz w:val="28"/>
          <w:szCs w:val="28"/>
        </w:rPr>
        <w:t xml:space="preserve"> в стране</w:t>
      </w:r>
      <w:r w:rsidRPr="00F050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Вместе с тем, </w:t>
      </w:r>
      <w:r w:rsidRPr="00F0500D"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 xml:space="preserve">иональным </w:t>
      </w:r>
      <w:r w:rsidRPr="00F0500D"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 xml:space="preserve">ом  </w:t>
      </w:r>
      <w:r w:rsidRPr="00F05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 принятие комплекса мер, направленных на</w:t>
      </w:r>
      <w:r w:rsidRPr="00F0500D">
        <w:rPr>
          <w:rFonts w:ascii="Times New Roman" w:hAnsi="Times New Roman"/>
          <w:sz w:val="28"/>
          <w:szCs w:val="28"/>
        </w:rPr>
        <w:t xml:space="preserve"> поддержани</w:t>
      </w:r>
      <w:r>
        <w:rPr>
          <w:rFonts w:ascii="Times New Roman" w:hAnsi="Times New Roman"/>
          <w:sz w:val="28"/>
          <w:szCs w:val="28"/>
        </w:rPr>
        <w:t>е</w:t>
      </w:r>
      <w:r w:rsidRPr="00F0500D">
        <w:rPr>
          <w:rFonts w:ascii="Times New Roman" w:hAnsi="Times New Roman"/>
          <w:sz w:val="28"/>
          <w:szCs w:val="28"/>
        </w:rPr>
        <w:t xml:space="preserve"> экономического роста, развити</w:t>
      </w:r>
      <w:r>
        <w:rPr>
          <w:rFonts w:ascii="Times New Roman" w:hAnsi="Times New Roman"/>
          <w:sz w:val="28"/>
          <w:szCs w:val="28"/>
        </w:rPr>
        <w:t>е</w:t>
      </w:r>
      <w:r w:rsidRPr="00F0500D">
        <w:rPr>
          <w:rFonts w:ascii="Times New Roman" w:hAnsi="Times New Roman"/>
          <w:sz w:val="28"/>
          <w:szCs w:val="28"/>
        </w:rPr>
        <w:t xml:space="preserve"> потенциала депозитного рынка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0500D">
        <w:rPr>
          <w:rFonts w:ascii="Times New Roman" w:hAnsi="Times New Roman"/>
          <w:sz w:val="28"/>
          <w:szCs w:val="28"/>
        </w:rPr>
        <w:t>восстановлени</w:t>
      </w:r>
      <w:r>
        <w:rPr>
          <w:rFonts w:ascii="Times New Roman" w:hAnsi="Times New Roman"/>
          <w:sz w:val="28"/>
          <w:szCs w:val="28"/>
        </w:rPr>
        <w:t>е</w:t>
      </w:r>
      <w:r w:rsidRPr="00F0500D">
        <w:rPr>
          <w:rFonts w:ascii="Times New Roman" w:hAnsi="Times New Roman"/>
          <w:sz w:val="28"/>
          <w:szCs w:val="28"/>
        </w:rPr>
        <w:t xml:space="preserve"> кредитной активности банковского сектора</w:t>
      </w:r>
      <w:r>
        <w:rPr>
          <w:rFonts w:ascii="Times New Roman" w:hAnsi="Times New Roman"/>
          <w:sz w:val="28"/>
          <w:szCs w:val="28"/>
        </w:rPr>
        <w:t>.</w:t>
      </w:r>
    </w:p>
    <w:p w:rsidR="0049239D" w:rsidRDefault="0049239D" w:rsidP="00751ADC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Денежно-кредитная политика на 2011-2013гг будет способствовать </w:t>
      </w:r>
      <w:r w:rsidRPr="00F0500D">
        <w:rPr>
          <w:rFonts w:ascii="Times New Roman" w:hAnsi="Times New Roman"/>
          <w:sz w:val="28"/>
          <w:szCs w:val="28"/>
        </w:rPr>
        <w:t>недопущени</w:t>
      </w:r>
      <w:r>
        <w:rPr>
          <w:rFonts w:ascii="Times New Roman" w:hAnsi="Times New Roman"/>
          <w:sz w:val="28"/>
          <w:szCs w:val="28"/>
        </w:rPr>
        <w:t>ю</w:t>
      </w:r>
      <w:r w:rsidRPr="00F0500D">
        <w:rPr>
          <w:rFonts w:ascii="Times New Roman" w:hAnsi="Times New Roman"/>
          <w:sz w:val="28"/>
          <w:szCs w:val="28"/>
        </w:rPr>
        <w:t xml:space="preserve"> значительных колебаний реального курса национальной валюты, которые могут оказать негативное влияние на конкурентоспособность отечественного производства в условиях постоянно меняющейся мировой конъюнктуры. </w:t>
      </w:r>
    </w:p>
    <w:p w:rsidR="0049239D" w:rsidRDefault="0049239D" w:rsidP="00CA6205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действия установленного коридора колебаний обменного курса</w:t>
      </w:r>
      <w:r w:rsidRPr="00F0500D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планируется переход </w:t>
      </w:r>
      <w:r w:rsidRPr="00F0500D">
        <w:rPr>
          <w:rFonts w:ascii="Times New Roman" w:hAnsi="Times New Roman"/>
          <w:sz w:val="28"/>
          <w:szCs w:val="28"/>
        </w:rPr>
        <w:t>к режиму управляемого плавающего валютного курса. Это обусловлено стабильностью национальной валюты, чему способствует благоприятная ценовая конъюнктура на основные позиции казахстанского экспорта на мировых рынках и состояние платежного баланса.</w:t>
      </w:r>
      <w:r>
        <w:rPr>
          <w:rFonts w:ascii="Times New Roman" w:hAnsi="Times New Roman"/>
          <w:sz w:val="28"/>
          <w:szCs w:val="28"/>
        </w:rPr>
        <w:t xml:space="preserve"> Поэтому предпосылки для</w:t>
      </w:r>
      <w:r w:rsidRPr="00F0500D">
        <w:rPr>
          <w:rFonts w:ascii="Times New Roman" w:hAnsi="Times New Roman"/>
          <w:sz w:val="28"/>
          <w:szCs w:val="28"/>
        </w:rPr>
        <w:t xml:space="preserve"> девальвации тенге в среднесрочном периоде отсутствуют.</w:t>
      </w:r>
      <w:r>
        <w:rPr>
          <w:rFonts w:ascii="Times New Roman" w:hAnsi="Times New Roman"/>
          <w:sz w:val="28"/>
          <w:szCs w:val="28"/>
        </w:rPr>
        <w:t xml:space="preserve"> Кроме того, в 2011-2013гг </w:t>
      </w:r>
      <w:r w:rsidRPr="00F0500D"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>Б</w:t>
      </w:r>
      <w:r w:rsidRPr="00F0500D">
        <w:rPr>
          <w:rFonts w:ascii="Times New Roman" w:hAnsi="Times New Roman"/>
          <w:sz w:val="28"/>
          <w:szCs w:val="28"/>
        </w:rPr>
        <w:t xml:space="preserve">анк </w:t>
      </w:r>
      <w:r>
        <w:rPr>
          <w:rFonts w:ascii="Times New Roman" w:hAnsi="Times New Roman"/>
          <w:sz w:val="28"/>
          <w:szCs w:val="28"/>
        </w:rPr>
        <w:t>будет стремиться к</w:t>
      </w:r>
      <w:r w:rsidRPr="00F0500D">
        <w:rPr>
          <w:rFonts w:ascii="Times New Roman" w:hAnsi="Times New Roman"/>
          <w:sz w:val="28"/>
          <w:szCs w:val="28"/>
        </w:rPr>
        <w:t xml:space="preserve"> снижению своего участия на валютном рынке в целях повышения гибкости курса тенге</w:t>
      </w:r>
      <w:r>
        <w:rPr>
          <w:rFonts w:ascii="Times New Roman" w:hAnsi="Times New Roman"/>
          <w:sz w:val="28"/>
          <w:szCs w:val="28"/>
        </w:rPr>
        <w:t>.</w:t>
      </w:r>
    </w:p>
    <w:p w:rsidR="0049239D" w:rsidRDefault="0049239D" w:rsidP="00D0201E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F0500D">
        <w:rPr>
          <w:rFonts w:ascii="Times New Roman" w:hAnsi="Times New Roman"/>
          <w:sz w:val="28"/>
          <w:szCs w:val="28"/>
        </w:rPr>
        <w:t xml:space="preserve">Из-за неясных перспектив в отношении списания банками </w:t>
      </w:r>
      <w:r>
        <w:rPr>
          <w:rFonts w:ascii="Times New Roman" w:hAnsi="Times New Roman"/>
          <w:sz w:val="28"/>
          <w:szCs w:val="28"/>
        </w:rPr>
        <w:t>безнадежных</w:t>
      </w:r>
      <w:r w:rsidRPr="00F0500D">
        <w:rPr>
          <w:rFonts w:ascii="Times New Roman" w:hAnsi="Times New Roman"/>
          <w:sz w:val="28"/>
          <w:szCs w:val="28"/>
        </w:rPr>
        <w:t xml:space="preserve"> кредитов представить прогноз или оценку о динамике и объемах кредитов не представляется возможным. Ожидается, что в 2011 году объемы погашения кредитов и списания </w:t>
      </w:r>
      <w:r>
        <w:rPr>
          <w:rFonts w:ascii="Times New Roman" w:hAnsi="Times New Roman"/>
          <w:sz w:val="28"/>
          <w:szCs w:val="28"/>
        </w:rPr>
        <w:t>безнадежных</w:t>
      </w:r>
      <w:r w:rsidRPr="00F0500D">
        <w:rPr>
          <w:rFonts w:ascii="Times New Roman" w:hAnsi="Times New Roman"/>
          <w:sz w:val="28"/>
          <w:szCs w:val="28"/>
        </w:rPr>
        <w:t xml:space="preserve"> кредитов будут компенсировать объемы выдачи новых кредитов. </w:t>
      </w:r>
    </w:p>
    <w:p w:rsidR="0049239D" w:rsidRDefault="0049239D" w:rsidP="00D0201E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F0500D">
        <w:rPr>
          <w:rFonts w:ascii="Times New Roman" w:hAnsi="Times New Roman"/>
          <w:sz w:val="28"/>
          <w:szCs w:val="28"/>
        </w:rPr>
        <w:t>Процентная политика Национального Банка Республики Казахстан будет направлена на удержание рыночных ставок на денежном рынке краткосрочных инструментов в пределах коридора ставок</w:t>
      </w:r>
      <w:r>
        <w:rPr>
          <w:rFonts w:ascii="Times New Roman" w:hAnsi="Times New Roman"/>
          <w:sz w:val="28"/>
          <w:szCs w:val="28"/>
        </w:rPr>
        <w:t>.</w:t>
      </w:r>
    </w:p>
    <w:p w:rsidR="0049239D" w:rsidRPr="00F0500D" w:rsidRDefault="0049239D" w:rsidP="00CA6205">
      <w:pPr>
        <w:ind w:left="0" w:hanging="2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банковском секторе планируется принятие ряда мер, которые будут       </w:t>
      </w:r>
      <w:r w:rsidRPr="00F0500D">
        <w:rPr>
          <w:rFonts w:ascii="Times New Roman" w:hAnsi="Times New Roman"/>
          <w:sz w:val="28"/>
          <w:szCs w:val="28"/>
        </w:rPr>
        <w:t>способствовать дальнейшему переориентированию банков на внутренние источники при формировании базы фондирования. Для этого увеличит</w:t>
      </w:r>
      <w:r>
        <w:rPr>
          <w:rFonts w:ascii="Times New Roman" w:hAnsi="Times New Roman"/>
          <w:sz w:val="28"/>
          <w:szCs w:val="28"/>
        </w:rPr>
        <w:t>ся</w:t>
      </w:r>
      <w:r w:rsidRPr="00F05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капитализация</w:t>
      </w:r>
      <w:r w:rsidRPr="00F0500D">
        <w:rPr>
          <w:rFonts w:ascii="Times New Roman" w:hAnsi="Times New Roman"/>
          <w:sz w:val="28"/>
          <w:szCs w:val="28"/>
        </w:rPr>
        <w:t xml:space="preserve"> АО «Казахстанский фонд гарантирования депозитов»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F0500D">
        <w:rPr>
          <w:rFonts w:ascii="Times New Roman" w:hAnsi="Times New Roman"/>
          <w:sz w:val="28"/>
          <w:szCs w:val="28"/>
        </w:rPr>
        <w:t>на 11 млрд. тенге.</w:t>
      </w:r>
      <w:r>
        <w:rPr>
          <w:rFonts w:ascii="Times New Roman" w:hAnsi="Times New Roman"/>
          <w:sz w:val="28"/>
          <w:szCs w:val="28"/>
        </w:rPr>
        <w:t xml:space="preserve"> В 2011-2013 годы не планируется снижение ставки рефинансирования, ее уровень будет находиться в пределах 6-8%.</w:t>
      </w:r>
      <w:r w:rsidRPr="00D0201E">
        <w:t xml:space="preserve"> </w:t>
      </w:r>
      <w:r w:rsidRPr="00D0201E">
        <w:rPr>
          <w:rFonts w:ascii="Times New Roman" w:hAnsi="Times New Roman"/>
          <w:sz w:val="28"/>
          <w:szCs w:val="28"/>
        </w:rPr>
        <w:t>Национальны</w:t>
      </w:r>
      <w:r>
        <w:rPr>
          <w:rFonts w:ascii="Times New Roman" w:hAnsi="Times New Roman"/>
          <w:sz w:val="28"/>
          <w:szCs w:val="28"/>
        </w:rPr>
        <w:t>м</w:t>
      </w:r>
      <w:r w:rsidRPr="00D0201E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ом</w:t>
      </w:r>
      <w:r w:rsidRPr="00D0201E">
        <w:rPr>
          <w:rFonts w:ascii="Times New Roman" w:hAnsi="Times New Roman"/>
          <w:sz w:val="28"/>
          <w:szCs w:val="28"/>
        </w:rPr>
        <w:t xml:space="preserve"> будет регулировать</w:t>
      </w:r>
      <w:r>
        <w:rPr>
          <w:rFonts w:ascii="Times New Roman" w:hAnsi="Times New Roman"/>
          <w:sz w:val="28"/>
          <w:szCs w:val="28"/>
        </w:rPr>
        <w:t>ся</w:t>
      </w:r>
      <w:r w:rsidRPr="00D0201E">
        <w:rPr>
          <w:rFonts w:ascii="Times New Roman" w:hAnsi="Times New Roman"/>
          <w:sz w:val="28"/>
          <w:szCs w:val="28"/>
        </w:rPr>
        <w:t xml:space="preserve"> краткосрочн</w:t>
      </w:r>
      <w:r>
        <w:rPr>
          <w:rFonts w:ascii="Times New Roman" w:hAnsi="Times New Roman"/>
          <w:sz w:val="28"/>
          <w:szCs w:val="28"/>
        </w:rPr>
        <w:t>ая</w:t>
      </w:r>
      <w:r w:rsidRPr="00D0201E">
        <w:rPr>
          <w:rFonts w:ascii="Times New Roman" w:hAnsi="Times New Roman"/>
          <w:sz w:val="28"/>
          <w:szCs w:val="28"/>
        </w:rPr>
        <w:t xml:space="preserve"> ликвидность банков в целях поддержания ее на адекватном уровн</w:t>
      </w:r>
      <w:r>
        <w:rPr>
          <w:rFonts w:ascii="Times New Roman" w:hAnsi="Times New Roman"/>
          <w:sz w:val="28"/>
          <w:szCs w:val="28"/>
        </w:rPr>
        <w:t>е.</w:t>
      </w:r>
      <w:r w:rsidRPr="00D02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0500D">
        <w:rPr>
          <w:rFonts w:ascii="Times New Roman" w:hAnsi="Times New Roman"/>
          <w:sz w:val="28"/>
          <w:szCs w:val="28"/>
        </w:rPr>
        <w:t>ля стабилизации ресурсной базы банков будет рассмотрен вопрос о переводе временно свободных денежных средств небанковских финансовых организаций, размещаемых в Национальном Банке РК, на депозиты отечественных банков</w:t>
      </w:r>
    </w:p>
    <w:p w:rsidR="0049239D" w:rsidRDefault="0049239D" w:rsidP="00CA6205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0500D">
        <w:rPr>
          <w:rFonts w:ascii="Times New Roman" w:hAnsi="Times New Roman"/>
          <w:sz w:val="28"/>
          <w:szCs w:val="28"/>
        </w:rPr>
        <w:t xml:space="preserve">нижение инфляции при обеспечении роста ВВП </w:t>
      </w:r>
      <w:r>
        <w:rPr>
          <w:rFonts w:ascii="Times New Roman" w:hAnsi="Times New Roman"/>
          <w:sz w:val="28"/>
          <w:szCs w:val="28"/>
        </w:rPr>
        <w:t>н</w:t>
      </w:r>
      <w:r w:rsidRPr="00F0500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2011-2013гг</w:t>
      </w:r>
      <w:r w:rsidRPr="00F0500D">
        <w:rPr>
          <w:rFonts w:ascii="Times New Roman" w:hAnsi="Times New Roman"/>
          <w:sz w:val="28"/>
          <w:szCs w:val="28"/>
        </w:rPr>
        <w:t xml:space="preserve"> по-прежнему остается конечной целью денежно-кредитной политики. В 2011 году ожидается сохранение инфляционного фона на текущем уровне. Это связано с тем, что основными рисками роста инфляции в 2011 году будут оставаться факторы, действующие в 2010 году. При этом в 2011 году влияние монетарных факторов на формирование инфляционных процессов в Республике Казахстан, как и в 2010 году, будет минимальным. </w:t>
      </w:r>
      <w:r>
        <w:rPr>
          <w:rFonts w:ascii="Times New Roman" w:hAnsi="Times New Roman"/>
          <w:sz w:val="28"/>
          <w:szCs w:val="28"/>
        </w:rPr>
        <w:t>Планируется</w:t>
      </w:r>
      <w:r w:rsidRPr="00F0500D">
        <w:rPr>
          <w:rFonts w:ascii="Times New Roman" w:hAnsi="Times New Roman"/>
          <w:sz w:val="28"/>
          <w:szCs w:val="28"/>
        </w:rPr>
        <w:t xml:space="preserve"> удержание инфляции в коридоре 6-8%.</w:t>
      </w:r>
    </w:p>
    <w:p w:rsidR="0049239D" w:rsidRPr="008758FC" w:rsidRDefault="0049239D" w:rsidP="00850C44">
      <w:pPr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F0500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всех вышеперечисленных мер денежно-кредитной политики, а также мер фискальной, отраслевой политики, политики в области финансов и инвестиций при их тесной взаимосвязи, </w:t>
      </w:r>
      <w:r w:rsidRPr="00F0500D">
        <w:rPr>
          <w:rFonts w:ascii="Times New Roman" w:hAnsi="Times New Roman"/>
          <w:sz w:val="28"/>
          <w:szCs w:val="28"/>
        </w:rPr>
        <w:t>позволит</w:t>
      </w:r>
      <w:r>
        <w:rPr>
          <w:rFonts w:ascii="Times New Roman" w:hAnsi="Times New Roman"/>
          <w:sz w:val="28"/>
          <w:szCs w:val="28"/>
        </w:rPr>
        <w:t xml:space="preserve"> достичь</w:t>
      </w:r>
      <w:r w:rsidRPr="00F0500D">
        <w:rPr>
          <w:rFonts w:ascii="Times New Roman" w:hAnsi="Times New Roman"/>
          <w:sz w:val="28"/>
          <w:szCs w:val="28"/>
        </w:rPr>
        <w:t xml:space="preserve"> установленных ориентиров </w:t>
      </w:r>
      <w:r>
        <w:rPr>
          <w:rFonts w:ascii="Times New Roman" w:hAnsi="Times New Roman"/>
          <w:sz w:val="28"/>
          <w:szCs w:val="28"/>
        </w:rPr>
        <w:t xml:space="preserve">развития страны и </w:t>
      </w:r>
      <w:r w:rsidRPr="00F0500D">
        <w:rPr>
          <w:rFonts w:ascii="Times New Roman" w:hAnsi="Times New Roman"/>
          <w:sz w:val="28"/>
          <w:szCs w:val="28"/>
        </w:rPr>
        <w:t xml:space="preserve">будет способствовать </w:t>
      </w:r>
      <w:r>
        <w:rPr>
          <w:rFonts w:ascii="Times New Roman" w:hAnsi="Times New Roman"/>
          <w:sz w:val="28"/>
          <w:szCs w:val="28"/>
        </w:rPr>
        <w:t xml:space="preserve">устойчивому и качественному росту </w:t>
      </w:r>
      <w:r w:rsidRPr="00F0500D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Казахстана. </w:t>
      </w:r>
    </w:p>
    <w:p w:rsidR="0049239D" w:rsidRDefault="0049239D" w:rsidP="008758FC">
      <w:pPr>
        <w:ind w:left="0" w:firstLine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875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Региональной студенческой научно-практической конференции «Новое поколение и современные проблемы экономического развития республики Казахстан»</w:t>
      </w:r>
    </w:p>
    <w:p w:rsidR="0049239D" w:rsidRDefault="0049239D" w:rsidP="008758FC">
      <w:pPr>
        <w:ind w:left="0" w:firstLine="454"/>
        <w:rPr>
          <w:rFonts w:ascii="Times New Roman" w:hAnsi="Times New Roman"/>
          <w:sz w:val="28"/>
          <w:szCs w:val="28"/>
        </w:rPr>
      </w:pPr>
    </w:p>
    <w:p w:rsidR="0049239D" w:rsidRPr="008758FC" w:rsidRDefault="0049239D" w:rsidP="008758FC">
      <w:pPr>
        <w:rPr>
          <w:rFonts w:ascii="Times New Roman" w:hAnsi="Times New Roman"/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"/>
        <w:gridCol w:w="5529"/>
        <w:gridCol w:w="4643"/>
      </w:tblGrid>
      <w:tr w:rsidR="0049239D" w:rsidRPr="00EF0A4A" w:rsidTr="00EF0A4A">
        <w:trPr>
          <w:trHeight w:val="393"/>
        </w:trPr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Гребля Александр Анатольевич</w:t>
            </w:r>
          </w:p>
          <w:p w:rsidR="0049239D" w:rsidRPr="00EF0A4A" w:rsidRDefault="0049239D" w:rsidP="00EF0A4A">
            <w:pPr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Представляемое учебное заведение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КарГТУ</w:t>
            </w: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Научный руководитель доклада(Ф.И.О.,должность, место работы)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Зав.каф.ЭП, д.э.н., профессор Ахметжанов Б.А.</w:t>
            </w: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Почтовый адрес, телефон, факс, е-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100022, ул.Волочаевская,53-37</w:t>
            </w:r>
          </w:p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 xml:space="preserve">Тел.744582, сот.87026633266, 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EF0A4A">
              <w:rPr>
                <w:rFonts w:ascii="Times New Roman" w:hAnsi="Times New Roman"/>
                <w:sz w:val="28"/>
                <w:szCs w:val="28"/>
              </w:rPr>
              <w:t>.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F0A4A">
              <w:rPr>
                <w:rFonts w:ascii="Times New Roman" w:hAnsi="Times New Roman"/>
                <w:sz w:val="28"/>
                <w:szCs w:val="28"/>
              </w:rPr>
              <w:t>.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F0A4A">
              <w:rPr>
                <w:rFonts w:ascii="Times New Roman" w:hAnsi="Times New Roman"/>
                <w:sz w:val="28"/>
                <w:szCs w:val="28"/>
              </w:rPr>
              <w:t>.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F0A4A">
              <w:rPr>
                <w:rFonts w:ascii="Times New Roman" w:hAnsi="Times New Roman"/>
                <w:sz w:val="28"/>
                <w:szCs w:val="28"/>
              </w:rPr>
              <w:t>@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F0A4A">
              <w:rPr>
                <w:rFonts w:ascii="Times New Roman" w:hAnsi="Times New Roman"/>
                <w:sz w:val="28"/>
                <w:szCs w:val="28"/>
              </w:rPr>
              <w:t>.</w:t>
            </w:r>
            <w:r w:rsidRPr="00EF0A4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Номер и наименование секции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454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Финансы</w:t>
            </w: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Необходимые технические средства для демонстрации материалов доклада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39D" w:rsidRPr="00EF0A4A" w:rsidTr="00EF0A4A">
        <w:tc>
          <w:tcPr>
            <w:tcW w:w="425" w:type="dxa"/>
          </w:tcPr>
          <w:p w:rsidR="0049239D" w:rsidRPr="00EF0A4A" w:rsidRDefault="0049239D" w:rsidP="00EF0A4A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9239D" w:rsidRPr="00EF0A4A" w:rsidRDefault="0049239D" w:rsidP="00EF0A4A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0A4A">
              <w:rPr>
                <w:rFonts w:ascii="Times New Roman" w:hAnsi="Times New Roman"/>
                <w:sz w:val="28"/>
                <w:szCs w:val="28"/>
              </w:rPr>
              <w:t>Необходимость бронирования мест в профилактории</w:t>
            </w:r>
          </w:p>
        </w:tc>
        <w:tc>
          <w:tcPr>
            <w:tcW w:w="4643" w:type="dxa"/>
          </w:tcPr>
          <w:p w:rsidR="0049239D" w:rsidRPr="00EF0A4A" w:rsidRDefault="0049239D" w:rsidP="00EF0A4A">
            <w:pPr>
              <w:ind w:left="45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39D" w:rsidRPr="008758FC" w:rsidRDefault="0049239D" w:rsidP="008758FC">
      <w:pPr>
        <w:rPr>
          <w:rFonts w:ascii="Times New Roman" w:hAnsi="Times New Roman"/>
          <w:sz w:val="28"/>
          <w:szCs w:val="28"/>
        </w:rPr>
      </w:pPr>
    </w:p>
    <w:p w:rsidR="0049239D" w:rsidRPr="008758FC" w:rsidRDefault="0049239D" w:rsidP="008758FC">
      <w:pPr>
        <w:ind w:left="454"/>
        <w:rPr>
          <w:rFonts w:ascii="Times New Roman" w:hAnsi="Times New Roman"/>
          <w:sz w:val="28"/>
          <w:szCs w:val="28"/>
        </w:rPr>
      </w:pPr>
    </w:p>
    <w:p w:rsidR="0049239D" w:rsidRPr="008758FC" w:rsidRDefault="0049239D" w:rsidP="00851EDE">
      <w:pPr>
        <w:ind w:left="0" w:firstLine="45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239D" w:rsidRPr="008758FC" w:rsidSect="00733C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1221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53DF"/>
    <w:multiLevelType w:val="hybridMultilevel"/>
    <w:tmpl w:val="A6D6DFB8"/>
    <w:lvl w:ilvl="0" w:tplc="5E2401E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FA6"/>
    <w:rsid w:val="00093781"/>
    <w:rsid w:val="000B2B2A"/>
    <w:rsid w:val="00181DB7"/>
    <w:rsid w:val="001930C1"/>
    <w:rsid w:val="001B0CBF"/>
    <w:rsid w:val="001C3CD1"/>
    <w:rsid w:val="001E5FA6"/>
    <w:rsid w:val="001F1E50"/>
    <w:rsid w:val="00454D96"/>
    <w:rsid w:val="00487961"/>
    <w:rsid w:val="0049239D"/>
    <w:rsid w:val="004B79E7"/>
    <w:rsid w:val="005B34C5"/>
    <w:rsid w:val="00660D46"/>
    <w:rsid w:val="006B372A"/>
    <w:rsid w:val="00710F96"/>
    <w:rsid w:val="00733C0C"/>
    <w:rsid w:val="00751ADC"/>
    <w:rsid w:val="007D126E"/>
    <w:rsid w:val="008316EE"/>
    <w:rsid w:val="00835FA3"/>
    <w:rsid w:val="00850C44"/>
    <w:rsid w:val="00851EDE"/>
    <w:rsid w:val="008758FC"/>
    <w:rsid w:val="00880ACA"/>
    <w:rsid w:val="00895C4D"/>
    <w:rsid w:val="00900264"/>
    <w:rsid w:val="00A45832"/>
    <w:rsid w:val="00BF2786"/>
    <w:rsid w:val="00C37BD2"/>
    <w:rsid w:val="00CA3496"/>
    <w:rsid w:val="00CA6205"/>
    <w:rsid w:val="00D0201E"/>
    <w:rsid w:val="00D40341"/>
    <w:rsid w:val="00D717E2"/>
    <w:rsid w:val="00E2457A"/>
    <w:rsid w:val="00E70419"/>
    <w:rsid w:val="00ED33E4"/>
    <w:rsid w:val="00EF0A4A"/>
    <w:rsid w:val="00F0500D"/>
    <w:rsid w:val="00F329B0"/>
    <w:rsid w:val="00F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618E-62FB-4ED1-9485-B05AE4B5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2B2A"/>
    <w:pPr>
      <w:ind w:left="-709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D717E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semiHidden/>
    <w:locked/>
    <w:rsid w:val="00D717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660D46"/>
    <w:pPr>
      <w:numPr>
        <w:numId w:val="2"/>
      </w:numPr>
      <w:contextualSpacing/>
    </w:pPr>
  </w:style>
  <w:style w:type="paragraph" w:customStyle="1" w:styleId="1">
    <w:name w:val="Абзац списку1"/>
    <w:basedOn w:val="a0"/>
    <w:rsid w:val="008758FC"/>
    <w:pPr>
      <w:ind w:left="720"/>
      <w:contextualSpacing/>
    </w:pPr>
  </w:style>
  <w:style w:type="table" w:styleId="a6">
    <w:name w:val="Table Grid"/>
    <w:basedOn w:val="a2"/>
    <w:rsid w:val="008758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Гребля А</vt:lpstr>
    </vt:vector>
  </TitlesOfParts>
  <Company>MultiDVD Team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Гребля А</dc:title>
  <dc:subject/>
  <dc:creator>User</dc:creator>
  <cp:keywords/>
  <dc:description/>
  <cp:lastModifiedBy>Irina</cp:lastModifiedBy>
  <cp:revision>2</cp:revision>
  <cp:lastPrinted>2011-01-25T09:39:00Z</cp:lastPrinted>
  <dcterms:created xsi:type="dcterms:W3CDTF">2014-08-16T07:35:00Z</dcterms:created>
  <dcterms:modified xsi:type="dcterms:W3CDTF">2014-08-16T07:35:00Z</dcterms:modified>
</cp:coreProperties>
</file>