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28" w:rsidRPr="00301428" w:rsidRDefault="00301428" w:rsidP="00301428">
      <w:pPr>
        <w:spacing w:after="0" w:line="240" w:lineRule="auto"/>
        <w:ind w:left="-567"/>
        <w:rPr>
          <w:b/>
          <w:sz w:val="16"/>
          <w:szCs w:val="16"/>
          <w:u w:val="single"/>
        </w:rPr>
      </w:pPr>
      <w:r w:rsidRPr="00301428">
        <w:rPr>
          <w:b/>
          <w:sz w:val="16"/>
          <w:szCs w:val="16"/>
          <w:u w:val="single"/>
        </w:rPr>
        <w:t>32.Правовые основы и порядок форфетирования.</w:t>
      </w:r>
    </w:p>
    <w:p w:rsidR="00301428" w:rsidRPr="00301428" w:rsidRDefault="00301428" w:rsidP="00301428">
      <w:pPr>
        <w:spacing w:after="0" w:line="240" w:lineRule="auto"/>
        <w:ind w:left="-567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</w:p>
    <w:p w:rsidR="00301428" w:rsidRPr="00301428" w:rsidRDefault="00301428" w:rsidP="00301428">
      <w:pPr>
        <w:pStyle w:val="1"/>
        <w:ind w:left="-567"/>
        <w:rPr>
          <w:rFonts w:ascii="Arial" w:hAnsi="Arial" w:cs="Arial"/>
          <w:b w:val="0"/>
          <w:color w:val="auto"/>
          <w:sz w:val="16"/>
          <w:szCs w:val="16"/>
        </w:rPr>
      </w:pPr>
      <w:r w:rsidRPr="00301428">
        <w:rPr>
          <w:rFonts w:ascii="Arial" w:hAnsi="Arial" w:cs="Arial"/>
          <w:b w:val="0"/>
          <w:color w:val="auto"/>
          <w:sz w:val="16"/>
          <w:szCs w:val="16"/>
        </w:rPr>
        <w:t>Форфетирование (форфейтинг) - форма кредитования продавцов товаров, применяемая чаще всего во внешнеторговых операциях. Суть её состоит в том, что банк (форфейтор) выкупает у экспортёра (продавца) денежное обязательство импортёра (покупателя) об оплате купленного товара сразу же после его поставки и сам производит полную или частичную оплату стоимости товара экспортёру. Впоследствии денежные средства банку-форфейтору в оплату товара перечисляет импортёр, покупатель.</w:t>
      </w:r>
    </w:p>
    <w:p w:rsidR="00301428" w:rsidRPr="00301428" w:rsidRDefault="00301428" w:rsidP="00301428">
      <w:pPr>
        <w:spacing w:after="0" w:line="240" w:lineRule="auto"/>
        <w:ind w:left="-567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 xml:space="preserve">Операцией, сходной с факторингом, является </w:t>
      </w:r>
      <w:r w:rsidRPr="00301428">
        <w:rPr>
          <w:rFonts w:ascii="Arial" w:eastAsia="Times New Roman" w:hAnsi="Arial" w:cs="Arial"/>
          <w:bCs/>
          <w:kern w:val="36"/>
          <w:sz w:val="16"/>
          <w:szCs w:val="16"/>
          <w:u w:val="single"/>
          <w:lang w:eastAsia="ru-RU"/>
        </w:rPr>
        <w:t>форфейтинг</w:t>
      </w: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 xml:space="preserve"> (от франц. а forfait - целиком, общей суммой) - форма банковского кредита продавцам, применяемая чаще всего во внешнеторговых операциях и предусматривающая приобретение права требования по оплате поставок товаров и оказанию услуг, принятия риска исполнения этих требований и их инкассирование. Банк (форфейтор) выкупает у экспортёра (продавца) денежное обязательство импортёра (покупателя) об оплате купленного товара сразу же после его поставки и сам производит полную или частичную оплату стоимости товара экспортёру. В последующем денежные средства банку-форфейтору в оплату товара перечисляет импортёр, покупатель. За досрочную оплату банк-форфейтор взимает с экспортёра проценты. Форфейтинг, в отличие от факторинга, является однократной операцией, связанной с получением денежных средств путём перепродажи приобретённых прав на товары и услуги.</w:t>
      </w:r>
    </w:p>
    <w:p w:rsidR="00301428" w:rsidRPr="00301428" w:rsidRDefault="00301428" w:rsidP="00301428">
      <w:pPr>
        <w:spacing w:after="0" w:line="240" w:lineRule="auto"/>
        <w:ind w:left="-567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Возникновение операции форфетирования относится к периоду существенных изменений в структуре и конъюнктуре международной торговли в конце 50-х - начале 60-х годов 20 века, когда условия реализации продукции постепенно из рынка продавца превратились в рынок покупателя. Это время характеризуется постепенной отменой торговых ограничений, возникших в период политики "холодной войны" в начале 50-х годов. Возобновление активных торговых взаимоотношений западноевропейских государств с социалистическими странами, повышение значения их торговли с развивающимися странами Азии, Африки и Латинской Америки поставили перед западноевропейскими экспортёрами ряд дополнительных финансовых проблем. Кроме того, активизация действий западноевропейских стран на новых рынках сбыта пришлась на период роста производственных инвестиций фирм-экспортёров, что в значительной мере ограничило собственные возможности экспортёров по предоставлению покупателям среднесрочных и долгосрочных коммерческих кредитов. Дело в том, что структура финансовых операций на традиционных денежных рынках не отвечала их возросшим потребностям в заёмных средствах и условиям привлечения последних. В результате в начале 60-х годов и возник феномен "форфейтингого кредитования" как один из путей удовлетворения возросших</w:t>
      </w:r>
    </w:p>
    <w:p w:rsidR="00301428" w:rsidRPr="00301428" w:rsidRDefault="00301428" w:rsidP="00301428">
      <w:pPr>
        <w:spacing w:after="0" w:line="240" w:lineRule="auto"/>
        <w:ind w:left="-567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потребностей в предоставлении международного кредита.</w:t>
      </w: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br/>
        <w:t>Первоначально центр подобного рынка сформировался в Швейцарии, где исторически зарождалась многие новые формы банковского кредитования международной торговли, а первым из крупных западных банков включился в форфетирование швейцарский финансовый колосс "Креди Сюисс". Характерные черты форфетирования представляется возможным сформулировать следующим образом: взаимосвязь с реальными торговыми операциями; форфетируемая задолженность оформляется средне- или долгосрочным платёжными обязательствами, например, простыми векселями; кредитование осуществляется на дисконтной основе, т.е. путём учёта упомянутых платёжных обязательств; процентная ставка по предоставляемым кредитам является фиксированной; кредитование осуществляется преимущественно на долгосрочной основе (как правило, на срок от одного до пяти лет); чаще всего форфетирование связано с продажами машин, оборудования и других товаров инвестиционного назначения.</w:t>
      </w:r>
    </w:p>
    <w:p w:rsidR="00301428" w:rsidRPr="00301428" w:rsidRDefault="00301428" w:rsidP="00301428">
      <w:pPr>
        <w:spacing w:after="0" w:line="240" w:lineRule="auto"/>
        <w:ind w:left="-567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 xml:space="preserve">К числу общих вопросов, решаемых при форфетировании, относятся: </w:t>
      </w:r>
    </w:p>
    <w:p w:rsidR="00301428" w:rsidRPr="00301428" w:rsidRDefault="00301428" w:rsidP="00301428">
      <w:pPr>
        <w:spacing w:after="0" w:line="240" w:lineRule="auto"/>
        <w:ind w:left="-567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 xml:space="preserve">а) </w:t>
      </w:r>
      <w:r w:rsidRPr="00301428">
        <w:rPr>
          <w:rFonts w:ascii="Arial" w:eastAsia="Times New Roman" w:hAnsi="Arial" w:cs="Arial"/>
          <w:bCs/>
          <w:kern w:val="36"/>
          <w:sz w:val="16"/>
          <w:szCs w:val="16"/>
          <w:u w:val="single"/>
          <w:lang w:eastAsia="ru-RU"/>
        </w:rPr>
        <w:t>порядок погашения кредита</w:t>
      </w: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. Покупатель товара, получивший долгосрочный кредит на оплату поставленных товаров, как правило, стремится равномерно распределить его погашение в течение всего срока кредита, добиваясь тем самым рассредоточения во времени числящейся у него на балансе задолженности. В результате этого происходит сокращение среднего срока кредита в целом и некоторое снижение тех рисков, с которыми сопряжено его предоставление для кредитора. Погашение возникающей задолженности несколькими равными платежами принято считать наиболее приемлемой формой погашения. В тех случаях, когда задолженность оформлена простыми векселями, погашение задолженности достигается путём выписки партии векселей с разными сроками платежа, как правило, распределёнными через шестимесячные интервалы. В результате форфетируемый "портфель" платёжных обязательств может, например, включать 10 простых векселей, выписанных на равные суммы, причём срок платежа по первому из них наступит через шесть месяцев после даты отгрузки товаров, а по последнему - через пять лет от той же даты;</w:t>
      </w:r>
    </w:p>
    <w:p w:rsidR="00301428" w:rsidRPr="00301428" w:rsidRDefault="00301428" w:rsidP="00301428">
      <w:pPr>
        <w:spacing w:after="152" w:line="240" w:lineRule="auto"/>
        <w:ind w:left="-567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 xml:space="preserve">б) </w:t>
      </w:r>
      <w:r w:rsidRPr="00301428">
        <w:rPr>
          <w:rFonts w:ascii="Arial" w:eastAsia="Times New Roman" w:hAnsi="Arial" w:cs="Arial"/>
          <w:bCs/>
          <w:kern w:val="36"/>
          <w:sz w:val="16"/>
          <w:szCs w:val="16"/>
          <w:u w:val="single"/>
          <w:lang w:eastAsia="ru-RU"/>
        </w:rPr>
        <w:t>учёт векселей</w:t>
      </w:r>
      <w:r w:rsidRPr="00301428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. Векселя должны быть индоссированы (т.е. иметь передаточную надпись) поставщиком товара в пользу банка-форфейтора, который затем вычитает стоимость предоставляемого финансирования за весь период действия кредита из совокупного номинала выписанных векселей, а разницу выплачивает поставщику немедленно. С точки зрения поставщика товара сделка полностью завершена, поскольку ему оплачена вся стоимость поставленных им товаров. Таким образом, он освобождён от каких бы то ни было обязательств в отношении остающейся непогашенной задолженности покупателя, так как в передаточную надпись (индоссамент) включена оговорка "без оборота на меня" ("без права обратного требования"). Банк-форфейтор же сохраняет учтённые им обязательства в своём "портфеле" и может предъявить их к оплате по очереди, т.е. по мере наступления соответствующих сроков платежей, либо может привлечь ограниченное число институциональных или частных инвесторов к участию (на аналогичных условиях) в более крупных сделках</w:t>
      </w:r>
    </w:p>
    <w:p w:rsidR="00301428" w:rsidRPr="00301428" w:rsidRDefault="00301428" w:rsidP="00301428">
      <w:pPr>
        <w:spacing w:after="0" w:line="240" w:lineRule="auto"/>
        <w:ind w:left="-567"/>
        <w:rPr>
          <w:b/>
          <w:sz w:val="16"/>
          <w:szCs w:val="16"/>
          <w:u w:val="single"/>
        </w:rPr>
      </w:pPr>
      <w:r w:rsidRPr="00301428">
        <w:rPr>
          <w:b/>
          <w:sz w:val="16"/>
          <w:szCs w:val="16"/>
          <w:u w:val="single"/>
        </w:rPr>
        <w:t>36.Ипотечное кредитование по российскому законодательству.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Как и любой важный процесс, ипотека и ипотечное кредитование контролируются действующим российским законодательством. Правовая база, регулирующая ипотечные процессы в России, постоянно расширяется. Происходит постепенное совершенствование ипотечной законодательной базы, что значительно сократило случаи мошенничества в данной сфере. </w:t>
      </w:r>
      <w:r w:rsidRPr="00301428">
        <w:rPr>
          <w:rStyle w:val="a5"/>
          <w:rFonts w:ascii="Tahoma" w:hAnsi="Tahoma" w:cs="Tahoma"/>
          <w:sz w:val="16"/>
          <w:szCs w:val="16"/>
        </w:rPr>
        <w:t>Законы об ипотеке</w:t>
      </w:r>
      <w:r w:rsidRPr="00301428">
        <w:rPr>
          <w:rFonts w:ascii="Tahoma" w:hAnsi="Tahoma" w:cs="Tahoma"/>
          <w:sz w:val="16"/>
          <w:szCs w:val="16"/>
        </w:rPr>
        <w:t xml:space="preserve"> способствуют тому, чтобы заемщик смог почувствовать себя более уверенно.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>При этом, законодательное оформление происходит на каждом этапе ипотечных процессов. Согласно условиям ипотеки, приобретаемая недвижимость, а также все документы, обязательно подвергаются основательной юридической проверке как банком, так и страховой компанией. Законы об ипотеке обеспечивают уверенность заемщика в юридической "чистоте" будущего жилья.</w:t>
      </w:r>
    </w:p>
    <w:p w:rsidR="00301428" w:rsidRPr="00301428" w:rsidRDefault="00301428" w:rsidP="00301428">
      <w:pPr>
        <w:pStyle w:val="2"/>
        <w:spacing w:line="240" w:lineRule="auto"/>
        <w:ind w:left="-567"/>
        <w:jc w:val="both"/>
        <w:rPr>
          <w:rFonts w:ascii="Arial" w:hAnsi="Arial" w:cs="Arial"/>
          <w:color w:val="auto"/>
          <w:sz w:val="16"/>
          <w:szCs w:val="16"/>
        </w:rPr>
      </w:pPr>
      <w:r w:rsidRPr="00301428">
        <w:rPr>
          <w:color w:val="auto"/>
          <w:sz w:val="16"/>
          <w:szCs w:val="16"/>
        </w:rPr>
        <w:t>Законы и правовые документы об ипотеке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Согласно законодательству, ипотеку регулируют напрямую следующие законы и документы: </w:t>
      </w:r>
    </w:p>
    <w:p w:rsidR="00301428" w:rsidRPr="00301428" w:rsidRDefault="00301428" w:rsidP="0030142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Style w:val="a5"/>
          <w:rFonts w:ascii="Tahoma" w:hAnsi="Tahoma" w:cs="Tahoma"/>
          <w:sz w:val="16"/>
          <w:szCs w:val="16"/>
        </w:rPr>
        <w:t>Федеральный закон</w:t>
      </w:r>
      <w:r w:rsidRPr="00301428">
        <w:rPr>
          <w:rFonts w:ascii="Tahoma" w:hAnsi="Tahoma" w:cs="Tahoma"/>
          <w:sz w:val="16"/>
          <w:szCs w:val="16"/>
        </w:rPr>
        <w:t xml:space="preserve"> от 16 июля 1998 г. №102-ФЗ </w:t>
      </w:r>
      <w:r w:rsidRPr="00301428">
        <w:rPr>
          <w:rStyle w:val="a5"/>
          <w:rFonts w:ascii="Tahoma" w:hAnsi="Tahoma" w:cs="Tahoma"/>
          <w:sz w:val="16"/>
          <w:szCs w:val="16"/>
        </w:rPr>
        <w:t>"Об ипотеке (залоге недвижимости)"</w:t>
      </w:r>
      <w:r w:rsidRPr="00301428">
        <w:rPr>
          <w:rFonts w:ascii="Tahoma" w:hAnsi="Tahoma" w:cs="Tahoma"/>
          <w:sz w:val="16"/>
          <w:szCs w:val="16"/>
        </w:rPr>
        <w:t xml:space="preserve"> </w:t>
      </w:r>
    </w:p>
    <w:p w:rsidR="00301428" w:rsidRPr="00301428" w:rsidRDefault="00301428" w:rsidP="0030142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Федеральный закон №188-ФЗ от 29 декабря 2004 "Жилищный кодекс Российской Федерации" </w:t>
      </w:r>
    </w:p>
    <w:p w:rsidR="00301428" w:rsidRPr="00301428" w:rsidRDefault="00301428" w:rsidP="0030142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Федеральный закон от 21 июля 1997 г. №122-ФЗ "О государственной регистрации прав на недвижимое имущество и сделок с ним" </w:t>
      </w:r>
    </w:p>
    <w:p w:rsidR="00301428" w:rsidRPr="00301428" w:rsidRDefault="00301428" w:rsidP="0030142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Федеральный закон №218-ФЗ от 30 декабря 2004 г. "О кредитных историях" </w:t>
      </w:r>
    </w:p>
    <w:p w:rsidR="00301428" w:rsidRPr="00301428" w:rsidRDefault="00301428" w:rsidP="0030142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Постановление Правительства №285 от 13 мая 2006 г. "Об утверждении Правил предоставления молодым семьям субсидий на приобретение жилья в рамках реализации подпрограммы "Обеспечение жильем молодых семей" федеральной целевой программы "Жилище" на 2002-2010 гг. 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> </w:t>
      </w:r>
    </w:p>
    <w:p w:rsidR="00301428" w:rsidRPr="00301428" w:rsidRDefault="00301428" w:rsidP="00301428">
      <w:pPr>
        <w:pStyle w:val="3"/>
        <w:spacing w:line="240" w:lineRule="auto"/>
        <w:ind w:left="-567"/>
        <w:jc w:val="both"/>
        <w:rPr>
          <w:rFonts w:ascii="Arial" w:hAnsi="Arial" w:cs="Arial"/>
          <w:color w:val="auto"/>
          <w:sz w:val="16"/>
          <w:szCs w:val="16"/>
        </w:rPr>
      </w:pPr>
      <w:r w:rsidRPr="00301428">
        <w:rPr>
          <w:color w:val="auto"/>
          <w:sz w:val="16"/>
          <w:szCs w:val="16"/>
        </w:rPr>
        <w:t>Федеральный закон от 16 июля 1998 г. №102-ФЗ "Об ипотеке (залоге недвижимости)"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В данном законе об ипотеке рассматриваются основные понятия, относящиеся к ипотечному кредитованию и ипотечным процессам, вопросы регулирования ипотеки, обязательства и требования, обеспечиваемые ипотекой. 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>В Федеральном законе "Об ипотеке (залоге недвижимости)" вы сможете ознакомиться с полезной информацией о содержании договора по оформлению ипотеки и его государственной регистрации. Также он рассказывает о том, что такое закладная и осуществление прав по закладной, а также исполнение обеспеченного ипотекой обязательства.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>Один из важных аспектов, содержащихся в Федеральном законе "Об ипотеке" - это страхование заложенного имущества и ответственности заемщика за невозврат кредита, поскольку многие заемщики особенно опасаются того, что будет с ними в случае того, если они не смогут вернуть банку кредит.</w:t>
      </w:r>
    </w:p>
    <w:p w:rsidR="00301428" w:rsidRPr="00301428" w:rsidRDefault="00301428" w:rsidP="00301428">
      <w:pPr>
        <w:pStyle w:val="3"/>
        <w:spacing w:line="240" w:lineRule="auto"/>
        <w:ind w:left="-567"/>
        <w:jc w:val="both"/>
        <w:rPr>
          <w:rFonts w:ascii="Arial" w:hAnsi="Arial" w:cs="Arial"/>
          <w:color w:val="auto"/>
          <w:sz w:val="16"/>
          <w:szCs w:val="16"/>
        </w:rPr>
      </w:pPr>
      <w:r w:rsidRPr="00301428">
        <w:rPr>
          <w:color w:val="auto"/>
          <w:sz w:val="16"/>
          <w:szCs w:val="16"/>
        </w:rPr>
        <w:t>Федеральный закон №188-ФЗ от 29 декабря 2004 "Жилищный кодекс Российской Федерации"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>Данный кодекс регулирует основные начала жилищного законодательства, различные аспекты жилищных отношений, действие жилищного законодательства во времени, объекты жилищных прав, право собственности и т.д.</w:t>
      </w:r>
    </w:p>
    <w:p w:rsidR="00301428" w:rsidRPr="00301428" w:rsidRDefault="00301428" w:rsidP="00301428">
      <w:pPr>
        <w:pStyle w:val="3"/>
        <w:spacing w:line="240" w:lineRule="auto"/>
        <w:ind w:left="-567"/>
        <w:jc w:val="both"/>
        <w:rPr>
          <w:rFonts w:ascii="Arial" w:hAnsi="Arial" w:cs="Arial"/>
          <w:color w:val="auto"/>
          <w:sz w:val="16"/>
          <w:szCs w:val="16"/>
        </w:rPr>
      </w:pPr>
      <w:r w:rsidRPr="00301428">
        <w:rPr>
          <w:color w:val="auto"/>
          <w:sz w:val="16"/>
          <w:szCs w:val="16"/>
        </w:rPr>
        <w:t>Федеральный закон от 21 июля 1997 г. №122-ФЗ "О государственной регистрации прав на недвижимое имущество и сделок с ним"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>Данный федеральный закон описывает все необходимые подробности, связанные с регистрацией прав на недвижимое имущество, в том числе и по ипотеке. Государственная регистрация ипотеки проводится на основании заявления залогодателя или залогодержателя после государственной регистрации вещных прав залогодателя на недвижимое имущество. К заявлению залогодателя или залогодержателя прилагается договор об ипотеке вместе с указанными в договоре документами.</w:t>
      </w:r>
    </w:p>
    <w:p w:rsidR="00301428" w:rsidRPr="00301428" w:rsidRDefault="00301428" w:rsidP="00301428">
      <w:pPr>
        <w:pStyle w:val="3"/>
        <w:spacing w:line="240" w:lineRule="auto"/>
        <w:ind w:left="-567"/>
        <w:jc w:val="both"/>
        <w:rPr>
          <w:rFonts w:ascii="Arial" w:hAnsi="Arial" w:cs="Arial"/>
          <w:color w:val="auto"/>
          <w:sz w:val="16"/>
          <w:szCs w:val="16"/>
        </w:rPr>
      </w:pPr>
      <w:r w:rsidRPr="00301428">
        <w:rPr>
          <w:color w:val="auto"/>
          <w:sz w:val="16"/>
          <w:szCs w:val="16"/>
        </w:rPr>
        <w:t>Федеральный закон №218-ФЗ от 30 декабря 2004 "О кредитных историях"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>Федеральным законом "О кредитных историях" определяются понятие и состав кредитной истории, основания, порядок формирования, хранения и использования кредитных историй, регулируется связанная с этим деятельность бюро кредитных историй, устанавливаются особенности создания, ликвидации и реорганизации бюро кредитных историй, а также принципы их взаимодействия с источниками формирования кредитной истории, заемщиками, органами государственной власти, органами местного самоуправления и Банком России.</w:t>
      </w:r>
    </w:p>
    <w:p w:rsidR="00301428" w:rsidRPr="00301428" w:rsidRDefault="00301428" w:rsidP="00301428">
      <w:pPr>
        <w:pStyle w:val="3"/>
        <w:spacing w:line="240" w:lineRule="auto"/>
        <w:ind w:left="-567"/>
        <w:jc w:val="both"/>
        <w:rPr>
          <w:rFonts w:ascii="Arial" w:hAnsi="Arial" w:cs="Arial"/>
          <w:color w:val="auto"/>
          <w:sz w:val="16"/>
          <w:szCs w:val="16"/>
        </w:rPr>
      </w:pPr>
      <w:r w:rsidRPr="00301428">
        <w:rPr>
          <w:color w:val="auto"/>
          <w:sz w:val="16"/>
          <w:szCs w:val="16"/>
        </w:rPr>
        <w:t>Постановление Правительства №285 от 13 мая 2006 г. "Об утверждении Правил предоставления молодым семьям субсидий на приобретение жилья в рамках реализации подпрограммы "Обеспечение жильем молодых семей" федеральной целевой программы "Жилище" на 2002-2010 гг.</w:t>
      </w:r>
    </w:p>
    <w:p w:rsidR="00301428" w:rsidRPr="00301428" w:rsidRDefault="00301428" w:rsidP="00301428">
      <w:pPr>
        <w:pStyle w:val="a4"/>
        <w:ind w:left="-567"/>
        <w:jc w:val="both"/>
        <w:rPr>
          <w:rFonts w:ascii="Tahoma" w:hAnsi="Tahoma" w:cs="Tahoma"/>
          <w:sz w:val="16"/>
          <w:szCs w:val="16"/>
        </w:rPr>
      </w:pPr>
      <w:r w:rsidRPr="00301428">
        <w:rPr>
          <w:rFonts w:ascii="Tahoma" w:hAnsi="Tahoma" w:cs="Tahoma"/>
          <w:sz w:val="16"/>
          <w:szCs w:val="16"/>
        </w:rPr>
        <w:t xml:space="preserve">Постановление </w:t>
      </w:r>
      <w:r w:rsidRPr="00301428">
        <w:rPr>
          <w:rStyle w:val="a5"/>
          <w:rFonts w:ascii="Tahoma" w:hAnsi="Tahoma" w:cs="Tahoma"/>
          <w:sz w:val="16"/>
          <w:szCs w:val="16"/>
        </w:rPr>
        <w:t>устанавливает порядок предоставления молодым семьям субсидий</w:t>
      </w:r>
      <w:r w:rsidRPr="00301428">
        <w:rPr>
          <w:rFonts w:ascii="Tahoma" w:hAnsi="Tahoma" w:cs="Tahoma"/>
          <w:sz w:val="16"/>
          <w:szCs w:val="16"/>
        </w:rPr>
        <w:t xml:space="preserve"> на приобретение жилья, в том числе на уплату первоначального взноса при получении ипотечного жилищного кредита или займа на приобретение жилого помещения или создание объекта индивидуального жилищного строительства (далее - субсидии), в рамках реализации подпрограммы "Обеспечение жильем молодых семей" федеральной целевой программы "Жилище" на 2002-2010 годы, утвержденной постановлением Правительства Российской Федерации от 17 сентября 2001г. N 675 (Собрание законодательства Российской Федерации, 2001, N 39, ст. 3770; 2006, N 6, ст. 694), а также выполнения в 2006 году обязательств по компенсации части затрат на приобретение или строительство жилья, произведенных молодыми семьями - участниками подпрограммы "Обеспечение жильем молодых семей", входящей в состав федеральной целевой программы "Жилище" на 2002 - 2010 годы, утвержденной постановлением Правительства Российской Федерации от 28 августа 2002 г. N 638 (Собрание законодательства Российской Федерации, 2002, N 35, ст. 3386), при</w:t>
      </w:r>
      <w:r>
        <w:rPr>
          <w:rFonts w:ascii="Tahoma" w:hAnsi="Tahoma" w:cs="Tahoma"/>
          <w:sz w:val="16"/>
          <w:szCs w:val="16"/>
        </w:rPr>
        <w:t xml:space="preserve"> рождении (усыновлении) ребенка</w:t>
      </w:r>
    </w:p>
    <w:p w:rsidR="00301428" w:rsidRPr="00301428" w:rsidRDefault="00301428" w:rsidP="00301428">
      <w:pPr>
        <w:spacing w:line="240" w:lineRule="auto"/>
        <w:ind w:left="-567"/>
        <w:rPr>
          <w:b/>
          <w:sz w:val="16"/>
          <w:szCs w:val="16"/>
          <w:u w:val="single"/>
        </w:rPr>
      </w:pPr>
    </w:p>
    <w:p w:rsidR="00301428" w:rsidRPr="00301428" w:rsidRDefault="00301428" w:rsidP="00301428">
      <w:pPr>
        <w:spacing w:line="240" w:lineRule="auto"/>
        <w:ind w:left="-567"/>
        <w:rPr>
          <w:rFonts w:ascii="Arial" w:eastAsia="Times New Roman" w:hAnsi="Arial" w:cs="Arial"/>
          <w:sz w:val="16"/>
          <w:szCs w:val="16"/>
          <w:lang w:eastAsia="ru-RU"/>
        </w:rPr>
      </w:pPr>
      <w:r w:rsidRPr="00301428">
        <w:rPr>
          <w:b/>
          <w:sz w:val="16"/>
          <w:szCs w:val="16"/>
          <w:u w:val="single"/>
        </w:rPr>
        <w:t>37.Правовые основы, порядок и виды ломбардного кредита</w:t>
      </w:r>
      <w:r w:rsidRPr="00301428">
        <w:rPr>
          <w:b/>
          <w:sz w:val="16"/>
          <w:szCs w:val="16"/>
        </w:rPr>
        <w:br/>
      </w:r>
      <w:r w:rsidRPr="00301428">
        <w:rPr>
          <w:rFonts w:ascii="Arial" w:eastAsia="Times New Roman" w:hAnsi="Arial" w:cs="Arial"/>
          <w:sz w:val="16"/>
          <w:szCs w:val="16"/>
          <w:lang w:eastAsia="ru-RU"/>
        </w:rPr>
        <w:t>Ломбардный кредит - быстро и выгодно Один из видов займов, которые можно назвать срочными, используется на протяжении столетий — это ссуда под залог имущества или имущественных прав. Ломбардный кредит предусматривает выдачу займа в размере 50% от стоимости залога, иногда больше — этот вопрос регулируется банком самостоятельно. Займ можно получить под залог ценных бумаг, автомобиля, или недвижимости. Главное, чем отличается ломбардный кредит от других видов банковских займов, это передача залога на хранение в банк. Таким образом клиент декларирует намерение честно и в срок рассчитаться по обязательствам, а в случае неуплаты заранее соглашается на право банка продать внесённый залог, и за счёт вырученной суммы погасить займ. Конечно, если оформляется ломбардный кредит под залог недвижимости, собственность клиента остаётся на месте, а в банке хранится договор о передаче имущественных прав на случай нарушения клиентом договора. Кредитный брокер «ДЕАЛСА» поможет вам получить ломбардный кредит под залог любого ликвидного имущества, соблюдая интересы клиента в первую очередь. Ломбардный кредит под залог недвижимости позволяет эффективно использовать имеющиеся в вашем распоряжении активы — ваша собственность работает, обеспечивая получение прибыли.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Ломбардный кредит — это кредит в твердо фиксированной сумме, предоставляемый кредитором (банком) заемщику на определенный срок под залог имущества или имущественных прав (включая товары, товарораспорядительные документы, драгоценные металлы, ценные бумаги и т.д.).</w:t>
      </w: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 xml:space="preserve"> В настоящее время весьма широкое применение имеют ломбардные кредиты под залог ценных бумаг. "Чистый" ломбардный кредит — это краткосрочный кредит, со сроком погашения до года (в основном он предоставляется сроком на три месяца). Клиенты обращаются в банк за получением кредита под залог ценных бумаг обычно, когда они испытывают временную потребность в кредитных ресурсах и не заинтересованы в продаже на бирже находящихся у них в портфеле ценных бумаг.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 </w:t>
      </w:r>
      <w:r w:rsidRPr="0030142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Предоставление ломбардного кредита</w:t>
      </w: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предполагает заключение между банком и клиентом (заемщиком) помимо кредитного ' договора (в котором определяется размер кредита, ставка процента, условия погашения: одной суммой или частями) договора о передаче залогового права на имущество для обеспечения требований кредитора.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 Когда банк предоставляет кредит под какое-либо обеспечение, он обычно получает от клиента залоговое обязательство (см. примерную форму залогового обязательства клиента — приложения 6,7), в котором клиент предоставляет банку залоговое право на все переданное и передаваемое в будущем имущество, право потребовать от него дополнительное обеспечение, право продать заложенное в банке имущество в случае невыполнения клиентом его обязательства, не прибегая к суду или арбитражу, и использовать вырученные суммы для погашения долга клиента банку. В этом обязательстве указывается, что банк в случае невыполнения клиентом обязательства может продать заложенное имущество на определяемых им самим условиях, в том числе и выступать в качестве покупателя при продаже. Клиент обязуется возместить не только сумму долга с процентами, но и все издержки, связанные с хранением обеспечения, инкассированием долга и т.п. При этом клиент (залогодатель) продолжает нести ответственность по оплате долга и других обязательств, несмотря на удержание банком обеспечения. Клиент предоставляет банку залоговое право на все имущество, все ценности, все имущественные права, остатки на текущих и депозитных счетах и другие суммы, находящиеся в банке. В некоторых обязательствах предусматривается право банка совершать перезалог предоставленного ему клиентом имущества.</w:t>
      </w:r>
    </w:p>
    <w:p w:rsidR="00301428" w:rsidRPr="00301428" w:rsidRDefault="00301428" w:rsidP="00301428">
      <w:pPr>
        <w:spacing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 Если ломбардный кредит предоставляется под залог ценных бумаг (а не товаров), залогодатель передает кредитору не право на ценные бумаги, а сами ценные бумаги. При этом при залоге именных ценных бумаг в договоре о залоге указываются условия и момент перехода собственности на эти ценные бумаги от должника к кредитору.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Банки предоставляют кредит главным образом под залог тех ценных бумаг, которые имеют официальную котировку на фондовых биржах и (или) которые принимаются к учету или в качестве залога в Центральном банке. Это прежде всего — государственные ценные бумаги и ценные бумаги, гарантированные государством, первоклассные коммерческие векселя и банковские акцепты (со сроком погашения не более трех месяцев), обращаемые на бирже акции и облигации крупных промышленных компаний и банков, сберегательные и депозитные сертификаты, а также сертификаты инвестиционных фондов.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Сумма кредита зависит от "качества" обеспечения: вида ценных \ бумаг, сложности их реализации на рынке, сроков погашения, воз- ) можности их переучета или получения под их залог кредита в ) Центральном банке. | Например, в отношении государственных ценных бумаг, а также первоклассных коммерческих векселей ломбардный кредит может предоставляться на сумму до 80 % рыночной (или номинальной) стоимости ценных бумаг. В отношении акций и облигаций промышленных компаний и банков, обращаемых на бирже, размер кредита обычно не превышает 60 % их рыночной стоимости; а в отношении сберегательных сертификатов кредит можно предоставлять на всю сумму их номинальной стоимости.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Разница между стоимостью обеспечения и суммой кредита на- | зывается маржой. В случае уменьшения маржи (в результате па- | дения рыночной стоимости ценных бумаг) должник обязуется по требованию банка либо погасить часть долга с тем, чтобы сумма долга была приведена в соответствие с новой рыночной стоимостью ценных бумаг, либо предоставить дополнительное обеспечение.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Если ценные бумаги не котируются на бирже, оценка их стоимости и соответственно размеров предоставляемого по ним кредита (размеров маржи) производится самим банком на основе данных балансов, отчетов, публикуемых в печати; справок специализирующихся на сборе подобной информации организаций, в том числе правительственных; публикаций в специальной прессе; оценки качества руководства, перспектив развития компании и т.д.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Однако обычно банки стремятся не предоставлять кредит под залог не котирующихся на бирже ценных бумаг.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При предоставлении ломбардного кредита под залог векселей срок кредита не может превышать срока платежа по векселю, причем обычно такой кредит не превышает по срокам одного года. Кроме того, в большинстве случаев банки устанавливают лимит кредитования своих клиентов под залог векселей (а также других ценных бумаг), так как чем больше сумма и срок векселя, тем больший риск несет банк при покупке таких векселей и предоставлении под них кредита.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Следует отметить, что банк может предоставлять ломбардный кредит и под  залог  товарораспорядительных докумен-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; тов, таких, как складские свидетельства, варранты, сохранные рас-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I писки, коносаменты, железнодорожные накладные и т.п., которые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I обычно сопровождаются страховыми полисами.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 xml:space="preserve">Складское свидетельство представляет собой документ, выдаваемый складом о принятии им товаров на хранение. Оно должно быть оформлено в двух экземплярах, каждый из которых содержит в себе одни и те же реквизиты (указания), но один экземпляр служит для распоряжения товаром, а другой для залога. Когда клиент закладывает товар в банке, то право собственности на товар остается за ним, а банку принадлежит лишь залоговое право. Эти разные права и воплощаются в двух разных документах. Документ, служащий для залога, называется варрантом. Он передается банку, а на другом (распорядительном документе) банком делается отметка о выданной ссуде и ее размере. Оба документа представляют собой единое целое, и для того, чтобы получить товар со склада, необходимо предъявить оба документа. Владелец заложен- 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иого товара при его продаже передает покупателю документ, получив от него сумму стоимости за вычетом ссуды и процентов по ней, и покупатель выкупает варрант в банке. В случае неуплаты ссуды в срок банк может опротестовать варрант и предъявить его складу для производства продажи товара в принудительном порядке.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Коносамент — это документ, выдаваемый судовладельцем либо его уполномоченным лицом (капитаном) о принятии товара для перевозки. Это документ на распоряжение товаром, его владелец имеет право на товар. Коносаменты бывают именные (выписываются на имя определенного лица); ордерные (выписываются на имя определенного лица либо его приказу) и на предъявителя.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Сохранные расписки выдаются заемщиком банку в том случае, когда заложенный товар остается у него на ответственном хранении.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Ломбардные кредиты под товары и товарораспорядительные документы предоставляются банком обычно в размере 50—70 % рыночной стоимости товара. Клиент, получающий кредит под товарораспорядительные документы, передает банку право в случае неуплаты кредита в срок продать товары и из вырученной суммы погасить florir (включая проценты за кредит). Кроме того, по товарораспорядительным документам банки обычно взимают и дополнительную комиссию.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1428">
        <w:rPr>
          <w:rFonts w:ascii="Times New Roman" w:eastAsia="Times New Roman" w:hAnsi="Times New Roman"/>
          <w:sz w:val="16"/>
          <w:szCs w:val="16"/>
          <w:lang w:eastAsia="ru-RU"/>
        </w:rPr>
        <w:t>Вместе с тем следует отметить, что в настоящее время в "чистом" виде ломбардный кредит используется достаточно редко. В основном ценные бумаги принимаются в качестве залога при предоставлении контокоррентного кредита.</w:t>
      </w:r>
    </w:p>
    <w:p w:rsidR="00301428" w:rsidRPr="00301428" w:rsidRDefault="00301428" w:rsidP="00301428">
      <w:pPr>
        <w:spacing w:after="0" w:line="240" w:lineRule="auto"/>
        <w:ind w:left="-567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sectPr w:rsidR="00301428" w:rsidRPr="00301428" w:rsidSect="00C4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61196"/>
    <w:multiLevelType w:val="hybridMultilevel"/>
    <w:tmpl w:val="57E0BF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06F7C"/>
    <w:multiLevelType w:val="multilevel"/>
    <w:tmpl w:val="571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428"/>
    <w:rsid w:val="00301428"/>
    <w:rsid w:val="00C45EA2"/>
    <w:rsid w:val="00E559E9"/>
    <w:rsid w:val="00F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5EFD-6846-4718-BEE1-F908A73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1428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2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142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014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01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01428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301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01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868">
          <w:marLeft w:val="152"/>
          <w:marRight w:val="152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49">
          <w:marLeft w:val="152"/>
          <w:marRight w:val="152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3018</Words>
  <Characters>17207</Characters>
  <Application>Microsoft Office Word</Application>
  <DocSecurity>0</DocSecurity>
  <Lines>143</Lines>
  <Paragraphs>40</Paragraphs>
  <ScaleCrop>false</ScaleCrop>
  <Company>Nestlé</Company>
  <LinksUpToDate>false</LinksUpToDate>
  <CharactersWithSpaces>20185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rulastocna</dc:creator>
  <cp:keywords/>
  <dc:description/>
  <cp:lastModifiedBy>Irina</cp:lastModifiedBy>
  <cp:revision>2</cp:revision>
  <cp:lastPrinted>2011-06-23T14:26:00Z</cp:lastPrinted>
  <dcterms:created xsi:type="dcterms:W3CDTF">2014-07-18T19:28:00Z</dcterms:created>
  <dcterms:modified xsi:type="dcterms:W3CDTF">2014-07-18T19:28:00Z</dcterms:modified>
</cp:coreProperties>
</file>