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000" w:type="pct"/>
        <w:tblBorders>
          <w:left w:val="single" w:sz="18" w:space="0" w:color="4F81BD"/>
        </w:tblBorders>
        <w:tblLook w:val="00A0" w:firstRow="1" w:lastRow="0" w:firstColumn="1" w:lastColumn="0" w:noHBand="0" w:noVBand="0"/>
      </w:tblPr>
      <w:tblGrid>
        <w:gridCol w:w="7668"/>
      </w:tblGrid>
      <w:tr w:rsidR="00D25C7A" w:rsidRPr="00176EA6">
        <w:tc>
          <w:tcPr>
            <w:tcW w:w="7672" w:type="dxa"/>
            <w:tcMar>
              <w:top w:w="216" w:type="dxa"/>
              <w:left w:w="115" w:type="dxa"/>
              <w:bottom w:w="216" w:type="dxa"/>
              <w:right w:w="115" w:type="dxa"/>
            </w:tcMar>
          </w:tcPr>
          <w:p w:rsidR="00612D4A" w:rsidRDefault="00612D4A">
            <w:pPr>
              <w:pStyle w:val="10"/>
              <w:rPr>
                <w:rFonts w:ascii="Cambria" w:eastAsia="Times New Roman" w:hAnsi="Cambria"/>
              </w:rPr>
            </w:pPr>
          </w:p>
          <w:p w:rsidR="00D25C7A" w:rsidRDefault="00D25C7A">
            <w:pPr>
              <w:pStyle w:val="10"/>
              <w:rPr>
                <w:rFonts w:ascii="Cambria" w:eastAsia="Times New Roman" w:hAnsi="Cambria"/>
              </w:rPr>
            </w:pPr>
            <w:r>
              <w:rPr>
                <w:rFonts w:ascii="Cambria" w:eastAsia="Times New Roman" w:hAnsi="Cambria"/>
              </w:rPr>
              <w:t>RUSSIA</w:t>
            </w:r>
          </w:p>
        </w:tc>
      </w:tr>
      <w:tr w:rsidR="00D25C7A" w:rsidRPr="00176EA6">
        <w:tc>
          <w:tcPr>
            <w:tcW w:w="7672" w:type="dxa"/>
          </w:tcPr>
          <w:p w:rsidR="00D25C7A" w:rsidRDefault="00D25C7A">
            <w:pPr>
              <w:pStyle w:val="10"/>
              <w:rPr>
                <w:rFonts w:ascii="Cambria" w:eastAsia="Times New Roman" w:hAnsi="Cambria"/>
                <w:color w:val="4F81BD"/>
                <w:sz w:val="80"/>
                <w:szCs w:val="80"/>
              </w:rPr>
            </w:pPr>
            <w:r>
              <w:rPr>
                <w:rFonts w:ascii="Cambria" w:eastAsia="Times New Roman" w:hAnsi="Cambria"/>
                <w:color w:val="4F81BD"/>
                <w:sz w:val="80"/>
                <w:szCs w:val="80"/>
              </w:rPr>
              <w:t>[Введите название документа]</w:t>
            </w:r>
          </w:p>
        </w:tc>
      </w:tr>
      <w:tr w:rsidR="00D25C7A" w:rsidRPr="00176EA6">
        <w:tc>
          <w:tcPr>
            <w:tcW w:w="7672" w:type="dxa"/>
            <w:tcMar>
              <w:top w:w="216" w:type="dxa"/>
              <w:left w:w="115" w:type="dxa"/>
              <w:bottom w:w="216" w:type="dxa"/>
              <w:right w:w="115" w:type="dxa"/>
            </w:tcMar>
          </w:tcPr>
          <w:p w:rsidR="00D25C7A" w:rsidRDefault="00D25C7A">
            <w:pPr>
              <w:pStyle w:val="10"/>
              <w:rPr>
                <w:rFonts w:ascii="Cambria" w:eastAsia="Times New Roman" w:hAnsi="Cambria"/>
              </w:rPr>
            </w:pPr>
            <w:r>
              <w:rPr>
                <w:rFonts w:ascii="Cambria" w:eastAsia="Times New Roman" w:hAnsi="Cambria"/>
              </w:rPr>
              <w:t>[Введите подзаголовок документа]</w:t>
            </w:r>
          </w:p>
        </w:tc>
      </w:tr>
    </w:tbl>
    <w:p w:rsidR="00D25C7A" w:rsidRDefault="00D25C7A"/>
    <w:p w:rsidR="00D25C7A" w:rsidRDefault="00D25C7A"/>
    <w:tbl>
      <w:tblPr>
        <w:tblpPr w:leftFromText="187" w:rightFromText="187" w:horzAnchor="margin" w:tblpXSpec="center" w:tblpYSpec="bottom"/>
        <w:tblW w:w="4000" w:type="pct"/>
        <w:tblLook w:val="00A0" w:firstRow="1" w:lastRow="0" w:firstColumn="1" w:lastColumn="0" w:noHBand="0" w:noVBand="0"/>
      </w:tblPr>
      <w:tblGrid>
        <w:gridCol w:w="7668"/>
      </w:tblGrid>
      <w:tr w:rsidR="00D25C7A" w:rsidRPr="00176EA6">
        <w:tc>
          <w:tcPr>
            <w:tcW w:w="7672" w:type="dxa"/>
            <w:tcMar>
              <w:top w:w="216" w:type="dxa"/>
              <w:left w:w="115" w:type="dxa"/>
              <w:bottom w:w="216" w:type="dxa"/>
              <w:right w:w="115" w:type="dxa"/>
            </w:tcMar>
          </w:tcPr>
          <w:p w:rsidR="00D25C7A" w:rsidRPr="00176EA6" w:rsidRDefault="00D25C7A">
            <w:pPr>
              <w:pStyle w:val="10"/>
              <w:rPr>
                <w:rFonts w:eastAsia="Times New Roman"/>
                <w:color w:val="4F81BD"/>
              </w:rPr>
            </w:pPr>
            <w:r w:rsidRPr="00176EA6">
              <w:rPr>
                <w:rFonts w:eastAsia="Times New Roman"/>
                <w:color w:val="4F81BD"/>
              </w:rPr>
              <w:t>XP GAME 2009</w:t>
            </w:r>
          </w:p>
          <w:p w:rsidR="00D25C7A" w:rsidRPr="00176EA6" w:rsidRDefault="00D25C7A">
            <w:pPr>
              <w:pStyle w:val="10"/>
              <w:rPr>
                <w:rFonts w:eastAsia="Times New Roman"/>
                <w:color w:val="4F81BD"/>
              </w:rPr>
            </w:pPr>
            <w:r w:rsidRPr="00176EA6">
              <w:rPr>
                <w:rFonts w:eastAsia="Times New Roman"/>
                <w:color w:val="4F81BD"/>
              </w:rPr>
              <w:t>[Выберите дату]</w:t>
            </w:r>
          </w:p>
          <w:p w:rsidR="00D25C7A" w:rsidRPr="00176EA6" w:rsidRDefault="00D25C7A">
            <w:pPr>
              <w:pStyle w:val="10"/>
              <w:rPr>
                <w:rFonts w:eastAsia="Times New Roman"/>
                <w:color w:val="4F81BD"/>
              </w:rPr>
            </w:pPr>
          </w:p>
        </w:tc>
      </w:tr>
    </w:tbl>
    <w:p w:rsidR="00D25C7A" w:rsidRDefault="00D25C7A"/>
    <w:p w:rsidR="00D25C7A" w:rsidRDefault="00D25C7A">
      <w:pPr>
        <w:rPr>
          <w:rFonts w:ascii="Times New Roman" w:hAnsi="Times New Roman"/>
          <w:b/>
          <w:sz w:val="28"/>
        </w:rPr>
      </w:pPr>
      <w:r>
        <w:rPr>
          <w:rFonts w:ascii="Times New Roman" w:hAnsi="Times New Roman"/>
          <w:b/>
          <w:sz w:val="28"/>
        </w:rPr>
        <w:br w:type="page"/>
      </w:r>
    </w:p>
    <w:p w:rsidR="00D25C7A" w:rsidRDefault="00D25C7A" w:rsidP="00DE2FCE">
      <w:pPr>
        <w:pStyle w:val="1"/>
        <w:spacing w:after="0" w:line="360" w:lineRule="auto"/>
        <w:ind w:left="284"/>
        <w:jc w:val="center"/>
        <w:rPr>
          <w:rFonts w:ascii="Times New Roman" w:hAnsi="Times New Roman"/>
          <w:b/>
          <w:sz w:val="28"/>
        </w:rPr>
      </w:pPr>
      <w:r>
        <w:rPr>
          <w:rFonts w:ascii="Times New Roman" w:hAnsi="Times New Roman"/>
          <w:b/>
          <w:sz w:val="28"/>
        </w:rPr>
        <w:t>Содержание</w:t>
      </w:r>
    </w:p>
    <w:p w:rsidR="00D25C7A" w:rsidRPr="00DE2FCE" w:rsidRDefault="00D25C7A" w:rsidP="00DE2FCE">
      <w:pPr>
        <w:pStyle w:val="1"/>
        <w:numPr>
          <w:ilvl w:val="0"/>
          <w:numId w:val="1"/>
        </w:numPr>
        <w:spacing w:after="0" w:line="360" w:lineRule="auto"/>
        <w:ind w:left="0" w:firstLine="284"/>
        <w:jc w:val="both"/>
        <w:rPr>
          <w:rFonts w:ascii="Times New Roman" w:hAnsi="Times New Roman"/>
          <w:sz w:val="28"/>
        </w:rPr>
      </w:pPr>
      <w:r w:rsidRPr="00DE2FCE">
        <w:rPr>
          <w:rFonts w:ascii="Times New Roman" w:hAnsi="Times New Roman"/>
          <w:sz w:val="28"/>
        </w:rPr>
        <w:t>Депозитарные расписки: АДР и ГДР</w:t>
      </w:r>
      <w:r>
        <w:rPr>
          <w:rFonts w:ascii="Times New Roman" w:hAnsi="Times New Roman"/>
          <w:sz w:val="28"/>
        </w:rPr>
        <w:t>……………………………………3</w:t>
      </w:r>
    </w:p>
    <w:p w:rsidR="00D25C7A" w:rsidRPr="007C3E70" w:rsidRDefault="00D25C7A" w:rsidP="007C3E70">
      <w:pPr>
        <w:pStyle w:val="1"/>
        <w:numPr>
          <w:ilvl w:val="0"/>
          <w:numId w:val="1"/>
        </w:numPr>
        <w:spacing w:after="0" w:line="360" w:lineRule="auto"/>
        <w:ind w:left="0" w:firstLine="284"/>
        <w:jc w:val="both"/>
        <w:rPr>
          <w:rFonts w:ascii="Times New Roman" w:hAnsi="Times New Roman"/>
          <w:sz w:val="28"/>
        </w:rPr>
      </w:pPr>
      <w:r w:rsidRPr="007C3E70">
        <w:rPr>
          <w:rFonts w:ascii="Times New Roman" w:hAnsi="Times New Roman"/>
          <w:sz w:val="28"/>
        </w:rPr>
        <w:t>Интернет-экскурсия на Московскую межбанковскую валютную биржу (ММВБ)</w:t>
      </w:r>
      <w:r>
        <w:rPr>
          <w:rFonts w:ascii="Times New Roman" w:hAnsi="Times New Roman"/>
          <w:sz w:val="28"/>
        </w:rPr>
        <w:t>…………………………………………………………………………11</w:t>
      </w:r>
    </w:p>
    <w:p w:rsidR="00D25C7A" w:rsidRPr="007C3E70" w:rsidRDefault="00D25C7A" w:rsidP="007C3E70">
      <w:pPr>
        <w:pStyle w:val="1"/>
        <w:spacing w:after="0" w:line="360" w:lineRule="auto"/>
        <w:ind w:left="0" w:firstLine="284"/>
        <w:jc w:val="both"/>
        <w:rPr>
          <w:rFonts w:ascii="Times New Roman" w:hAnsi="Times New Roman"/>
          <w:sz w:val="28"/>
        </w:rPr>
      </w:pPr>
      <w:r w:rsidRPr="007C3E70">
        <w:rPr>
          <w:rFonts w:ascii="Times New Roman" w:hAnsi="Times New Roman"/>
          <w:sz w:val="28"/>
        </w:rPr>
        <w:t>Список используемой литературы</w:t>
      </w:r>
      <w:r>
        <w:rPr>
          <w:rFonts w:ascii="Times New Roman" w:hAnsi="Times New Roman"/>
          <w:sz w:val="28"/>
        </w:rPr>
        <w:t>…………………………………………16</w:t>
      </w:r>
    </w:p>
    <w:p w:rsidR="00D25C7A" w:rsidRDefault="00D25C7A">
      <w:pPr>
        <w:rPr>
          <w:rFonts w:ascii="Times New Roman" w:hAnsi="Times New Roman"/>
          <w:b/>
          <w:sz w:val="28"/>
        </w:rPr>
      </w:pPr>
      <w:r>
        <w:rPr>
          <w:rFonts w:ascii="Times New Roman" w:hAnsi="Times New Roman"/>
          <w:b/>
          <w:sz w:val="28"/>
        </w:rPr>
        <w:br w:type="page"/>
      </w:r>
    </w:p>
    <w:p w:rsidR="00D25C7A" w:rsidRPr="00DE2FCE" w:rsidRDefault="00D25C7A" w:rsidP="00DE2FCE">
      <w:pPr>
        <w:pStyle w:val="1"/>
        <w:numPr>
          <w:ilvl w:val="0"/>
          <w:numId w:val="2"/>
        </w:numPr>
        <w:spacing w:after="0" w:line="360" w:lineRule="auto"/>
        <w:jc w:val="center"/>
        <w:rPr>
          <w:rFonts w:ascii="Times New Roman" w:hAnsi="Times New Roman"/>
          <w:b/>
          <w:sz w:val="28"/>
        </w:rPr>
      </w:pPr>
      <w:r w:rsidRPr="00DE2FCE">
        <w:rPr>
          <w:rFonts w:ascii="Times New Roman" w:hAnsi="Times New Roman"/>
          <w:b/>
          <w:sz w:val="28"/>
        </w:rPr>
        <w:t>Депозитарные расписки: АДР и ГДР</w:t>
      </w:r>
    </w:p>
    <w:p w:rsidR="00D25C7A" w:rsidRPr="0017491D" w:rsidRDefault="00D25C7A" w:rsidP="0017491D">
      <w:pPr>
        <w:pStyle w:val="1"/>
        <w:spacing w:after="0" w:line="360" w:lineRule="auto"/>
        <w:ind w:left="0" w:firstLine="284"/>
        <w:jc w:val="both"/>
        <w:rPr>
          <w:rFonts w:ascii="Times New Roman" w:hAnsi="Times New Roman"/>
          <w:sz w:val="28"/>
        </w:rPr>
      </w:pPr>
      <w:r w:rsidRPr="0017491D">
        <w:rPr>
          <w:rFonts w:ascii="Times New Roman" w:hAnsi="Times New Roman"/>
          <w:sz w:val="28"/>
        </w:rPr>
        <w:t>В настоящее время инвестиции в российскую экономику осуществляются западными предпринимателями, преследующими краткосрочные цели и занимающимися перепродажей ценных бумаг или предоставлением услуг по ответственному хранению ценных бумаг. И сравнительно мало средств вкладывается в ведение бизнеса в России, связанного с производством или предоставлением услуг. Все это, несомненно, препятствует развитию российского бизнеса. Учитывая, что многие российские предприятия, желающие получить дополнительный капитал при помощи выпуска акций, испытывают затруднения при их размещении среди российских инвесторов, а также то, что иностранные инвесторы, присутствующие на российском рынке, предпочитают заниматься краткосрочными финансовыми операциями, инвестиционная деятельность некоторых российских компаний сегодня обретает новое качество. Они предпринимают попытки самостоятельно проникнуть на мировой рынок капиталов напрямую, минуя действующие на территории России западные инвестиционные компании. Одним из способов достижения данной цели является выпуск производных ценных бумаг на акции, так называемых депозитарных расписок.</w:t>
      </w:r>
    </w:p>
    <w:p w:rsidR="00D25C7A" w:rsidRDefault="00D25C7A" w:rsidP="0017491D">
      <w:pPr>
        <w:pStyle w:val="1"/>
        <w:spacing w:after="0" w:line="360" w:lineRule="auto"/>
        <w:ind w:left="0" w:firstLine="284"/>
        <w:jc w:val="both"/>
        <w:rPr>
          <w:rFonts w:ascii="Times New Roman" w:hAnsi="Times New Roman"/>
          <w:sz w:val="28"/>
        </w:rPr>
      </w:pPr>
      <w:r w:rsidRPr="0017491D">
        <w:rPr>
          <w:rFonts w:ascii="Times New Roman" w:hAnsi="Times New Roman"/>
          <w:sz w:val="28"/>
        </w:rPr>
        <w:t xml:space="preserve">Депозитарная расписка </w:t>
      </w:r>
      <w:r>
        <w:rPr>
          <w:rFonts w:ascii="Times New Roman" w:hAnsi="Times New Roman"/>
          <w:sz w:val="28"/>
        </w:rPr>
        <w:t>-</w:t>
      </w:r>
      <w:r w:rsidRPr="0017491D">
        <w:rPr>
          <w:rFonts w:ascii="Times New Roman" w:hAnsi="Times New Roman"/>
          <w:sz w:val="28"/>
        </w:rPr>
        <w:t xml:space="preserve"> это свободно обращающаяся на фондовом рынке производная (вторичная) ценная бумага на акции иностранной компании, депонированные в крупном депозитарном банке, который выпустил расписки в форме сертификатов или в бездокументарной форме. В мировой практике различают два вида депозитарных расписок:</w:t>
      </w:r>
    </w:p>
    <w:p w:rsidR="00D25C7A" w:rsidRDefault="00D25C7A" w:rsidP="0017491D">
      <w:pPr>
        <w:pStyle w:val="1"/>
        <w:spacing w:after="0" w:line="360" w:lineRule="auto"/>
        <w:ind w:left="0" w:firstLine="284"/>
        <w:jc w:val="both"/>
        <w:rPr>
          <w:rFonts w:ascii="Times New Roman" w:hAnsi="Times New Roman"/>
          <w:sz w:val="28"/>
        </w:rPr>
      </w:pPr>
      <w:r>
        <w:rPr>
          <w:rFonts w:ascii="Times New Roman" w:hAnsi="Times New Roman"/>
          <w:sz w:val="28"/>
        </w:rPr>
        <w:t xml:space="preserve">- </w:t>
      </w:r>
      <w:r w:rsidRPr="0017491D">
        <w:rPr>
          <w:rFonts w:ascii="Times New Roman" w:hAnsi="Times New Roman"/>
          <w:sz w:val="28"/>
        </w:rPr>
        <w:t xml:space="preserve">АДР </w:t>
      </w:r>
      <w:r>
        <w:rPr>
          <w:rFonts w:ascii="Times New Roman" w:hAnsi="Times New Roman"/>
          <w:sz w:val="28"/>
        </w:rPr>
        <w:t>-</w:t>
      </w:r>
      <w:r w:rsidRPr="0017491D">
        <w:rPr>
          <w:rFonts w:ascii="Times New Roman" w:hAnsi="Times New Roman"/>
          <w:sz w:val="28"/>
        </w:rPr>
        <w:t xml:space="preserve"> аме</w:t>
      </w:r>
      <w:r>
        <w:rPr>
          <w:rFonts w:ascii="Times New Roman" w:hAnsi="Times New Roman"/>
          <w:sz w:val="28"/>
        </w:rPr>
        <w:t>риканские депозитарные расписки –</w:t>
      </w:r>
      <w:r w:rsidRPr="0017491D">
        <w:rPr>
          <w:rFonts w:ascii="Times New Roman" w:hAnsi="Times New Roman"/>
          <w:sz w:val="28"/>
        </w:rPr>
        <w:t xml:space="preserve"> </w:t>
      </w:r>
      <w:r>
        <w:rPr>
          <w:rFonts w:ascii="Times New Roman" w:hAnsi="Times New Roman"/>
          <w:sz w:val="28"/>
        </w:rPr>
        <w:t>производственная ценная бумага,</w:t>
      </w:r>
      <w:r w:rsidRPr="0017491D">
        <w:rPr>
          <w:rFonts w:ascii="Times New Roman" w:hAnsi="Times New Roman"/>
          <w:sz w:val="28"/>
        </w:rPr>
        <w:t xml:space="preserve"> допущен</w:t>
      </w:r>
      <w:r>
        <w:rPr>
          <w:rFonts w:ascii="Times New Roman" w:hAnsi="Times New Roman"/>
          <w:sz w:val="28"/>
        </w:rPr>
        <w:t>н</w:t>
      </w:r>
      <w:r w:rsidRPr="0017491D">
        <w:rPr>
          <w:rFonts w:ascii="Times New Roman" w:hAnsi="Times New Roman"/>
          <w:sz w:val="28"/>
        </w:rPr>
        <w:t>ы</w:t>
      </w:r>
      <w:r>
        <w:rPr>
          <w:rFonts w:ascii="Times New Roman" w:hAnsi="Times New Roman"/>
          <w:sz w:val="28"/>
        </w:rPr>
        <w:t>е</w:t>
      </w:r>
      <w:r w:rsidRPr="0017491D">
        <w:rPr>
          <w:rFonts w:ascii="Times New Roman" w:hAnsi="Times New Roman"/>
          <w:sz w:val="28"/>
        </w:rPr>
        <w:t xml:space="preserve"> к обращению на американском фондовом рынке</w:t>
      </w:r>
      <w:r>
        <w:rPr>
          <w:rFonts w:ascii="Times New Roman" w:hAnsi="Times New Roman"/>
          <w:sz w:val="28"/>
        </w:rPr>
        <w:t xml:space="preserve"> и</w:t>
      </w:r>
      <w:r w:rsidRPr="00CC7141">
        <w:rPr>
          <w:rFonts w:ascii="Times New Roman" w:hAnsi="Times New Roman"/>
          <w:sz w:val="28"/>
        </w:rPr>
        <w:t xml:space="preserve"> выпускаем</w:t>
      </w:r>
      <w:r>
        <w:rPr>
          <w:rFonts w:ascii="Times New Roman" w:hAnsi="Times New Roman"/>
          <w:sz w:val="28"/>
        </w:rPr>
        <w:t>ая</w:t>
      </w:r>
      <w:r w:rsidRPr="00CC7141">
        <w:rPr>
          <w:rFonts w:ascii="Times New Roman" w:hAnsi="Times New Roman"/>
          <w:sz w:val="28"/>
        </w:rPr>
        <w:t xml:space="preserve"> под депонированные в банке США</w:t>
      </w:r>
      <w:r>
        <w:rPr>
          <w:rFonts w:ascii="Times New Roman" w:hAnsi="Times New Roman"/>
          <w:sz w:val="28"/>
        </w:rPr>
        <w:t xml:space="preserve"> акции неамериканских эмитентов;</w:t>
      </w:r>
    </w:p>
    <w:p w:rsidR="00D25C7A" w:rsidRDefault="00D25C7A" w:rsidP="0017491D">
      <w:pPr>
        <w:pStyle w:val="1"/>
        <w:spacing w:after="0" w:line="360" w:lineRule="auto"/>
        <w:ind w:left="0" w:firstLine="284"/>
        <w:jc w:val="both"/>
        <w:rPr>
          <w:rFonts w:ascii="Times New Roman" w:hAnsi="Times New Roman"/>
          <w:sz w:val="28"/>
        </w:rPr>
      </w:pPr>
      <w:r>
        <w:rPr>
          <w:rFonts w:ascii="Times New Roman" w:hAnsi="Times New Roman"/>
          <w:sz w:val="28"/>
        </w:rPr>
        <w:t xml:space="preserve">- </w:t>
      </w:r>
      <w:r w:rsidRPr="0017491D">
        <w:rPr>
          <w:rFonts w:ascii="Times New Roman" w:hAnsi="Times New Roman"/>
          <w:sz w:val="28"/>
        </w:rPr>
        <w:t xml:space="preserve">ГДР </w:t>
      </w:r>
      <w:r>
        <w:rPr>
          <w:rFonts w:ascii="Times New Roman" w:hAnsi="Times New Roman"/>
          <w:sz w:val="28"/>
        </w:rPr>
        <w:t>-</w:t>
      </w:r>
      <w:r w:rsidRPr="0017491D">
        <w:rPr>
          <w:rFonts w:ascii="Times New Roman" w:hAnsi="Times New Roman"/>
          <w:sz w:val="28"/>
        </w:rPr>
        <w:t xml:space="preserve"> глобальные депозитарные расписки, операции с которыми могут осуществляться и в других странах.</w:t>
      </w:r>
    </w:p>
    <w:p w:rsidR="00D25C7A" w:rsidRPr="0017491D" w:rsidRDefault="00D25C7A" w:rsidP="0017491D">
      <w:pPr>
        <w:pStyle w:val="1"/>
        <w:spacing w:after="0" w:line="360" w:lineRule="auto"/>
        <w:ind w:left="0" w:firstLine="284"/>
        <w:jc w:val="both"/>
        <w:rPr>
          <w:rFonts w:ascii="Times New Roman" w:hAnsi="Times New Roman"/>
          <w:sz w:val="28"/>
        </w:rPr>
      </w:pPr>
      <w:r>
        <w:rPr>
          <w:rFonts w:ascii="Times New Roman" w:hAnsi="Times New Roman"/>
          <w:sz w:val="28"/>
        </w:rPr>
        <w:t>Теперь поговорим немного об истории.</w:t>
      </w:r>
    </w:p>
    <w:p w:rsidR="00D25C7A" w:rsidRPr="0017491D" w:rsidRDefault="00D25C7A" w:rsidP="0017491D">
      <w:pPr>
        <w:pStyle w:val="1"/>
        <w:spacing w:after="0" w:line="360" w:lineRule="auto"/>
        <w:ind w:left="0" w:firstLine="284"/>
        <w:jc w:val="both"/>
        <w:rPr>
          <w:rFonts w:ascii="Times New Roman" w:hAnsi="Times New Roman"/>
          <w:sz w:val="28"/>
        </w:rPr>
      </w:pPr>
      <w:r w:rsidRPr="0017491D">
        <w:rPr>
          <w:rFonts w:ascii="Times New Roman" w:hAnsi="Times New Roman"/>
          <w:sz w:val="28"/>
        </w:rPr>
        <w:t>Депозитарные расписки возникли в США в 1927 г. Их появление  было  вызвано запретом  английского законодательства на вывоз английских акций за границу и желанием американцев несмотря ни на что спекулировать британскими акциями. Рынок депозитарных  расписок  начал  активно  развиваться  в 70</w:t>
      </w:r>
      <w:r>
        <w:rPr>
          <w:rFonts w:ascii="Times New Roman" w:hAnsi="Times New Roman"/>
          <w:sz w:val="28"/>
        </w:rPr>
        <w:t>-</w:t>
      </w:r>
      <w:r w:rsidRPr="0017491D">
        <w:rPr>
          <w:rFonts w:ascii="Times New Roman" w:hAnsi="Times New Roman"/>
          <w:sz w:val="28"/>
        </w:rPr>
        <w:t>80-е годы вслед за интеграцией мирового капитала. В 90-е годы рынок пережил настоящий бум, который был отчасти спровоцирован  падением  процентных ставок и  изысканием  возможностей американских инвесторов зарабатывать деньги на рынках развивающихся  стран.  Вполне резонно  может возникнуть вопрос: «А почему бы не продвинуть на американский рынок сами акции?» Здесь необходимо отметить, что система нормативных  актов  США настроена скорее  на ограничение  таких действий,   поэтому  большинство  американских  институциональных инвесторов отказываются иметь дело с иностранными акциями. Далее, слаборазвитая российская депозитарная система не позволяет эффективно вести операции с нашими акциями на  внешних рынках.</w:t>
      </w:r>
    </w:p>
    <w:p w:rsidR="00D25C7A" w:rsidRPr="0017491D" w:rsidRDefault="00D25C7A" w:rsidP="0017491D">
      <w:pPr>
        <w:pStyle w:val="1"/>
        <w:spacing w:after="0" w:line="360" w:lineRule="auto"/>
        <w:ind w:left="0" w:firstLine="284"/>
        <w:jc w:val="both"/>
        <w:rPr>
          <w:rFonts w:ascii="Times New Roman" w:hAnsi="Times New Roman"/>
          <w:sz w:val="28"/>
        </w:rPr>
      </w:pPr>
      <w:r w:rsidRPr="0017491D">
        <w:rPr>
          <w:rFonts w:ascii="Times New Roman" w:hAnsi="Times New Roman"/>
          <w:sz w:val="28"/>
        </w:rPr>
        <w:t>В настоящее время на мировых фондовых рынках обращаются более 1000 депозитарных расписок на акции различных эмитентов, подавляющая часть из которых представлена компаниями из развивающихся стран, а также российскими эмитентами.</w:t>
      </w:r>
    </w:p>
    <w:p w:rsidR="00D25C7A" w:rsidRDefault="00D25C7A" w:rsidP="0017491D">
      <w:pPr>
        <w:pStyle w:val="1"/>
        <w:spacing w:after="0" w:line="360" w:lineRule="auto"/>
        <w:ind w:left="0" w:firstLine="284"/>
        <w:jc w:val="both"/>
        <w:rPr>
          <w:rFonts w:ascii="Times New Roman" w:hAnsi="Times New Roman"/>
          <w:sz w:val="28"/>
        </w:rPr>
      </w:pPr>
      <w:r w:rsidRPr="0017491D">
        <w:rPr>
          <w:rFonts w:ascii="Times New Roman" w:hAnsi="Times New Roman"/>
          <w:sz w:val="28"/>
        </w:rPr>
        <w:t>Начиная разработку программы выпуска АДР (ГДР), компании преследуют достижение следующих целей:</w:t>
      </w:r>
    </w:p>
    <w:p w:rsidR="00D25C7A" w:rsidRDefault="00D25C7A" w:rsidP="0017491D">
      <w:pPr>
        <w:pStyle w:val="1"/>
        <w:spacing w:after="0" w:line="360" w:lineRule="auto"/>
        <w:ind w:left="0" w:firstLine="284"/>
        <w:jc w:val="both"/>
        <w:rPr>
          <w:rFonts w:ascii="Times New Roman" w:hAnsi="Times New Roman"/>
          <w:sz w:val="28"/>
        </w:rPr>
      </w:pPr>
      <w:r>
        <w:rPr>
          <w:rFonts w:ascii="Times New Roman" w:hAnsi="Times New Roman"/>
          <w:sz w:val="28"/>
        </w:rPr>
        <w:t xml:space="preserve">- </w:t>
      </w:r>
      <w:r w:rsidRPr="0017491D">
        <w:rPr>
          <w:rFonts w:ascii="Times New Roman" w:hAnsi="Times New Roman"/>
          <w:sz w:val="28"/>
        </w:rPr>
        <w:t>привлечение дополнительного капитала для реализации инвестиционных  проектов;</w:t>
      </w:r>
    </w:p>
    <w:p w:rsidR="00D25C7A" w:rsidRDefault="00D25C7A" w:rsidP="0017491D">
      <w:pPr>
        <w:pStyle w:val="1"/>
        <w:spacing w:after="0" w:line="360" w:lineRule="auto"/>
        <w:ind w:left="0" w:firstLine="284"/>
        <w:jc w:val="both"/>
        <w:rPr>
          <w:rFonts w:ascii="Times New Roman" w:hAnsi="Times New Roman"/>
          <w:sz w:val="28"/>
        </w:rPr>
      </w:pPr>
      <w:r>
        <w:rPr>
          <w:rFonts w:ascii="Times New Roman" w:hAnsi="Times New Roman"/>
          <w:sz w:val="28"/>
        </w:rPr>
        <w:t xml:space="preserve">- </w:t>
      </w:r>
      <w:r w:rsidRPr="0017491D">
        <w:rPr>
          <w:rFonts w:ascii="Times New Roman" w:hAnsi="Times New Roman"/>
          <w:sz w:val="28"/>
        </w:rPr>
        <w:t>создание имиджа у иностранных и отечественных инвесторов, так как депозитарные расписки на акции компаний выпускает всемирно известный и надежный банк;</w:t>
      </w:r>
    </w:p>
    <w:p w:rsidR="00D25C7A" w:rsidRDefault="00D25C7A" w:rsidP="0017491D">
      <w:pPr>
        <w:pStyle w:val="1"/>
        <w:spacing w:after="0" w:line="360" w:lineRule="auto"/>
        <w:ind w:left="0" w:firstLine="284"/>
        <w:jc w:val="both"/>
        <w:rPr>
          <w:rFonts w:ascii="Times New Roman" w:hAnsi="Times New Roman"/>
          <w:sz w:val="28"/>
        </w:rPr>
      </w:pPr>
      <w:r>
        <w:rPr>
          <w:rFonts w:ascii="Times New Roman" w:hAnsi="Times New Roman"/>
          <w:sz w:val="28"/>
        </w:rPr>
        <w:t xml:space="preserve">- </w:t>
      </w:r>
      <w:r w:rsidRPr="0017491D">
        <w:rPr>
          <w:rFonts w:ascii="Times New Roman" w:hAnsi="Times New Roman"/>
          <w:sz w:val="28"/>
        </w:rPr>
        <w:t>рост курсовой стоимости акций  на внутреннем рынке: вследствие возрастания спроса на эти акции</w:t>
      </w:r>
      <w:r>
        <w:rPr>
          <w:rFonts w:ascii="Times New Roman" w:hAnsi="Times New Roman"/>
          <w:sz w:val="28"/>
        </w:rPr>
        <w:t>;</w:t>
      </w:r>
    </w:p>
    <w:p w:rsidR="00D25C7A" w:rsidRDefault="00D25C7A" w:rsidP="0017491D">
      <w:pPr>
        <w:pStyle w:val="1"/>
        <w:spacing w:after="0" w:line="360" w:lineRule="auto"/>
        <w:ind w:left="0" w:firstLine="284"/>
        <w:jc w:val="both"/>
        <w:rPr>
          <w:rFonts w:ascii="Times New Roman" w:hAnsi="Times New Roman"/>
          <w:sz w:val="28"/>
        </w:rPr>
      </w:pPr>
      <w:r>
        <w:rPr>
          <w:rFonts w:ascii="Times New Roman" w:hAnsi="Times New Roman"/>
          <w:sz w:val="28"/>
        </w:rPr>
        <w:t xml:space="preserve">- </w:t>
      </w:r>
      <w:r w:rsidRPr="0017491D">
        <w:rPr>
          <w:rFonts w:ascii="Times New Roman" w:hAnsi="Times New Roman"/>
          <w:sz w:val="28"/>
        </w:rPr>
        <w:t>расширение круга инвесторов,  привлечение зарубежных портфельных инвесторов.</w:t>
      </w:r>
    </w:p>
    <w:p w:rsidR="00D25C7A" w:rsidRDefault="00D25C7A" w:rsidP="0017491D">
      <w:pPr>
        <w:pStyle w:val="1"/>
        <w:spacing w:after="0" w:line="360" w:lineRule="auto"/>
        <w:ind w:left="0" w:firstLine="284"/>
        <w:jc w:val="both"/>
        <w:rPr>
          <w:rFonts w:ascii="Times New Roman" w:hAnsi="Times New Roman"/>
          <w:sz w:val="28"/>
        </w:rPr>
      </w:pPr>
      <w:r w:rsidRPr="0017491D">
        <w:rPr>
          <w:rFonts w:ascii="Times New Roman" w:hAnsi="Times New Roman"/>
          <w:sz w:val="28"/>
        </w:rPr>
        <w:t>Выпуск депозитарных расписок весьма привлекателен и для инвесторов. Преимущества АДР (ГДР) для инвесторов заключаются в следующем:</w:t>
      </w:r>
    </w:p>
    <w:p w:rsidR="00D25C7A" w:rsidRDefault="00D25C7A" w:rsidP="0017491D">
      <w:pPr>
        <w:pStyle w:val="1"/>
        <w:spacing w:after="0" w:line="360" w:lineRule="auto"/>
        <w:ind w:left="0" w:firstLine="284"/>
        <w:jc w:val="both"/>
        <w:rPr>
          <w:rFonts w:ascii="Times New Roman" w:hAnsi="Times New Roman"/>
          <w:sz w:val="28"/>
        </w:rPr>
      </w:pPr>
      <w:r>
        <w:rPr>
          <w:rFonts w:ascii="Times New Roman" w:hAnsi="Times New Roman"/>
          <w:sz w:val="28"/>
        </w:rPr>
        <w:t xml:space="preserve">- </w:t>
      </w:r>
      <w:r w:rsidRPr="0017491D">
        <w:rPr>
          <w:rFonts w:ascii="Times New Roman" w:hAnsi="Times New Roman"/>
          <w:sz w:val="28"/>
        </w:rPr>
        <w:t>возможность более глубокой диверсификации портфеля ценных бумаг;</w:t>
      </w:r>
    </w:p>
    <w:p w:rsidR="00D25C7A" w:rsidRDefault="00D25C7A" w:rsidP="0017491D">
      <w:pPr>
        <w:pStyle w:val="1"/>
        <w:spacing w:after="0" w:line="360" w:lineRule="auto"/>
        <w:ind w:left="0" w:firstLine="284"/>
        <w:jc w:val="both"/>
        <w:rPr>
          <w:rFonts w:ascii="Times New Roman" w:hAnsi="Times New Roman"/>
          <w:sz w:val="28"/>
        </w:rPr>
      </w:pPr>
      <w:r>
        <w:rPr>
          <w:rFonts w:ascii="Times New Roman" w:hAnsi="Times New Roman"/>
          <w:sz w:val="28"/>
        </w:rPr>
        <w:t xml:space="preserve">- </w:t>
      </w:r>
      <w:r w:rsidRPr="0017491D">
        <w:rPr>
          <w:rFonts w:ascii="Times New Roman" w:hAnsi="Times New Roman"/>
          <w:sz w:val="28"/>
        </w:rPr>
        <w:t>проникновение через АДР (ГДР)  к акциям зарубежных компаний;</w:t>
      </w:r>
    </w:p>
    <w:p w:rsidR="00D25C7A" w:rsidRDefault="00D25C7A" w:rsidP="0017491D">
      <w:pPr>
        <w:pStyle w:val="1"/>
        <w:spacing w:after="0" w:line="360" w:lineRule="auto"/>
        <w:ind w:left="0" w:firstLine="284"/>
        <w:jc w:val="both"/>
        <w:rPr>
          <w:rFonts w:ascii="Times New Roman" w:hAnsi="Times New Roman"/>
          <w:sz w:val="28"/>
        </w:rPr>
      </w:pPr>
      <w:r>
        <w:rPr>
          <w:rFonts w:ascii="Times New Roman" w:hAnsi="Times New Roman"/>
          <w:sz w:val="28"/>
        </w:rPr>
        <w:t xml:space="preserve">- </w:t>
      </w:r>
      <w:r w:rsidRPr="0017491D">
        <w:rPr>
          <w:rFonts w:ascii="Times New Roman" w:hAnsi="Times New Roman"/>
          <w:sz w:val="28"/>
        </w:rPr>
        <w:t xml:space="preserve">возможность получить высокий доход на росте курсовой стоимости акций компаний из развивающихся стран; </w:t>
      </w:r>
    </w:p>
    <w:p w:rsidR="00D25C7A" w:rsidRDefault="00D25C7A" w:rsidP="0017491D">
      <w:pPr>
        <w:pStyle w:val="1"/>
        <w:spacing w:after="0" w:line="360" w:lineRule="auto"/>
        <w:ind w:left="0" w:firstLine="284"/>
        <w:jc w:val="both"/>
        <w:rPr>
          <w:rFonts w:ascii="Times New Roman" w:hAnsi="Times New Roman"/>
          <w:sz w:val="28"/>
        </w:rPr>
      </w:pPr>
      <w:r>
        <w:rPr>
          <w:rFonts w:ascii="Times New Roman" w:hAnsi="Times New Roman"/>
          <w:sz w:val="28"/>
        </w:rPr>
        <w:t xml:space="preserve">- </w:t>
      </w:r>
      <w:r w:rsidRPr="0017491D">
        <w:rPr>
          <w:rFonts w:ascii="Times New Roman" w:hAnsi="Times New Roman"/>
          <w:sz w:val="28"/>
        </w:rPr>
        <w:t>снижение рисков инвестирования в связи с несинхронным развитием фондовых рынков в разных странах. Например, если в США наблюдается спад рынка, а в России — подъем, то вложения в АДР российских эмитентов для американского инвестора являются весьма перспективными.</w:t>
      </w:r>
    </w:p>
    <w:p w:rsidR="00D25C7A" w:rsidRPr="0017491D" w:rsidRDefault="00D25C7A" w:rsidP="0017491D">
      <w:pPr>
        <w:pStyle w:val="1"/>
        <w:spacing w:after="0" w:line="360" w:lineRule="auto"/>
        <w:ind w:left="0" w:firstLine="284"/>
        <w:jc w:val="both"/>
        <w:rPr>
          <w:rFonts w:ascii="Times New Roman" w:hAnsi="Times New Roman"/>
          <w:sz w:val="28"/>
        </w:rPr>
      </w:pPr>
      <w:r w:rsidRPr="0017491D">
        <w:rPr>
          <w:rFonts w:ascii="Times New Roman" w:hAnsi="Times New Roman"/>
          <w:sz w:val="28"/>
        </w:rPr>
        <w:t xml:space="preserve">Депозитарные расписки делятся на спонсируемые и </w:t>
      </w:r>
      <w:r>
        <w:rPr>
          <w:rFonts w:ascii="Times New Roman" w:hAnsi="Times New Roman"/>
          <w:sz w:val="28"/>
        </w:rPr>
        <w:t>н</w:t>
      </w:r>
      <w:r w:rsidRPr="0017491D">
        <w:rPr>
          <w:rFonts w:ascii="Times New Roman" w:hAnsi="Times New Roman"/>
          <w:sz w:val="28"/>
        </w:rPr>
        <w:t>е</w:t>
      </w:r>
      <w:r>
        <w:rPr>
          <w:rFonts w:ascii="Times New Roman" w:hAnsi="Times New Roman"/>
          <w:sz w:val="28"/>
        </w:rPr>
        <w:t xml:space="preserve"> </w:t>
      </w:r>
      <w:r w:rsidRPr="0017491D">
        <w:rPr>
          <w:rFonts w:ascii="Times New Roman" w:hAnsi="Times New Roman"/>
          <w:sz w:val="28"/>
        </w:rPr>
        <w:t>спонсируемые.</w:t>
      </w:r>
    </w:p>
    <w:p w:rsidR="00D25C7A" w:rsidRPr="009A15AE" w:rsidRDefault="00D25C7A" w:rsidP="009A15AE">
      <w:pPr>
        <w:pStyle w:val="1"/>
        <w:spacing w:after="0" w:line="360" w:lineRule="auto"/>
        <w:ind w:left="0" w:firstLine="284"/>
        <w:jc w:val="both"/>
        <w:rPr>
          <w:rFonts w:ascii="Times New Roman" w:hAnsi="Times New Roman"/>
          <w:sz w:val="28"/>
        </w:rPr>
      </w:pPr>
      <w:r>
        <w:rPr>
          <w:rFonts w:ascii="Times New Roman" w:hAnsi="Times New Roman"/>
          <w:sz w:val="28"/>
        </w:rPr>
        <w:t>Не спонсируемые АДР</w:t>
      </w:r>
      <w:r w:rsidRPr="0017491D">
        <w:rPr>
          <w:rFonts w:ascii="Times New Roman" w:hAnsi="Times New Roman"/>
          <w:sz w:val="28"/>
        </w:rPr>
        <w:t xml:space="preserve"> выпускаются по инициативе крупного акционера или группы акционеров, владеющих значительным числом акций компании. Преимуществом не</w:t>
      </w:r>
      <w:r>
        <w:rPr>
          <w:rFonts w:ascii="Times New Roman" w:hAnsi="Times New Roman"/>
          <w:sz w:val="28"/>
        </w:rPr>
        <w:t xml:space="preserve"> </w:t>
      </w:r>
      <w:r w:rsidRPr="0017491D">
        <w:rPr>
          <w:rFonts w:ascii="Times New Roman" w:hAnsi="Times New Roman"/>
          <w:sz w:val="28"/>
        </w:rPr>
        <w:t>спонсируемых АДР является относительная простота их выпуска. Требования Комиссии по биржам и ценным бумагам США к акциям, против которых выпускаются не</w:t>
      </w:r>
      <w:r>
        <w:rPr>
          <w:rFonts w:ascii="Times New Roman" w:hAnsi="Times New Roman"/>
          <w:sz w:val="28"/>
        </w:rPr>
        <w:t xml:space="preserve"> </w:t>
      </w:r>
      <w:r w:rsidRPr="0017491D">
        <w:rPr>
          <w:rFonts w:ascii="Times New Roman" w:hAnsi="Times New Roman"/>
          <w:sz w:val="28"/>
        </w:rPr>
        <w:t>спонсируемые АДР, заключаются лишь в предоставлении ей пакета документов, подтверждающих полное соответствие деятельности компании эмитента и ее акций законодательству, действующему в стране эмитента. Недостатком не</w:t>
      </w:r>
      <w:r>
        <w:rPr>
          <w:rFonts w:ascii="Times New Roman" w:hAnsi="Times New Roman"/>
          <w:sz w:val="28"/>
        </w:rPr>
        <w:t xml:space="preserve"> </w:t>
      </w:r>
      <w:r w:rsidRPr="0017491D">
        <w:rPr>
          <w:rFonts w:ascii="Times New Roman" w:hAnsi="Times New Roman"/>
          <w:sz w:val="28"/>
        </w:rPr>
        <w:t xml:space="preserve">спонсируемых АДР является то, что торговать ими можно только на внебиржевом рынке, включив их в «Розовые страницы» </w:t>
      </w:r>
      <w:r>
        <w:rPr>
          <w:rFonts w:ascii="Times New Roman" w:hAnsi="Times New Roman"/>
          <w:sz w:val="28"/>
        </w:rPr>
        <w:t>-</w:t>
      </w:r>
      <w:r w:rsidRPr="0017491D">
        <w:rPr>
          <w:rFonts w:ascii="Times New Roman" w:hAnsi="Times New Roman"/>
          <w:sz w:val="28"/>
        </w:rPr>
        <w:t xml:space="preserve"> ежедневный бюллетень, публикующий цены маркет-мейкеров внебиржевого рынка. Данные АДР не допускаются к торговле на биржах и в системе NASDAQ. В последнее время наблюдается  уменьшение  количества  выпусков  не</w:t>
      </w:r>
      <w:r>
        <w:rPr>
          <w:rFonts w:ascii="Times New Roman" w:hAnsi="Times New Roman"/>
          <w:sz w:val="28"/>
        </w:rPr>
        <w:t xml:space="preserve"> </w:t>
      </w:r>
      <w:r w:rsidRPr="0017491D">
        <w:rPr>
          <w:rFonts w:ascii="Times New Roman" w:hAnsi="Times New Roman"/>
          <w:sz w:val="28"/>
        </w:rPr>
        <w:t>спонсируемых АДР.</w:t>
      </w:r>
    </w:p>
    <w:p w:rsidR="00D25C7A" w:rsidRPr="00CC7141" w:rsidRDefault="00D25C7A" w:rsidP="00CC7141">
      <w:pPr>
        <w:pStyle w:val="1"/>
        <w:spacing w:after="0" w:line="360" w:lineRule="auto"/>
        <w:ind w:left="0" w:firstLine="284"/>
        <w:jc w:val="both"/>
        <w:rPr>
          <w:rFonts w:ascii="Times New Roman" w:hAnsi="Times New Roman"/>
          <w:sz w:val="28"/>
        </w:rPr>
      </w:pPr>
      <w:r>
        <w:rPr>
          <w:rFonts w:ascii="Times New Roman" w:hAnsi="Times New Roman"/>
          <w:sz w:val="28"/>
        </w:rPr>
        <w:t>Спонсируемые АДР</w:t>
      </w:r>
      <w:r w:rsidRPr="0017491D">
        <w:rPr>
          <w:rFonts w:ascii="Times New Roman" w:hAnsi="Times New Roman"/>
          <w:sz w:val="28"/>
        </w:rPr>
        <w:t xml:space="preserve"> выпускаются по инициативе эмитента. Таким же путем организуется и выпуск ГДР. Для спонсируемых АДР существуют три уровня программ. Основное их различие состоит в том, позволяют ли они привлекать дополнительный капитал путем эмиссии акций, или нет. Первые два уровня допускают выпуск расписок лишь против уже находящихся во вторичном обращении акций. Третий уровень позволяет выпускать расписки на акции,  которые только проходят первичное размещение.</w:t>
      </w:r>
    </w:p>
    <w:p w:rsidR="00D25C7A" w:rsidRPr="009A15AE" w:rsidRDefault="00D25C7A" w:rsidP="009A15AE">
      <w:pPr>
        <w:pStyle w:val="1"/>
        <w:spacing w:after="0" w:line="360" w:lineRule="auto"/>
        <w:ind w:left="0" w:firstLine="284"/>
        <w:jc w:val="both"/>
        <w:rPr>
          <w:rFonts w:ascii="Times New Roman" w:hAnsi="Times New Roman"/>
          <w:sz w:val="28"/>
        </w:rPr>
      </w:pPr>
      <w:r w:rsidRPr="0017491D">
        <w:rPr>
          <w:rFonts w:ascii="Times New Roman" w:hAnsi="Times New Roman"/>
          <w:sz w:val="28"/>
        </w:rPr>
        <w:t>Для выпуска спонсируемых АДР первого уровня требуется такой же  минимум документации,  как и для не</w:t>
      </w:r>
      <w:r>
        <w:rPr>
          <w:rFonts w:ascii="Times New Roman" w:hAnsi="Times New Roman"/>
          <w:sz w:val="28"/>
        </w:rPr>
        <w:t xml:space="preserve"> </w:t>
      </w:r>
      <w:r w:rsidRPr="0017491D">
        <w:rPr>
          <w:rFonts w:ascii="Times New Roman" w:hAnsi="Times New Roman"/>
          <w:sz w:val="28"/>
        </w:rPr>
        <w:t>спонсируемых. Необходимым условием является  соответствие бумаг эмитента законодательству страны эмитента. Комиссия по ценным бумагам США должна удостовериться, что эмитент является законопослушным, для чего тот должен ответить на ряд вопросов, интересующих  Комиссию. АДР первого уровня могут выпускаться только на уже находящиеся в обращении акции. Торговля АДР первого уровня осуществляется на внебиржевом рынке. Второй уровень спонсируемых АДР требует предоставления в Комиссию части финансовой отчетности эмитента по стандартам,  принятым в США. А учитывая, что американцы обычно требуют от своих компаний большей открытости, чем европейцы, получается, что ко второму уровню допускаются эмитенты, которые, как правило, могут более полно, чем того требует законодательство их страны, раскрыть информацию о своей деятельности. АДР второго уровня могут быть включены в листинг автоматизированной системы торговли для национальной ассоциации дилер</w:t>
      </w:r>
      <w:r>
        <w:rPr>
          <w:rFonts w:ascii="Times New Roman" w:hAnsi="Times New Roman"/>
          <w:sz w:val="28"/>
        </w:rPr>
        <w:t xml:space="preserve">ов фондового рынка (NASDAQ), </w:t>
      </w:r>
      <w:r w:rsidRPr="0017491D">
        <w:rPr>
          <w:rFonts w:ascii="Times New Roman" w:hAnsi="Times New Roman"/>
          <w:sz w:val="28"/>
        </w:rPr>
        <w:t>Нью-Йоркской и Американской фондовых бирж.  Необходимо отметить,  что АДР второго уровня встречаются редко, так как требования к отчетности эмитента практически  совпадают с требованиями, предъявляемыми к выпуску АДР третьего уровня.</w:t>
      </w:r>
    </w:p>
    <w:p w:rsidR="00D25C7A" w:rsidRPr="009A15AE" w:rsidRDefault="00D25C7A" w:rsidP="009A15AE">
      <w:pPr>
        <w:pStyle w:val="1"/>
        <w:spacing w:after="0" w:line="360" w:lineRule="auto"/>
        <w:ind w:left="0" w:firstLine="284"/>
        <w:jc w:val="both"/>
        <w:rPr>
          <w:rFonts w:ascii="Times New Roman" w:hAnsi="Times New Roman"/>
          <w:sz w:val="28"/>
        </w:rPr>
      </w:pPr>
      <w:r w:rsidRPr="0017491D">
        <w:rPr>
          <w:rFonts w:ascii="Times New Roman" w:hAnsi="Times New Roman"/>
          <w:sz w:val="28"/>
        </w:rPr>
        <w:t>Третий уровень, как уже отмечалось выше, позволяет выпускать расписки на акции, которые только проходят первичное размещение. Это та самая вершина, к которой стремятся эмитенты: ее достижение означает хороший шанс для получения прямых инвестиций в твердой валюте.</w:t>
      </w:r>
    </w:p>
    <w:p w:rsidR="00D25C7A" w:rsidRPr="009A15AE" w:rsidRDefault="00D25C7A" w:rsidP="009A15AE">
      <w:pPr>
        <w:pStyle w:val="1"/>
        <w:spacing w:after="0" w:line="360" w:lineRule="auto"/>
        <w:ind w:left="0" w:firstLine="284"/>
        <w:jc w:val="both"/>
        <w:rPr>
          <w:rFonts w:ascii="Times New Roman" w:hAnsi="Times New Roman"/>
          <w:sz w:val="28"/>
        </w:rPr>
      </w:pPr>
      <w:r w:rsidRPr="0017491D">
        <w:rPr>
          <w:rFonts w:ascii="Times New Roman" w:hAnsi="Times New Roman"/>
          <w:sz w:val="28"/>
        </w:rPr>
        <w:t>АДР третьего уровня делятся на распространяемые по публичной подписке и так называемые ограниченные АДР, которые разрешено размещать лишь среди ограниченного круга инвесторов.</w:t>
      </w:r>
    </w:p>
    <w:p w:rsidR="00D25C7A" w:rsidRPr="0017491D" w:rsidRDefault="00D25C7A" w:rsidP="0017491D">
      <w:pPr>
        <w:pStyle w:val="1"/>
        <w:spacing w:after="0" w:line="360" w:lineRule="auto"/>
        <w:ind w:left="0" w:firstLine="284"/>
        <w:jc w:val="both"/>
        <w:rPr>
          <w:rFonts w:ascii="Times New Roman" w:hAnsi="Times New Roman"/>
          <w:sz w:val="28"/>
        </w:rPr>
      </w:pPr>
      <w:r w:rsidRPr="0017491D">
        <w:rPr>
          <w:rFonts w:ascii="Times New Roman" w:hAnsi="Times New Roman"/>
          <w:sz w:val="28"/>
        </w:rPr>
        <w:t xml:space="preserve">Для осуществления выпуска публичных АДР третьего уровня необходимо представить в Комиссию по биржам и ценным бумагам финансовую отчетность, соответствующую принятым в США стандартам бухгалтерского учета. Поэтому они имеют те же права, что и любые американские акции. </w:t>
      </w:r>
    </w:p>
    <w:p w:rsidR="00D25C7A" w:rsidRPr="009A15AE" w:rsidRDefault="00D25C7A" w:rsidP="009A15AE">
      <w:pPr>
        <w:pStyle w:val="1"/>
        <w:spacing w:after="0" w:line="360" w:lineRule="auto"/>
        <w:ind w:left="0" w:firstLine="284"/>
        <w:jc w:val="both"/>
        <w:rPr>
          <w:rFonts w:ascii="Times New Roman" w:hAnsi="Times New Roman"/>
          <w:sz w:val="28"/>
        </w:rPr>
      </w:pPr>
      <w:r w:rsidRPr="0017491D">
        <w:rPr>
          <w:rFonts w:ascii="Times New Roman" w:hAnsi="Times New Roman"/>
          <w:sz w:val="28"/>
        </w:rPr>
        <w:t xml:space="preserve"> Ограниченные АДР, вызывающие особый интерес у российских эмитентов, появились лишь в 1990 г., чему способствовали американские инвесторы, которые хотели расширить инвестиционные возможности путем более решительной экспансии на рискованных фондовых рынках. Программы ограниченных АДР, позволяя привлекать дополнительный капитал, не требуют предоставления в Комиссию по биржам и ценным бумагам финансовой отчетности, составленной в соответствии со стандартами, принятыми в США. Однако расписки данного типа могут иметь хождение лишь среди квалифицированных инвесторов, аналитические службы которых в состоянии самостоятельно провести исследование того или иного эмитента. Эти инвесторы могут осуществлять сделки через компьютерную сеть PORTAL, созданную национальной ассоциацией дилеров фондового рынка специально для обеспече</w:t>
      </w:r>
      <w:r>
        <w:rPr>
          <w:rFonts w:ascii="Times New Roman" w:hAnsi="Times New Roman"/>
          <w:sz w:val="28"/>
        </w:rPr>
        <w:t>ния торговли ограниченными АДР.</w:t>
      </w:r>
    </w:p>
    <w:p w:rsidR="00D25C7A" w:rsidRPr="009A15AE" w:rsidRDefault="00D25C7A" w:rsidP="009A15AE">
      <w:pPr>
        <w:pStyle w:val="1"/>
        <w:spacing w:after="0" w:line="360" w:lineRule="auto"/>
        <w:ind w:left="0" w:firstLine="284"/>
        <w:jc w:val="both"/>
        <w:rPr>
          <w:rFonts w:ascii="Times New Roman" w:hAnsi="Times New Roman"/>
          <w:sz w:val="28"/>
        </w:rPr>
      </w:pPr>
      <w:r w:rsidRPr="0017491D">
        <w:rPr>
          <w:rFonts w:ascii="Times New Roman" w:hAnsi="Times New Roman"/>
          <w:sz w:val="28"/>
        </w:rPr>
        <w:t xml:space="preserve">При покупке АДР иностранный инвестор избегает общения с незнакомым ему фондовым рынком страны эмитента и сложностей, которые с этим связаны. Да и владеть ему, пусть даже расписками, но своего депозитария (который, напомним, обычно является подразделением какого-нибудь крупного американского инвестиционного банка), гораздо надежнее: банк, будучи крупным акционером, имеет некоторое влияние на эмитента при решении важных вопросов (как например, дополнительная эмиссия, выплата дивидендов). Кроме того, не возникает хлопот с получением и конвертацией дивидендов и непосредственным общением с эмитентом </w:t>
      </w:r>
      <w:r>
        <w:rPr>
          <w:rFonts w:ascii="Times New Roman" w:hAnsi="Times New Roman"/>
          <w:sz w:val="28"/>
        </w:rPr>
        <w:t>-</w:t>
      </w:r>
      <w:r w:rsidRPr="0017491D">
        <w:rPr>
          <w:rFonts w:ascii="Times New Roman" w:hAnsi="Times New Roman"/>
          <w:sz w:val="28"/>
        </w:rPr>
        <w:t xml:space="preserve"> все это берет на себя депозитарный банк.</w:t>
      </w:r>
    </w:p>
    <w:p w:rsidR="00D25C7A" w:rsidRPr="009A15AE" w:rsidRDefault="00D25C7A" w:rsidP="009A15AE">
      <w:pPr>
        <w:pStyle w:val="1"/>
        <w:spacing w:after="0" w:line="360" w:lineRule="auto"/>
        <w:ind w:left="0" w:firstLine="284"/>
        <w:jc w:val="both"/>
        <w:rPr>
          <w:rFonts w:ascii="Times New Roman" w:hAnsi="Times New Roman"/>
          <w:sz w:val="28"/>
        </w:rPr>
      </w:pPr>
      <w:r w:rsidRPr="0017491D">
        <w:rPr>
          <w:rFonts w:ascii="Times New Roman" w:hAnsi="Times New Roman"/>
          <w:sz w:val="28"/>
        </w:rPr>
        <w:t xml:space="preserve">Итак, предположим, эмитент, соблазнившись заманчивой перспективой привлечения западных средств, решил организовать выпуск АДР или ГДР на свои акции. Ему удалось получить консультацию в фирме, занимающейся такими вопросами. Далее, консультант рекомендует депозитарий (подразделение какого-либо инвестиционного банка). При этом инвестиционный банк обычно становится менеджером проекта по выпуску АДР. Отечественных банков, которые возьмут на себя данные обязательства, в России практически нет. То есть пока о развитии солидного рынка АДР на российские акции говорить рано. Но, тем не менее, западные инвестиционные банки все же готовы выборочно работать с клиентами, у которых за спиной не только уставный капитал, но и реально работающее производство. Инвестиционный банк, ознакомившись с проектом, первым делом решит с эмитентом вопрос о том, выпуск каких расписок необходим </w:t>
      </w:r>
      <w:r>
        <w:rPr>
          <w:rFonts w:ascii="Times New Roman" w:hAnsi="Times New Roman"/>
          <w:sz w:val="28"/>
        </w:rPr>
        <w:t>-</w:t>
      </w:r>
      <w:r w:rsidRPr="0017491D">
        <w:rPr>
          <w:rFonts w:ascii="Times New Roman" w:hAnsi="Times New Roman"/>
          <w:sz w:val="28"/>
        </w:rPr>
        <w:t xml:space="preserve"> американских или глобальных. Очевидно, что американский рынок капиталов значительно привлекательнее по своей глубине для российских эмитентов. Хотя процедура регистрации депозитарных расписок (ГДР) в Европе проходит значительно быстрее и соответственно дешевле, чем в Америке. Затем инвестиционный банк составляет меморандум и начинает поиск потенциальных инвесторов. Скорость предоставления эмитентом информации напрямую связана с возможностью быстро и успешно осуществить выпуск депозитарных расписок. На следующем этапе к проекту уже напрямую подключается депозитарий, который будет заниматься депозитарным обслуживанием проекта. Инвестиционный банк, без сомнения, потребует от эмитента приведения его финансовой отчетности к мировым стандартам. Здесь не обойтись без услуг высококвалифицированных аудиторов мирового класса. После получения аудиторского заключения нужно подать документы в комиссию по ценным бумагам соответствующей страны и далее ответить на все ее многочисленные вопросы. Все это, кроме временных затрат, требует больших денежных затрат. </w:t>
      </w:r>
    </w:p>
    <w:p w:rsidR="00D25C7A" w:rsidRDefault="00D25C7A" w:rsidP="009A15AE">
      <w:pPr>
        <w:pStyle w:val="1"/>
        <w:spacing w:after="0" w:line="360" w:lineRule="auto"/>
        <w:ind w:left="0" w:firstLine="284"/>
        <w:jc w:val="both"/>
        <w:rPr>
          <w:rFonts w:ascii="Times New Roman" w:hAnsi="Times New Roman"/>
          <w:sz w:val="28"/>
        </w:rPr>
      </w:pPr>
      <w:r w:rsidRPr="0017491D">
        <w:rPr>
          <w:rFonts w:ascii="Times New Roman" w:hAnsi="Times New Roman"/>
          <w:sz w:val="28"/>
        </w:rPr>
        <w:t>Кроме денежных затрат, существуют и различные препятствия, мешающие реализации проектов АДР/ГДР:</w:t>
      </w:r>
      <w:r>
        <w:rPr>
          <w:rFonts w:ascii="Times New Roman" w:hAnsi="Times New Roman"/>
          <w:sz w:val="28"/>
        </w:rPr>
        <w:t xml:space="preserve"> </w:t>
      </w:r>
      <w:r w:rsidRPr="009A15AE">
        <w:rPr>
          <w:rFonts w:ascii="Times New Roman" w:hAnsi="Times New Roman"/>
          <w:sz w:val="28"/>
        </w:rPr>
        <w:t>сложности в работе с эмитентами;</w:t>
      </w:r>
      <w:r>
        <w:rPr>
          <w:rFonts w:ascii="Times New Roman" w:hAnsi="Times New Roman"/>
          <w:sz w:val="28"/>
        </w:rPr>
        <w:t xml:space="preserve"> </w:t>
      </w:r>
      <w:r w:rsidRPr="0017491D">
        <w:rPr>
          <w:rFonts w:ascii="Times New Roman" w:hAnsi="Times New Roman"/>
          <w:sz w:val="28"/>
        </w:rPr>
        <w:t>не</w:t>
      </w:r>
      <w:r>
        <w:rPr>
          <w:rFonts w:ascii="Times New Roman" w:hAnsi="Times New Roman"/>
          <w:sz w:val="28"/>
        </w:rPr>
        <w:t xml:space="preserve"> налаженность работы реестров; </w:t>
      </w:r>
      <w:r w:rsidRPr="009A15AE">
        <w:rPr>
          <w:rFonts w:ascii="Times New Roman" w:hAnsi="Times New Roman"/>
          <w:sz w:val="28"/>
        </w:rPr>
        <w:t>недостаточная защищенность прав акционеров;</w:t>
      </w:r>
      <w:r>
        <w:rPr>
          <w:rFonts w:ascii="Times New Roman" w:hAnsi="Times New Roman"/>
          <w:sz w:val="28"/>
        </w:rPr>
        <w:t xml:space="preserve"> </w:t>
      </w:r>
      <w:r w:rsidRPr="0017491D">
        <w:rPr>
          <w:rFonts w:ascii="Times New Roman" w:hAnsi="Times New Roman"/>
          <w:sz w:val="28"/>
        </w:rPr>
        <w:t>отсутствие в России юридической базы для разрешения конфликтов, связанных с фондовым рынком.</w:t>
      </w:r>
    </w:p>
    <w:p w:rsidR="00D25C7A" w:rsidRPr="00CC7141" w:rsidRDefault="00D25C7A" w:rsidP="00CC7141">
      <w:pPr>
        <w:pStyle w:val="1"/>
        <w:spacing w:after="0" w:line="360" w:lineRule="auto"/>
        <w:ind w:left="0" w:firstLine="284"/>
        <w:jc w:val="both"/>
        <w:rPr>
          <w:rFonts w:ascii="Times New Roman" w:hAnsi="Times New Roman"/>
          <w:sz w:val="28"/>
        </w:rPr>
      </w:pPr>
      <w:r>
        <w:rPr>
          <w:rFonts w:ascii="Times New Roman" w:hAnsi="Times New Roman"/>
          <w:sz w:val="28"/>
        </w:rPr>
        <w:t>Итак, р</w:t>
      </w:r>
      <w:r w:rsidRPr="00CC7141">
        <w:rPr>
          <w:rFonts w:ascii="Times New Roman" w:hAnsi="Times New Roman"/>
          <w:sz w:val="28"/>
        </w:rPr>
        <w:t>азмещенные депозитарные расписки свободно обращаются на фондовом рынке путем совершения инвесторами сделок по купле-продаже АДР. Изменения в составе владельцев АДР фиксируются в реестре, который ведет банк-депозитарий, выпустивший АДР.</w:t>
      </w:r>
    </w:p>
    <w:p w:rsidR="00D25C7A" w:rsidRPr="00CC7141" w:rsidRDefault="00D25C7A" w:rsidP="00CC7141">
      <w:pPr>
        <w:pStyle w:val="1"/>
        <w:spacing w:after="0" w:line="360" w:lineRule="auto"/>
        <w:ind w:left="0" w:firstLine="284"/>
        <w:jc w:val="both"/>
        <w:rPr>
          <w:rFonts w:ascii="Times New Roman" w:hAnsi="Times New Roman"/>
          <w:sz w:val="28"/>
        </w:rPr>
      </w:pPr>
      <w:r w:rsidRPr="00CC7141">
        <w:rPr>
          <w:rFonts w:ascii="Times New Roman" w:hAnsi="Times New Roman"/>
          <w:sz w:val="28"/>
        </w:rPr>
        <w:t>За каждой размещенной АДР стоит определенное количество зарезервированных у ответственного хранителя акций компании. Количество акций, которые включены в одну депозитарную расписку, определяется в договоре между компанией и банком-депозитарием. При желании инвестор может обменять принадлежащие ему АДР на реальные акции компании.</w:t>
      </w:r>
    </w:p>
    <w:p w:rsidR="00D25C7A" w:rsidRPr="00CC7141" w:rsidRDefault="00D25C7A" w:rsidP="00CC7141">
      <w:pPr>
        <w:pStyle w:val="1"/>
        <w:spacing w:after="0" w:line="360" w:lineRule="auto"/>
        <w:ind w:left="0" w:firstLine="284"/>
        <w:jc w:val="both"/>
        <w:rPr>
          <w:rFonts w:ascii="Times New Roman" w:hAnsi="Times New Roman"/>
          <w:sz w:val="28"/>
        </w:rPr>
      </w:pPr>
      <w:r w:rsidRPr="00CC7141">
        <w:rPr>
          <w:rFonts w:ascii="Times New Roman" w:hAnsi="Times New Roman"/>
          <w:sz w:val="28"/>
        </w:rPr>
        <w:t>Данная ситуация возможна, когда инвестор по каким-либо</w:t>
      </w:r>
      <w:r>
        <w:rPr>
          <w:rFonts w:ascii="Times New Roman" w:hAnsi="Times New Roman"/>
          <w:sz w:val="28"/>
        </w:rPr>
        <w:t xml:space="preserve"> </w:t>
      </w:r>
      <w:r w:rsidRPr="00CC7141">
        <w:rPr>
          <w:rFonts w:ascii="Times New Roman" w:hAnsi="Times New Roman"/>
          <w:sz w:val="28"/>
        </w:rPr>
        <w:t>причинам не может продать свои АДР. В связи с тем, что акции</w:t>
      </w:r>
      <w:r>
        <w:rPr>
          <w:rFonts w:ascii="Times New Roman" w:hAnsi="Times New Roman"/>
          <w:sz w:val="28"/>
        </w:rPr>
        <w:t xml:space="preserve"> </w:t>
      </w:r>
      <w:r w:rsidRPr="00CC7141">
        <w:rPr>
          <w:rFonts w:ascii="Times New Roman" w:hAnsi="Times New Roman"/>
          <w:sz w:val="28"/>
        </w:rPr>
        <w:t xml:space="preserve">компании и АДР обращаются на различных рынках (АДР </w:t>
      </w:r>
      <w:r>
        <w:rPr>
          <w:rFonts w:ascii="Times New Roman" w:hAnsi="Times New Roman"/>
          <w:sz w:val="28"/>
        </w:rPr>
        <w:t>-</w:t>
      </w:r>
      <w:r w:rsidRPr="00CC7141">
        <w:rPr>
          <w:rFonts w:ascii="Times New Roman" w:hAnsi="Times New Roman"/>
          <w:sz w:val="28"/>
        </w:rPr>
        <w:t xml:space="preserve"> на</w:t>
      </w:r>
      <w:r>
        <w:rPr>
          <w:rFonts w:ascii="Times New Roman" w:hAnsi="Times New Roman"/>
          <w:sz w:val="28"/>
        </w:rPr>
        <w:t xml:space="preserve"> </w:t>
      </w:r>
      <w:r w:rsidRPr="00CC7141">
        <w:rPr>
          <w:rFonts w:ascii="Times New Roman" w:hAnsi="Times New Roman"/>
          <w:sz w:val="28"/>
        </w:rPr>
        <w:t xml:space="preserve">американском фондовом рынке, а акции </w:t>
      </w:r>
      <w:r>
        <w:rPr>
          <w:rFonts w:ascii="Times New Roman" w:hAnsi="Times New Roman"/>
          <w:sz w:val="28"/>
        </w:rPr>
        <w:t>-</w:t>
      </w:r>
      <w:r w:rsidRPr="00CC7141">
        <w:rPr>
          <w:rFonts w:ascii="Times New Roman" w:hAnsi="Times New Roman"/>
          <w:sz w:val="28"/>
        </w:rPr>
        <w:t xml:space="preserve"> на российском),</w:t>
      </w:r>
      <w:r>
        <w:rPr>
          <w:rFonts w:ascii="Times New Roman" w:hAnsi="Times New Roman"/>
          <w:sz w:val="28"/>
        </w:rPr>
        <w:t xml:space="preserve"> </w:t>
      </w:r>
      <w:r w:rsidRPr="00CC7141">
        <w:rPr>
          <w:rFonts w:ascii="Times New Roman" w:hAnsi="Times New Roman"/>
          <w:sz w:val="28"/>
        </w:rPr>
        <w:t>при неликвидном рынке АДР акции могут обладать высокой</w:t>
      </w:r>
      <w:r>
        <w:rPr>
          <w:rFonts w:ascii="Times New Roman" w:hAnsi="Times New Roman"/>
          <w:sz w:val="28"/>
        </w:rPr>
        <w:t xml:space="preserve"> </w:t>
      </w:r>
      <w:r w:rsidRPr="00CC7141">
        <w:rPr>
          <w:rFonts w:ascii="Times New Roman" w:hAnsi="Times New Roman"/>
          <w:sz w:val="28"/>
        </w:rPr>
        <w:t>степенью ликвидности. Намереваясь продать АДР, американский инвестор дает поручение своему брокеру на продажу,</w:t>
      </w:r>
      <w:r>
        <w:rPr>
          <w:rFonts w:ascii="Times New Roman" w:hAnsi="Times New Roman"/>
          <w:sz w:val="28"/>
        </w:rPr>
        <w:t xml:space="preserve"> </w:t>
      </w:r>
      <w:r w:rsidRPr="00CC7141">
        <w:rPr>
          <w:rFonts w:ascii="Times New Roman" w:hAnsi="Times New Roman"/>
          <w:sz w:val="28"/>
        </w:rPr>
        <w:t>который, прежде всего, пытается осуществить сделку по их реализации на американском фондовом рынке. Если АДР продать</w:t>
      </w:r>
      <w:r>
        <w:rPr>
          <w:rFonts w:ascii="Times New Roman" w:hAnsi="Times New Roman"/>
          <w:sz w:val="28"/>
        </w:rPr>
        <w:t xml:space="preserve"> </w:t>
      </w:r>
      <w:r w:rsidRPr="00CC7141">
        <w:rPr>
          <w:rFonts w:ascii="Times New Roman" w:hAnsi="Times New Roman"/>
          <w:sz w:val="28"/>
        </w:rPr>
        <w:t>невозможно или цены на них сложились низкие, то брокер</w:t>
      </w:r>
      <w:r>
        <w:rPr>
          <w:rFonts w:ascii="Times New Roman" w:hAnsi="Times New Roman"/>
          <w:sz w:val="28"/>
        </w:rPr>
        <w:t xml:space="preserve"> </w:t>
      </w:r>
      <w:r w:rsidRPr="00CC7141">
        <w:rPr>
          <w:rFonts w:ascii="Times New Roman" w:hAnsi="Times New Roman"/>
          <w:sz w:val="28"/>
        </w:rPr>
        <w:t>может от имени владельца АДР потребовать у банка-депозитария обмена расписок на акции и пытаться реализовать уже</w:t>
      </w:r>
      <w:r>
        <w:rPr>
          <w:rFonts w:ascii="Times New Roman" w:hAnsi="Times New Roman"/>
          <w:sz w:val="28"/>
        </w:rPr>
        <w:t xml:space="preserve"> </w:t>
      </w:r>
      <w:r w:rsidRPr="00CC7141">
        <w:rPr>
          <w:rFonts w:ascii="Times New Roman" w:hAnsi="Times New Roman"/>
          <w:sz w:val="28"/>
        </w:rPr>
        <w:t xml:space="preserve">акции. </w:t>
      </w:r>
    </w:p>
    <w:p w:rsidR="00D25C7A" w:rsidRPr="00DE2FCE" w:rsidRDefault="00D25C7A" w:rsidP="00DE2FCE">
      <w:pPr>
        <w:pStyle w:val="1"/>
        <w:spacing w:after="0" w:line="360" w:lineRule="auto"/>
        <w:ind w:left="0" w:firstLine="284"/>
        <w:jc w:val="both"/>
        <w:rPr>
          <w:rFonts w:ascii="Times New Roman" w:hAnsi="Times New Roman"/>
          <w:sz w:val="28"/>
        </w:rPr>
      </w:pPr>
      <w:r w:rsidRPr="00CC7141">
        <w:rPr>
          <w:rFonts w:ascii="Times New Roman" w:hAnsi="Times New Roman"/>
          <w:sz w:val="28"/>
        </w:rPr>
        <w:t>Рассматривая российскую практику обращения акций и АДР, следует отметить, что американский инвестор не может продать акции российского эмитента на американском фондовом рынке, так как вывоз российских акций за рубеж запрещен.</w:t>
      </w:r>
    </w:p>
    <w:p w:rsidR="00D25C7A" w:rsidRDefault="00D25C7A" w:rsidP="00DE2FCE">
      <w:pPr>
        <w:pStyle w:val="1"/>
        <w:spacing w:after="0" w:line="360" w:lineRule="auto"/>
        <w:ind w:left="0" w:firstLine="284"/>
        <w:jc w:val="both"/>
        <w:rPr>
          <w:rFonts w:ascii="Times New Roman" w:hAnsi="Times New Roman"/>
          <w:sz w:val="28"/>
        </w:rPr>
      </w:pPr>
      <w:r w:rsidRPr="00CC7141">
        <w:rPr>
          <w:rFonts w:ascii="Times New Roman" w:hAnsi="Times New Roman"/>
          <w:sz w:val="28"/>
        </w:rPr>
        <w:t>При неликвидном рынке АДР инвестор вынужден прибегать к процедуре конвертации АДР на акции и продажи последних на российском фондовом рынке. Банк-депозитарий списывает АДР со счета инвестора, вносит изменения в реестр владельцев АДР и информирует банк-custody об уменьшении числа АДР и количества акций, которые должны быть списаны со счета номинального держателя (сняты с ответственного хранения).</w:t>
      </w:r>
      <w:r>
        <w:rPr>
          <w:rFonts w:ascii="Times New Roman" w:hAnsi="Times New Roman"/>
          <w:sz w:val="28"/>
        </w:rPr>
        <w:t xml:space="preserve"> Далее</w:t>
      </w:r>
      <w:r w:rsidRPr="00CC7141">
        <w:rPr>
          <w:rFonts w:ascii="Times New Roman" w:hAnsi="Times New Roman"/>
          <w:sz w:val="28"/>
        </w:rPr>
        <w:t xml:space="preserve"> вносятся изменения в реестр акционеров, т. е. уменьшается количество акций у номинального держателя и открывается лицевой счет на американского инвестора, на который зачисляются акции в результате конвертации АДР.</w:t>
      </w:r>
      <w:r>
        <w:rPr>
          <w:rFonts w:ascii="Times New Roman" w:hAnsi="Times New Roman"/>
          <w:sz w:val="28"/>
        </w:rPr>
        <w:t xml:space="preserve"> И наконец, в конце</w:t>
      </w:r>
      <w:r w:rsidRPr="00CC7141">
        <w:rPr>
          <w:rFonts w:ascii="Times New Roman" w:hAnsi="Times New Roman"/>
          <w:sz w:val="28"/>
        </w:rPr>
        <w:t xml:space="preserve"> американский брокер дает поручение своему российскому коллеге на продажу акций. При совершении операции по продаже акции списываются со счета американского инвестора и зачисляются на счет нового акционера, а денежные средства через расчетно-клиринговую систему поступают американскому инвестору.</w:t>
      </w:r>
    </w:p>
    <w:p w:rsidR="00D25C7A" w:rsidRPr="00DE2FCE" w:rsidRDefault="00D25C7A" w:rsidP="00DE2FCE">
      <w:pPr>
        <w:pStyle w:val="1"/>
        <w:spacing w:after="0" w:line="360" w:lineRule="auto"/>
        <w:ind w:left="0" w:firstLine="284"/>
        <w:jc w:val="both"/>
        <w:rPr>
          <w:rFonts w:ascii="Times New Roman" w:hAnsi="Times New Roman"/>
          <w:sz w:val="28"/>
        </w:rPr>
      </w:pPr>
      <w:r w:rsidRPr="00CC7141">
        <w:rPr>
          <w:rFonts w:ascii="Times New Roman" w:hAnsi="Times New Roman"/>
          <w:sz w:val="28"/>
        </w:rPr>
        <w:t>Таким образом, процесс продажи АДР, обращающихся на американском фондовом рынке, может осуществляться по двум схемам:</w:t>
      </w:r>
      <w:r>
        <w:rPr>
          <w:rFonts w:ascii="Times New Roman" w:hAnsi="Times New Roman"/>
          <w:sz w:val="28"/>
        </w:rPr>
        <w:t xml:space="preserve"> </w:t>
      </w:r>
      <w:r w:rsidRPr="00DE2FCE">
        <w:rPr>
          <w:rFonts w:ascii="Times New Roman" w:hAnsi="Times New Roman"/>
          <w:sz w:val="28"/>
        </w:rPr>
        <w:t>путем продажи непосре</w:t>
      </w:r>
      <w:r>
        <w:rPr>
          <w:rFonts w:ascii="Times New Roman" w:hAnsi="Times New Roman"/>
          <w:sz w:val="28"/>
        </w:rPr>
        <w:t xml:space="preserve">дственно АДР на вторичном рынке и </w:t>
      </w:r>
      <w:r w:rsidRPr="00DE2FCE">
        <w:rPr>
          <w:rFonts w:ascii="Times New Roman" w:hAnsi="Times New Roman"/>
          <w:sz w:val="28"/>
        </w:rPr>
        <w:t>путем конвертации АДР в акции и продажи акций.</w:t>
      </w:r>
    </w:p>
    <w:p w:rsidR="00D25C7A" w:rsidRDefault="00D25C7A" w:rsidP="00CC7141">
      <w:pPr>
        <w:pStyle w:val="1"/>
        <w:spacing w:after="0" w:line="360" w:lineRule="auto"/>
        <w:ind w:left="0" w:firstLine="284"/>
        <w:jc w:val="both"/>
        <w:rPr>
          <w:rFonts w:ascii="Times New Roman" w:hAnsi="Times New Roman"/>
          <w:sz w:val="28"/>
        </w:rPr>
      </w:pPr>
      <w:r w:rsidRPr="00CC7141">
        <w:rPr>
          <w:rFonts w:ascii="Times New Roman" w:hAnsi="Times New Roman"/>
          <w:sz w:val="28"/>
        </w:rPr>
        <w:t>Глобальная депозитарная расписка представляет собой депозитарный сертификат, подтверждающий право на акции иностранной компании, которые имеют хождение во всех странах мира. Если американская депозитарная расписка дает право иностранным компаниям продавать свои акции на американском фондовом рынке, то глобальная депозитарная расписка позволяет предприятиям Европы, Азии, Латинской Америки продавать акции на многих международных рынках. Наибольшее распространение GDR получили на европейских фондовых рынках. Большая часть операций с GDR приходится на электронную систему информации о ценах Лондонской Фондовой Биржи. Преимущество GDR для эмитента состоит в том, что он может привлекать капитал не только на внутреннем или американском фондовом рынке, но и на многих мировых рынках капитала. Удобства GDR для инвесторов на практике соответствуют преимуществам ADR .</w:t>
      </w:r>
    </w:p>
    <w:p w:rsidR="00D25C7A" w:rsidRDefault="00D25C7A" w:rsidP="00CC7141">
      <w:pPr>
        <w:pStyle w:val="1"/>
        <w:spacing w:after="0" w:line="360" w:lineRule="auto"/>
        <w:ind w:left="0" w:firstLine="284"/>
        <w:jc w:val="both"/>
        <w:rPr>
          <w:rFonts w:ascii="Times New Roman" w:hAnsi="Times New Roman"/>
          <w:sz w:val="28"/>
        </w:rPr>
      </w:pPr>
    </w:p>
    <w:p w:rsidR="00D25C7A" w:rsidRDefault="00D25C7A" w:rsidP="00CC7141">
      <w:pPr>
        <w:pStyle w:val="1"/>
        <w:spacing w:after="0" w:line="360" w:lineRule="auto"/>
        <w:ind w:left="0" w:firstLine="284"/>
        <w:jc w:val="both"/>
        <w:rPr>
          <w:rFonts w:ascii="Times New Roman" w:hAnsi="Times New Roman"/>
          <w:sz w:val="28"/>
        </w:rPr>
      </w:pPr>
    </w:p>
    <w:p w:rsidR="00D25C7A" w:rsidRDefault="00D25C7A" w:rsidP="00CC7141">
      <w:pPr>
        <w:pStyle w:val="1"/>
        <w:spacing w:after="0" w:line="360" w:lineRule="auto"/>
        <w:ind w:left="0" w:firstLine="284"/>
        <w:jc w:val="both"/>
        <w:rPr>
          <w:rFonts w:ascii="Times New Roman" w:hAnsi="Times New Roman"/>
          <w:sz w:val="28"/>
        </w:rPr>
      </w:pPr>
    </w:p>
    <w:p w:rsidR="00D25C7A" w:rsidRPr="00AB22D7" w:rsidRDefault="00D25C7A" w:rsidP="00DE2FCE">
      <w:pPr>
        <w:pStyle w:val="1"/>
        <w:numPr>
          <w:ilvl w:val="0"/>
          <w:numId w:val="2"/>
        </w:numPr>
        <w:spacing w:after="0" w:line="360" w:lineRule="auto"/>
        <w:jc w:val="center"/>
        <w:rPr>
          <w:rFonts w:ascii="Times New Roman" w:hAnsi="Times New Roman"/>
          <w:b/>
          <w:sz w:val="28"/>
        </w:rPr>
      </w:pPr>
      <w:r w:rsidRPr="00AB22D7">
        <w:rPr>
          <w:rFonts w:ascii="Times New Roman" w:hAnsi="Times New Roman"/>
          <w:b/>
          <w:sz w:val="28"/>
        </w:rPr>
        <w:t>Интернет-экскурсия на Московскую межбанковскую валютную биржу (ММВБ)</w:t>
      </w:r>
    </w:p>
    <w:p w:rsidR="00D25C7A" w:rsidRDefault="00D25C7A" w:rsidP="007F7356">
      <w:pPr>
        <w:spacing w:after="0" w:line="360" w:lineRule="auto"/>
        <w:ind w:firstLine="284"/>
        <w:jc w:val="both"/>
        <w:rPr>
          <w:rFonts w:ascii="Times New Roman" w:hAnsi="Times New Roman"/>
          <w:sz w:val="28"/>
          <w:szCs w:val="28"/>
        </w:rPr>
      </w:pPr>
      <w:r w:rsidRPr="007F7356">
        <w:rPr>
          <w:rFonts w:ascii="Times New Roman" w:hAnsi="Times New Roman"/>
          <w:sz w:val="28"/>
          <w:szCs w:val="28"/>
        </w:rPr>
        <w:t xml:space="preserve">В марте 1992 года было зарегистрировано АОЗТ «Московская Межбанковская Валютная Биржа» (ММВБ), учредителями которой стали Центральный Банк РФ, Правительство Москвы, АРБ и ряд коммерческих банков. Основные направления деятельности ММВБ: валютные операции; торговля акциями; торговля облигациями; торговля государственными ценными бумагами; торговля фьючерсами; товарная биржа. История ММВБ началась с валютных аукционов, которые Внешэкономбанк СССР начал проводить в ноябре 1989 года. Именно на этих аукционах впервые был установлен рыночный курс рубля к доллару. В январе 1992 года вместо Валютной биржи Госбанка была учреждена ММВБ, ставшая главной площадкой для проведения валютных операций банков и предприятий. С июля 1992 года курс ММВБ используется Центробанком для установления официальных курсов рубля к иностранным валютам. На ММВБ были впервые организованы торги ГКО, превратившие валютную биржу в универсальную торговую площадку. В середине 90-х годов началась подготовка для организации биржевой торговли новыми финансовыми инструментами фондового и срочного рынка, в частности, корпоративными ценными бумагами и фьючерсами. В 2008 году общий объем торгов на валютной бирже ММВБ составил 48 трлн. руб., включая оборот по акциям - 34 трлн. руб. (с учетом сделок РЕПО). Сегодня на бирже торгуются ценные бумаги около 780 российских компаний, в том числе по акциям свыше 230 компаний, включая крупнейших эмитентов Газпром, Сбербанк России, Лукойл и другие с общей капитализацией около 300 млрд долл. </w:t>
      </w:r>
    </w:p>
    <w:p w:rsidR="00D25C7A" w:rsidRPr="007F7356" w:rsidRDefault="00D25C7A" w:rsidP="007F7356">
      <w:pPr>
        <w:spacing w:after="0" w:line="360" w:lineRule="auto"/>
        <w:ind w:firstLine="284"/>
        <w:jc w:val="both"/>
        <w:rPr>
          <w:rFonts w:ascii="Times New Roman" w:hAnsi="Times New Roman"/>
          <w:b/>
          <w:sz w:val="28"/>
          <w:szCs w:val="28"/>
        </w:rPr>
      </w:pPr>
      <w:r w:rsidRPr="007F7356">
        <w:rPr>
          <w:rFonts w:ascii="Times New Roman" w:hAnsi="Times New Roman"/>
          <w:sz w:val="28"/>
          <w:szCs w:val="28"/>
        </w:rPr>
        <w:t xml:space="preserve">На ММВБ приходится 98 % оборотов торгов акциями и АДР российских компаний исходя из оборота российских бирж и около 70 %, учитывая мировой объем торговли российскими ценными бумагами. </w:t>
      </w:r>
    </w:p>
    <w:p w:rsidR="00D25C7A" w:rsidRPr="006C291B" w:rsidRDefault="00201423" w:rsidP="006C291B">
      <w:pPr>
        <w:rPr>
          <w:lang w:val="en-US"/>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2.25pt;height:243pt;visibility:visible" filled="t" fillcolor="black">
            <v:imagedata r:id="rId7" o:title="" grayscale="t"/>
          </v:shape>
        </w:pict>
      </w:r>
    </w:p>
    <w:p w:rsidR="00D25C7A" w:rsidRDefault="00D25C7A" w:rsidP="006C291B">
      <w:pPr>
        <w:spacing w:after="0" w:line="360" w:lineRule="auto"/>
        <w:ind w:firstLine="284"/>
        <w:jc w:val="both"/>
        <w:rPr>
          <w:rFonts w:ascii="Times New Roman" w:hAnsi="Times New Roman"/>
          <w:sz w:val="28"/>
          <w:szCs w:val="28"/>
        </w:rPr>
      </w:pPr>
      <w:r w:rsidRPr="006C291B">
        <w:rPr>
          <w:rFonts w:ascii="Times New Roman" w:hAnsi="Times New Roman"/>
          <w:sz w:val="28"/>
          <w:szCs w:val="28"/>
        </w:rPr>
        <w:t xml:space="preserve">Из приведенного графика видно, что индекс биржи во второй половине 2009 года почти непрерывно рос. Особенно хороший рост наблюдался со второй половины июля до середины октября. За этот трехмесячный период инвесторы в российские акции увеличили капиталы почти вдвое (рост примерно 80%). В конце 2009 года индекс двигался в бок, а 2010 начал с уверенного роста. Акции начинают расти в цене примерно на полгода раньше, чем начинается подъем в реальном секторе экономики. </w:t>
      </w:r>
    </w:p>
    <w:p w:rsidR="00D25C7A" w:rsidRDefault="00D25C7A" w:rsidP="006C291B">
      <w:pPr>
        <w:spacing w:after="0" w:line="360" w:lineRule="auto"/>
        <w:ind w:firstLine="284"/>
        <w:jc w:val="both"/>
        <w:rPr>
          <w:rFonts w:ascii="Times New Roman" w:hAnsi="Times New Roman"/>
          <w:sz w:val="28"/>
          <w:szCs w:val="28"/>
        </w:rPr>
      </w:pPr>
      <w:r w:rsidRPr="006C291B">
        <w:rPr>
          <w:rFonts w:ascii="Times New Roman" w:hAnsi="Times New Roman"/>
          <w:sz w:val="28"/>
          <w:szCs w:val="28"/>
        </w:rPr>
        <w:t>Весь мировой опыт показывает, что следующий максимум цен на акции будет выше предыдущего. Весомую часть в индексе этой биржи занимают акции Газпрома и</w:t>
      </w:r>
      <w:r>
        <w:rPr>
          <w:rFonts w:ascii="Times New Roman" w:hAnsi="Times New Roman"/>
          <w:sz w:val="28"/>
          <w:szCs w:val="28"/>
        </w:rPr>
        <w:t xml:space="preserve"> </w:t>
      </w:r>
      <w:r w:rsidRPr="006C291B">
        <w:rPr>
          <w:rFonts w:ascii="Times New Roman" w:hAnsi="Times New Roman"/>
          <w:sz w:val="28"/>
          <w:szCs w:val="28"/>
        </w:rPr>
        <w:t>Сбербанка, последние продемонстрировали просто удивительный шестикратный рост в цене за 2009 год.</w:t>
      </w:r>
    </w:p>
    <w:p w:rsidR="00D25C7A" w:rsidRDefault="00D25C7A" w:rsidP="006C291B">
      <w:pPr>
        <w:spacing w:after="0" w:line="360" w:lineRule="auto"/>
        <w:ind w:firstLine="284"/>
        <w:jc w:val="both"/>
        <w:rPr>
          <w:rFonts w:ascii="Times New Roman" w:hAnsi="Times New Roman"/>
          <w:sz w:val="28"/>
          <w:szCs w:val="28"/>
        </w:rPr>
      </w:pPr>
      <w:r w:rsidRPr="006C291B">
        <w:rPr>
          <w:rFonts w:ascii="Times New Roman" w:hAnsi="Times New Roman"/>
          <w:sz w:val="28"/>
          <w:szCs w:val="28"/>
        </w:rPr>
        <w:t xml:space="preserve">Для торговли через интернет на российских биржах </w:t>
      </w:r>
      <w:r>
        <w:rPr>
          <w:rFonts w:ascii="Times New Roman" w:hAnsi="Times New Roman"/>
          <w:sz w:val="28"/>
          <w:szCs w:val="28"/>
        </w:rPr>
        <w:t xml:space="preserve">предлагаются </w:t>
      </w:r>
      <w:r w:rsidRPr="006C291B">
        <w:rPr>
          <w:rFonts w:ascii="Times New Roman" w:hAnsi="Times New Roman"/>
          <w:sz w:val="28"/>
          <w:szCs w:val="28"/>
        </w:rPr>
        <w:t xml:space="preserve">торговые системы Quik и Альфа-Директ. </w:t>
      </w:r>
      <w:r>
        <w:rPr>
          <w:rFonts w:ascii="Times New Roman" w:hAnsi="Times New Roman"/>
          <w:sz w:val="28"/>
          <w:szCs w:val="28"/>
        </w:rPr>
        <w:t>К</w:t>
      </w:r>
      <w:r w:rsidRPr="006C291B">
        <w:rPr>
          <w:rFonts w:ascii="Times New Roman" w:hAnsi="Times New Roman"/>
          <w:sz w:val="28"/>
          <w:szCs w:val="28"/>
        </w:rPr>
        <w:t>лиентам в полном</w:t>
      </w:r>
      <w:r>
        <w:rPr>
          <w:rFonts w:ascii="Times New Roman" w:hAnsi="Times New Roman"/>
          <w:sz w:val="28"/>
          <w:szCs w:val="28"/>
        </w:rPr>
        <w:t xml:space="preserve"> </w:t>
      </w:r>
      <w:r w:rsidRPr="006C291B">
        <w:rPr>
          <w:rFonts w:ascii="Times New Roman" w:hAnsi="Times New Roman"/>
          <w:sz w:val="28"/>
          <w:szCs w:val="28"/>
        </w:rPr>
        <w:t xml:space="preserve">объеме доступен российский фондовый рынок, </w:t>
      </w:r>
      <w:r>
        <w:rPr>
          <w:rFonts w:ascii="Times New Roman" w:hAnsi="Times New Roman"/>
          <w:sz w:val="28"/>
          <w:szCs w:val="28"/>
        </w:rPr>
        <w:t>они могут</w:t>
      </w:r>
      <w:r w:rsidRPr="006C291B">
        <w:rPr>
          <w:rFonts w:ascii="Times New Roman" w:hAnsi="Times New Roman"/>
          <w:sz w:val="28"/>
          <w:szCs w:val="28"/>
        </w:rPr>
        <w:t xml:space="preserve"> торговать любыми российскими акциями, а также облигациями и опционами.</w:t>
      </w:r>
    </w:p>
    <w:p w:rsidR="00D25C7A" w:rsidRPr="006C291B" w:rsidRDefault="00D25C7A" w:rsidP="006C291B">
      <w:pPr>
        <w:spacing w:after="0" w:line="360" w:lineRule="auto"/>
        <w:ind w:firstLine="284"/>
        <w:jc w:val="both"/>
        <w:rPr>
          <w:rFonts w:ascii="Times New Roman" w:hAnsi="Times New Roman"/>
          <w:sz w:val="28"/>
          <w:szCs w:val="28"/>
        </w:rPr>
      </w:pPr>
      <w:r w:rsidRPr="006C291B">
        <w:rPr>
          <w:rFonts w:ascii="Times New Roman" w:hAnsi="Times New Roman"/>
          <w:sz w:val="28"/>
          <w:szCs w:val="28"/>
        </w:rPr>
        <w:t xml:space="preserve">Торги на бирже проходят с 10:30 до 18:45 </w:t>
      </w:r>
      <w:r>
        <w:rPr>
          <w:rFonts w:ascii="Times New Roman" w:hAnsi="Times New Roman"/>
          <w:sz w:val="28"/>
          <w:szCs w:val="28"/>
        </w:rPr>
        <w:t>московского</w:t>
      </w:r>
      <w:r w:rsidRPr="006C291B">
        <w:rPr>
          <w:rFonts w:ascii="Times New Roman" w:hAnsi="Times New Roman"/>
          <w:sz w:val="28"/>
          <w:szCs w:val="28"/>
        </w:rPr>
        <w:t xml:space="preserve"> времени. Время начала и окончания торгов по ценным бумагам в от</w:t>
      </w:r>
      <w:r>
        <w:rPr>
          <w:rFonts w:ascii="Times New Roman" w:hAnsi="Times New Roman"/>
          <w:sz w:val="28"/>
          <w:szCs w:val="28"/>
        </w:rPr>
        <w:t>дельных режимах торгов.</w:t>
      </w:r>
    </w:p>
    <w:p w:rsidR="00D25C7A" w:rsidRDefault="00D25C7A" w:rsidP="006C291B">
      <w:pPr>
        <w:spacing w:line="360" w:lineRule="auto"/>
      </w:pPr>
    </w:p>
    <w:p w:rsidR="00D25C7A" w:rsidRDefault="00D25C7A" w:rsidP="006C291B">
      <w:pPr>
        <w:spacing w:after="0" w:line="360" w:lineRule="auto"/>
        <w:ind w:firstLine="284"/>
        <w:jc w:val="both"/>
        <w:rPr>
          <w:rFonts w:ascii="Times New Roman" w:hAnsi="Times New Roman"/>
          <w:sz w:val="28"/>
          <w:szCs w:val="28"/>
        </w:rPr>
      </w:pPr>
      <w:r w:rsidRPr="006C291B">
        <w:rPr>
          <w:rFonts w:ascii="Times New Roman" w:hAnsi="Times New Roman"/>
          <w:sz w:val="28"/>
          <w:szCs w:val="28"/>
        </w:rPr>
        <w:t xml:space="preserve">В рамках Группы ММВБ действует ЗАО «Фондовая биржа ММВБ» </w:t>
      </w:r>
      <w:r>
        <w:rPr>
          <w:rFonts w:ascii="Times New Roman" w:hAnsi="Times New Roman"/>
          <w:sz w:val="28"/>
          <w:szCs w:val="28"/>
        </w:rPr>
        <w:t>-</w:t>
      </w:r>
      <w:r w:rsidRPr="006C291B">
        <w:rPr>
          <w:rFonts w:ascii="Times New Roman" w:hAnsi="Times New Roman"/>
          <w:sz w:val="28"/>
          <w:szCs w:val="28"/>
        </w:rPr>
        <w:t xml:space="preserve"> ведущая российская фондовая площадка, занимающая свыше 90% в биржевом обороте торгов акциями и почти 100% - облигациями. </w:t>
      </w:r>
      <w:r>
        <w:rPr>
          <w:rFonts w:ascii="Times New Roman" w:hAnsi="Times New Roman"/>
          <w:sz w:val="28"/>
          <w:szCs w:val="28"/>
        </w:rPr>
        <w:t>Доля фондовой биржи</w:t>
      </w:r>
      <w:r w:rsidRPr="006C291B">
        <w:rPr>
          <w:rFonts w:ascii="Times New Roman" w:hAnsi="Times New Roman"/>
          <w:sz w:val="28"/>
          <w:szCs w:val="28"/>
        </w:rPr>
        <w:t xml:space="preserve"> ММВБ в биржевом обороте торгов российскими активами с учетом депозитарных расписок на акции российских эмитентов составляет порядка 63 %. В настоящее время Фондовая биржа ММВБ является центром формирования ликвидности на российские ценные бумаги, являясь основной фондовой площадкой для международных инвестиций в акции и облигации российских компаний.</w:t>
      </w:r>
      <w:r>
        <w:rPr>
          <w:rFonts w:ascii="Times New Roman" w:hAnsi="Times New Roman"/>
          <w:sz w:val="28"/>
          <w:szCs w:val="28"/>
        </w:rPr>
        <w:t xml:space="preserve"> </w:t>
      </w:r>
      <w:r w:rsidRPr="006C291B">
        <w:rPr>
          <w:rFonts w:ascii="Times New Roman" w:hAnsi="Times New Roman"/>
          <w:sz w:val="28"/>
          <w:szCs w:val="28"/>
        </w:rPr>
        <w:t xml:space="preserve">Торги на Фондовой бирже ММВБ проводятся в электронной форме с использованием современной торговой системы, к которой подключены региональные торговые площадки и профессиональные участники рынка ценных бумаг. В состав участников торгов Фондовой биржи ММВБ входят свыше 650 организаций </w:t>
      </w:r>
      <w:r>
        <w:rPr>
          <w:rFonts w:ascii="Times New Roman" w:hAnsi="Times New Roman"/>
          <w:sz w:val="28"/>
          <w:szCs w:val="28"/>
        </w:rPr>
        <w:t>-</w:t>
      </w:r>
      <w:r w:rsidRPr="006C291B">
        <w:rPr>
          <w:rFonts w:ascii="Times New Roman" w:hAnsi="Times New Roman"/>
          <w:sz w:val="28"/>
          <w:szCs w:val="28"/>
        </w:rPr>
        <w:t xml:space="preserve"> брокерских компаний и банков в 100 городах России, клиентами которых являются свыше 670 тысяч инвесторов </w:t>
      </w:r>
      <w:r>
        <w:rPr>
          <w:rFonts w:ascii="Times New Roman" w:hAnsi="Times New Roman"/>
          <w:sz w:val="28"/>
          <w:szCs w:val="28"/>
        </w:rPr>
        <w:t>-</w:t>
      </w:r>
      <w:r w:rsidRPr="006C291B">
        <w:rPr>
          <w:rFonts w:ascii="Times New Roman" w:hAnsi="Times New Roman"/>
          <w:sz w:val="28"/>
          <w:szCs w:val="28"/>
        </w:rPr>
        <w:t xml:space="preserve"> юридических и физических лиц.</w:t>
      </w:r>
    </w:p>
    <w:p w:rsidR="00D25C7A" w:rsidRPr="006C291B" w:rsidRDefault="00D25C7A" w:rsidP="00EE25B9">
      <w:pPr>
        <w:spacing w:after="0" w:line="360" w:lineRule="auto"/>
        <w:ind w:firstLine="284"/>
        <w:jc w:val="right"/>
        <w:rPr>
          <w:rFonts w:ascii="Times New Roman" w:hAnsi="Times New Roman"/>
          <w:sz w:val="28"/>
          <w:szCs w:val="28"/>
        </w:rPr>
      </w:pPr>
      <w:r>
        <w:rPr>
          <w:rFonts w:ascii="Times New Roman" w:hAnsi="Times New Roman"/>
          <w:sz w:val="28"/>
          <w:szCs w:val="28"/>
        </w:rPr>
        <w:t>Таблица 1</w:t>
      </w:r>
    </w:p>
    <w:p w:rsidR="00D25C7A" w:rsidRPr="00EE25B9" w:rsidRDefault="00D25C7A" w:rsidP="00EE25B9">
      <w:pPr>
        <w:spacing w:line="360" w:lineRule="auto"/>
        <w:jc w:val="center"/>
        <w:rPr>
          <w:rFonts w:ascii="Times New Roman" w:hAnsi="Times New Roman"/>
          <w:b/>
          <w:sz w:val="28"/>
          <w:szCs w:val="28"/>
        </w:rPr>
      </w:pPr>
      <w:r w:rsidRPr="00EE25B9">
        <w:rPr>
          <w:rFonts w:ascii="Times New Roman" w:hAnsi="Times New Roman"/>
          <w:b/>
          <w:sz w:val="28"/>
          <w:szCs w:val="28"/>
        </w:rPr>
        <w:t xml:space="preserve">Ведущие операторы фондового рынка-акции (обороты даны по итогам апреля </w:t>
      </w:r>
      <w:smartTag w:uri="urn:schemas-microsoft-com:office:smarttags" w:element="metricconverter">
        <w:smartTagPr>
          <w:attr w:name="ProductID" w:val="2010 г"/>
        </w:smartTagPr>
        <w:r w:rsidRPr="00EE25B9">
          <w:rPr>
            <w:rFonts w:ascii="Times New Roman" w:hAnsi="Times New Roman"/>
            <w:b/>
            <w:sz w:val="28"/>
            <w:szCs w:val="28"/>
          </w:rPr>
          <w:t>2010 г</w:t>
        </w:r>
      </w:smartTag>
      <w:r>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6577"/>
        <w:gridCol w:w="2419"/>
      </w:tblGrid>
      <w:tr w:rsidR="00D25C7A" w:rsidRPr="00176EA6" w:rsidTr="00E54E3E">
        <w:trPr>
          <w:trHeight w:val="889"/>
        </w:trPr>
        <w:tc>
          <w:tcPr>
            <w:tcW w:w="492" w:type="dxa"/>
          </w:tcPr>
          <w:p w:rsidR="00D25C7A" w:rsidRPr="00176EA6" w:rsidRDefault="00D25C7A" w:rsidP="00EE25B9">
            <w:pPr>
              <w:spacing w:after="0" w:line="240" w:lineRule="auto"/>
              <w:jc w:val="center"/>
              <w:rPr>
                <w:rFonts w:ascii="Times New Roman" w:hAnsi="Times New Roman"/>
                <w:b/>
                <w:sz w:val="28"/>
                <w:szCs w:val="28"/>
              </w:rPr>
            </w:pPr>
            <w:r w:rsidRPr="00176EA6">
              <w:rPr>
                <w:rFonts w:ascii="Times New Roman" w:hAnsi="Times New Roman"/>
                <w:b/>
                <w:sz w:val="28"/>
                <w:szCs w:val="28"/>
              </w:rPr>
              <w:t>№</w:t>
            </w:r>
          </w:p>
        </w:tc>
        <w:tc>
          <w:tcPr>
            <w:tcW w:w="6577" w:type="dxa"/>
          </w:tcPr>
          <w:p w:rsidR="00D25C7A" w:rsidRPr="00176EA6" w:rsidRDefault="00D25C7A" w:rsidP="00EE25B9">
            <w:pPr>
              <w:spacing w:after="0" w:line="240" w:lineRule="auto"/>
              <w:jc w:val="center"/>
              <w:rPr>
                <w:rFonts w:ascii="Times New Roman" w:hAnsi="Times New Roman"/>
                <w:b/>
                <w:sz w:val="28"/>
                <w:szCs w:val="28"/>
              </w:rPr>
            </w:pPr>
            <w:r w:rsidRPr="00176EA6">
              <w:rPr>
                <w:rFonts w:ascii="Times New Roman" w:hAnsi="Times New Roman"/>
                <w:b/>
                <w:sz w:val="28"/>
                <w:szCs w:val="28"/>
              </w:rPr>
              <w:t>Наименование компании</w:t>
            </w:r>
          </w:p>
        </w:tc>
        <w:tc>
          <w:tcPr>
            <w:tcW w:w="2419" w:type="dxa"/>
          </w:tcPr>
          <w:p w:rsidR="00D25C7A" w:rsidRPr="00176EA6" w:rsidRDefault="00D25C7A" w:rsidP="00EE25B9">
            <w:pPr>
              <w:spacing w:after="0" w:line="240" w:lineRule="auto"/>
              <w:jc w:val="center"/>
              <w:rPr>
                <w:rFonts w:ascii="Times New Roman" w:hAnsi="Times New Roman"/>
                <w:b/>
                <w:sz w:val="28"/>
                <w:szCs w:val="28"/>
              </w:rPr>
            </w:pPr>
            <w:r w:rsidRPr="00176EA6">
              <w:rPr>
                <w:rFonts w:ascii="Times New Roman" w:hAnsi="Times New Roman"/>
                <w:b/>
                <w:sz w:val="28"/>
                <w:szCs w:val="28"/>
              </w:rPr>
              <w:t>Торговый оборот,</w:t>
            </w:r>
          </w:p>
          <w:p w:rsidR="00D25C7A" w:rsidRPr="00176EA6" w:rsidRDefault="00D25C7A" w:rsidP="00EE25B9">
            <w:pPr>
              <w:spacing w:after="0" w:line="240" w:lineRule="auto"/>
              <w:jc w:val="center"/>
              <w:rPr>
                <w:rFonts w:ascii="Times New Roman" w:hAnsi="Times New Roman"/>
                <w:b/>
                <w:sz w:val="28"/>
                <w:szCs w:val="28"/>
              </w:rPr>
            </w:pPr>
            <w:r w:rsidRPr="00176EA6">
              <w:rPr>
                <w:rFonts w:ascii="Times New Roman" w:hAnsi="Times New Roman"/>
                <w:b/>
                <w:sz w:val="28"/>
                <w:szCs w:val="28"/>
              </w:rPr>
              <w:t>млрд. руб.</w:t>
            </w:r>
          </w:p>
        </w:tc>
      </w:tr>
      <w:tr w:rsidR="00D25C7A" w:rsidRPr="00176EA6" w:rsidTr="00E54E3E">
        <w:trPr>
          <w:trHeight w:val="445"/>
        </w:trPr>
        <w:tc>
          <w:tcPr>
            <w:tcW w:w="492"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1</w:t>
            </w:r>
          </w:p>
        </w:tc>
        <w:tc>
          <w:tcPr>
            <w:tcW w:w="6577" w:type="dxa"/>
          </w:tcPr>
          <w:p w:rsidR="00D25C7A" w:rsidRPr="00176EA6" w:rsidRDefault="00D25C7A" w:rsidP="00EE25B9">
            <w:pPr>
              <w:spacing w:after="0" w:line="240" w:lineRule="auto"/>
              <w:jc w:val="both"/>
              <w:rPr>
                <w:rFonts w:ascii="Times New Roman" w:hAnsi="Times New Roman"/>
                <w:sz w:val="28"/>
                <w:szCs w:val="28"/>
              </w:rPr>
            </w:pPr>
            <w:r w:rsidRPr="00176EA6">
              <w:rPr>
                <w:rFonts w:ascii="Times New Roman" w:hAnsi="Times New Roman"/>
                <w:sz w:val="28"/>
                <w:szCs w:val="28"/>
              </w:rPr>
              <w:t>«Финам» (ЗАО)</w:t>
            </w:r>
          </w:p>
        </w:tc>
        <w:tc>
          <w:tcPr>
            <w:tcW w:w="2419"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377</w:t>
            </w:r>
          </w:p>
        </w:tc>
      </w:tr>
      <w:tr w:rsidR="00D25C7A" w:rsidRPr="00176EA6" w:rsidTr="00E54E3E">
        <w:trPr>
          <w:trHeight w:val="445"/>
        </w:trPr>
        <w:tc>
          <w:tcPr>
            <w:tcW w:w="492"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2</w:t>
            </w:r>
          </w:p>
        </w:tc>
        <w:tc>
          <w:tcPr>
            <w:tcW w:w="6577" w:type="dxa"/>
          </w:tcPr>
          <w:p w:rsidR="00D25C7A" w:rsidRPr="00176EA6" w:rsidRDefault="00D25C7A" w:rsidP="00EE25B9">
            <w:pPr>
              <w:spacing w:after="0" w:line="240" w:lineRule="auto"/>
              <w:jc w:val="both"/>
              <w:rPr>
                <w:rFonts w:ascii="Times New Roman" w:hAnsi="Times New Roman"/>
                <w:sz w:val="28"/>
                <w:szCs w:val="28"/>
              </w:rPr>
            </w:pPr>
            <w:r w:rsidRPr="00176EA6">
              <w:rPr>
                <w:rFonts w:ascii="Times New Roman" w:hAnsi="Times New Roman"/>
                <w:sz w:val="28"/>
                <w:szCs w:val="28"/>
              </w:rPr>
              <w:t>«Компания Брокеркредитсервис» (ООО)</w:t>
            </w:r>
          </w:p>
        </w:tc>
        <w:tc>
          <w:tcPr>
            <w:tcW w:w="2419"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317</w:t>
            </w:r>
          </w:p>
        </w:tc>
      </w:tr>
      <w:tr w:rsidR="00D25C7A" w:rsidRPr="00176EA6" w:rsidTr="00E54E3E">
        <w:trPr>
          <w:trHeight w:val="445"/>
        </w:trPr>
        <w:tc>
          <w:tcPr>
            <w:tcW w:w="492"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3</w:t>
            </w:r>
          </w:p>
        </w:tc>
        <w:tc>
          <w:tcPr>
            <w:tcW w:w="6577" w:type="dxa"/>
          </w:tcPr>
          <w:p w:rsidR="00D25C7A" w:rsidRPr="00176EA6" w:rsidRDefault="00D25C7A" w:rsidP="00EE25B9">
            <w:pPr>
              <w:spacing w:after="0" w:line="240" w:lineRule="auto"/>
              <w:jc w:val="both"/>
              <w:rPr>
                <w:rFonts w:ascii="Times New Roman" w:hAnsi="Times New Roman"/>
                <w:sz w:val="28"/>
                <w:szCs w:val="28"/>
              </w:rPr>
            </w:pPr>
            <w:r w:rsidRPr="00176EA6">
              <w:rPr>
                <w:rFonts w:ascii="Times New Roman" w:hAnsi="Times New Roman"/>
                <w:sz w:val="28"/>
                <w:szCs w:val="28"/>
              </w:rPr>
              <w:t>ГК «АЛОР»</w:t>
            </w:r>
          </w:p>
        </w:tc>
        <w:tc>
          <w:tcPr>
            <w:tcW w:w="2419"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165</w:t>
            </w:r>
          </w:p>
        </w:tc>
      </w:tr>
      <w:tr w:rsidR="00D25C7A" w:rsidRPr="00176EA6" w:rsidTr="00E54E3E">
        <w:trPr>
          <w:trHeight w:val="445"/>
        </w:trPr>
        <w:tc>
          <w:tcPr>
            <w:tcW w:w="492"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4</w:t>
            </w:r>
          </w:p>
        </w:tc>
        <w:tc>
          <w:tcPr>
            <w:tcW w:w="6577" w:type="dxa"/>
          </w:tcPr>
          <w:p w:rsidR="00D25C7A" w:rsidRPr="00176EA6" w:rsidRDefault="00D25C7A" w:rsidP="00EE25B9">
            <w:pPr>
              <w:spacing w:after="0" w:line="240" w:lineRule="auto"/>
              <w:jc w:val="both"/>
              <w:rPr>
                <w:rFonts w:ascii="Times New Roman" w:hAnsi="Times New Roman"/>
                <w:sz w:val="28"/>
                <w:szCs w:val="28"/>
              </w:rPr>
            </w:pPr>
            <w:r w:rsidRPr="00176EA6">
              <w:rPr>
                <w:rFonts w:ascii="Times New Roman" w:hAnsi="Times New Roman"/>
                <w:sz w:val="28"/>
                <w:szCs w:val="28"/>
              </w:rPr>
              <w:t>ИК «Тройка Диалог» (ЗАО)</w:t>
            </w:r>
          </w:p>
        </w:tc>
        <w:tc>
          <w:tcPr>
            <w:tcW w:w="2419"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148</w:t>
            </w:r>
          </w:p>
        </w:tc>
      </w:tr>
      <w:tr w:rsidR="00D25C7A" w:rsidRPr="00176EA6" w:rsidTr="00E54E3E">
        <w:trPr>
          <w:trHeight w:val="431"/>
        </w:trPr>
        <w:tc>
          <w:tcPr>
            <w:tcW w:w="492"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5</w:t>
            </w:r>
          </w:p>
        </w:tc>
        <w:tc>
          <w:tcPr>
            <w:tcW w:w="6577" w:type="dxa"/>
          </w:tcPr>
          <w:p w:rsidR="00D25C7A" w:rsidRPr="00176EA6" w:rsidRDefault="00D25C7A" w:rsidP="00EE25B9">
            <w:pPr>
              <w:spacing w:after="0" w:line="240" w:lineRule="auto"/>
              <w:jc w:val="both"/>
              <w:rPr>
                <w:rFonts w:ascii="Times New Roman" w:hAnsi="Times New Roman"/>
                <w:sz w:val="28"/>
                <w:szCs w:val="28"/>
              </w:rPr>
            </w:pPr>
            <w:r w:rsidRPr="00176EA6">
              <w:rPr>
                <w:rFonts w:ascii="Times New Roman" w:hAnsi="Times New Roman"/>
                <w:sz w:val="28"/>
                <w:szCs w:val="28"/>
              </w:rPr>
              <w:t>ВТБ 24 (ЗАО)</w:t>
            </w:r>
          </w:p>
        </w:tc>
        <w:tc>
          <w:tcPr>
            <w:tcW w:w="2419"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129</w:t>
            </w:r>
          </w:p>
        </w:tc>
      </w:tr>
      <w:tr w:rsidR="00D25C7A" w:rsidRPr="00176EA6" w:rsidTr="00E54E3E">
        <w:trPr>
          <w:trHeight w:val="445"/>
        </w:trPr>
        <w:tc>
          <w:tcPr>
            <w:tcW w:w="492"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6</w:t>
            </w:r>
          </w:p>
        </w:tc>
        <w:tc>
          <w:tcPr>
            <w:tcW w:w="6577" w:type="dxa"/>
          </w:tcPr>
          <w:p w:rsidR="00D25C7A" w:rsidRPr="00176EA6" w:rsidRDefault="00D25C7A" w:rsidP="00EE25B9">
            <w:pPr>
              <w:spacing w:after="0" w:line="240" w:lineRule="auto"/>
              <w:jc w:val="both"/>
              <w:rPr>
                <w:rFonts w:ascii="Times New Roman" w:hAnsi="Times New Roman"/>
                <w:sz w:val="28"/>
                <w:szCs w:val="28"/>
              </w:rPr>
            </w:pPr>
            <w:r w:rsidRPr="00176EA6">
              <w:rPr>
                <w:rFonts w:ascii="Times New Roman" w:hAnsi="Times New Roman"/>
                <w:sz w:val="28"/>
                <w:szCs w:val="28"/>
              </w:rPr>
              <w:t>ФК «Открытие» (ООО)</w:t>
            </w:r>
          </w:p>
        </w:tc>
        <w:tc>
          <w:tcPr>
            <w:tcW w:w="2419"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116</w:t>
            </w:r>
          </w:p>
        </w:tc>
      </w:tr>
      <w:tr w:rsidR="00D25C7A" w:rsidRPr="00176EA6" w:rsidTr="00E54E3E">
        <w:trPr>
          <w:trHeight w:val="292"/>
        </w:trPr>
        <w:tc>
          <w:tcPr>
            <w:tcW w:w="492"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7</w:t>
            </w:r>
          </w:p>
        </w:tc>
        <w:tc>
          <w:tcPr>
            <w:tcW w:w="6577" w:type="dxa"/>
          </w:tcPr>
          <w:p w:rsidR="00D25C7A" w:rsidRPr="00176EA6" w:rsidRDefault="00D25C7A" w:rsidP="00EE25B9">
            <w:pPr>
              <w:spacing w:after="0" w:line="240" w:lineRule="auto"/>
              <w:jc w:val="both"/>
              <w:rPr>
                <w:rFonts w:ascii="Times New Roman" w:hAnsi="Times New Roman"/>
                <w:sz w:val="28"/>
                <w:szCs w:val="28"/>
              </w:rPr>
            </w:pPr>
            <w:r w:rsidRPr="00176EA6">
              <w:rPr>
                <w:rFonts w:ascii="Times New Roman" w:hAnsi="Times New Roman"/>
                <w:sz w:val="28"/>
                <w:szCs w:val="28"/>
              </w:rPr>
              <w:t>ИК «Церих Кэпитал Менеджмент» (ОАО)</w:t>
            </w:r>
          </w:p>
        </w:tc>
        <w:tc>
          <w:tcPr>
            <w:tcW w:w="2419" w:type="dxa"/>
          </w:tcPr>
          <w:p w:rsidR="00D25C7A" w:rsidRPr="00176EA6" w:rsidRDefault="00D25C7A" w:rsidP="00EE25B9">
            <w:pPr>
              <w:spacing w:after="0" w:line="240" w:lineRule="auto"/>
              <w:jc w:val="center"/>
              <w:rPr>
                <w:rFonts w:ascii="Times New Roman" w:hAnsi="Times New Roman"/>
              </w:rPr>
            </w:pPr>
            <w:r w:rsidRPr="00176EA6">
              <w:rPr>
                <w:rFonts w:ascii="Times New Roman" w:hAnsi="Times New Roman"/>
                <w:sz w:val="28"/>
                <w:szCs w:val="28"/>
              </w:rPr>
              <w:t>109</w:t>
            </w:r>
          </w:p>
        </w:tc>
      </w:tr>
      <w:tr w:rsidR="00D25C7A" w:rsidRPr="00176EA6" w:rsidTr="00E54E3E">
        <w:trPr>
          <w:trHeight w:val="445"/>
        </w:trPr>
        <w:tc>
          <w:tcPr>
            <w:tcW w:w="492"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8</w:t>
            </w:r>
          </w:p>
        </w:tc>
        <w:tc>
          <w:tcPr>
            <w:tcW w:w="6577" w:type="dxa"/>
          </w:tcPr>
          <w:p w:rsidR="00D25C7A" w:rsidRPr="00176EA6" w:rsidRDefault="00D25C7A" w:rsidP="00EE25B9">
            <w:pPr>
              <w:spacing w:after="0" w:line="240" w:lineRule="auto"/>
              <w:jc w:val="both"/>
              <w:rPr>
                <w:rFonts w:ascii="Times New Roman" w:hAnsi="Times New Roman"/>
                <w:sz w:val="28"/>
                <w:szCs w:val="28"/>
              </w:rPr>
            </w:pPr>
            <w:r w:rsidRPr="00176EA6">
              <w:rPr>
                <w:rFonts w:ascii="Times New Roman" w:hAnsi="Times New Roman"/>
                <w:sz w:val="28"/>
                <w:szCs w:val="28"/>
              </w:rPr>
              <w:t>«АЛЬФА-БАНК» (ОАО)</w:t>
            </w:r>
          </w:p>
        </w:tc>
        <w:tc>
          <w:tcPr>
            <w:tcW w:w="2419"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76</w:t>
            </w:r>
          </w:p>
        </w:tc>
      </w:tr>
      <w:tr w:rsidR="00D25C7A" w:rsidRPr="00176EA6" w:rsidTr="00E54E3E">
        <w:trPr>
          <w:trHeight w:val="292"/>
        </w:trPr>
        <w:tc>
          <w:tcPr>
            <w:tcW w:w="492"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9</w:t>
            </w:r>
          </w:p>
        </w:tc>
        <w:tc>
          <w:tcPr>
            <w:tcW w:w="6577" w:type="dxa"/>
          </w:tcPr>
          <w:p w:rsidR="00D25C7A" w:rsidRPr="00176EA6" w:rsidRDefault="00D25C7A" w:rsidP="00EE25B9">
            <w:pPr>
              <w:spacing w:after="0" w:line="240" w:lineRule="auto"/>
              <w:jc w:val="both"/>
              <w:rPr>
                <w:rFonts w:ascii="Times New Roman" w:hAnsi="Times New Roman"/>
                <w:sz w:val="28"/>
                <w:szCs w:val="28"/>
              </w:rPr>
            </w:pPr>
            <w:r w:rsidRPr="00176EA6">
              <w:rPr>
                <w:rFonts w:ascii="Times New Roman" w:hAnsi="Times New Roman"/>
                <w:sz w:val="28"/>
                <w:szCs w:val="28"/>
              </w:rPr>
              <w:t>КИТ Финанс (ООО)</w:t>
            </w:r>
          </w:p>
        </w:tc>
        <w:tc>
          <w:tcPr>
            <w:tcW w:w="2419" w:type="dxa"/>
          </w:tcPr>
          <w:p w:rsidR="00D25C7A" w:rsidRPr="00176EA6" w:rsidRDefault="00D25C7A" w:rsidP="00EE25B9">
            <w:pPr>
              <w:spacing w:after="0" w:line="240" w:lineRule="auto"/>
              <w:jc w:val="center"/>
              <w:rPr>
                <w:rFonts w:ascii="Times New Roman" w:hAnsi="Times New Roman"/>
              </w:rPr>
            </w:pPr>
            <w:r w:rsidRPr="00176EA6">
              <w:rPr>
                <w:rFonts w:ascii="Times New Roman" w:hAnsi="Times New Roman"/>
                <w:sz w:val="28"/>
                <w:szCs w:val="28"/>
              </w:rPr>
              <w:t>66</w:t>
            </w:r>
          </w:p>
        </w:tc>
      </w:tr>
      <w:tr w:rsidR="00D25C7A" w:rsidRPr="00176EA6" w:rsidTr="00E54E3E">
        <w:trPr>
          <w:trHeight w:val="459"/>
        </w:trPr>
        <w:tc>
          <w:tcPr>
            <w:tcW w:w="492"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10</w:t>
            </w:r>
          </w:p>
        </w:tc>
        <w:tc>
          <w:tcPr>
            <w:tcW w:w="6577" w:type="dxa"/>
          </w:tcPr>
          <w:p w:rsidR="00D25C7A" w:rsidRPr="00176EA6" w:rsidRDefault="00D25C7A" w:rsidP="00EE25B9">
            <w:pPr>
              <w:spacing w:after="0" w:line="240" w:lineRule="auto"/>
              <w:jc w:val="both"/>
              <w:rPr>
                <w:rFonts w:ascii="Times New Roman" w:hAnsi="Times New Roman"/>
                <w:sz w:val="28"/>
                <w:szCs w:val="28"/>
              </w:rPr>
            </w:pPr>
            <w:r w:rsidRPr="00176EA6">
              <w:rPr>
                <w:rFonts w:ascii="Times New Roman" w:hAnsi="Times New Roman"/>
                <w:sz w:val="28"/>
                <w:szCs w:val="28"/>
              </w:rPr>
              <w:t>«Атон» (ООО)</w:t>
            </w:r>
          </w:p>
        </w:tc>
        <w:tc>
          <w:tcPr>
            <w:tcW w:w="2419" w:type="dxa"/>
          </w:tcPr>
          <w:p w:rsidR="00D25C7A" w:rsidRPr="00176EA6" w:rsidRDefault="00D25C7A" w:rsidP="00EE25B9">
            <w:pPr>
              <w:spacing w:after="0" w:line="240" w:lineRule="auto"/>
              <w:jc w:val="center"/>
              <w:rPr>
                <w:rFonts w:ascii="Times New Roman" w:hAnsi="Times New Roman"/>
                <w:sz w:val="28"/>
                <w:szCs w:val="28"/>
              </w:rPr>
            </w:pPr>
            <w:r w:rsidRPr="00176EA6">
              <w:rPr>
                <w:rFonts w:ascii="Times New Roman" w:hAnsi="Times New Roman"/>
                <w:sz w:val="28"/>
                <w:szCs w:val="28"/>
              </w:rPr>
              <w:t>63</w:t>
            </w:r>
          </w:p>
        </w:tc>
      </w:tr>
    </w:tbl>
    <w:p w:rsidR="00D25C7A" w:rsidRPr="00EE25B9" w:rsidRDefault="00D25C7A" w:rsidP="00EE25B9">
      <w:pPr>
        <w:pStyle w:val="1"/>
        <w:spacing w:after="0" w:line="360" w:lineRule="auto"/>
        <w:ind w:left="0" w:firstLine="284"/>
        <w:jc w:val="both"/>
        <w:rPr>
          <w:rFonts w:ascii="Times New Roman" w:hAnsi="Times New Roman"/>
          <w:sz w:val="28"/>
          <w:szCs w:val="28"/>
        </w:rPr>
      </w:pPr>
      <w:r w:rsidRPr="00EE25B9">
        <w:rPr>
          <w:rFonts w:ascii="Times New Roman" w:hAnsi="Times New Roman"/>
          <w:sz w:val="28"/>
          <w:szCs w:val="28"/>
        </w:rPr>
        <w:t>Биржа ежемесячно рассчитывает рэнкинги участников по их активности в биржевых торгах различными инструментами, которые м</w:t>
      </w:r>
      <w:r>
        <w:rPr>
          <w:rFonts w:ascii="Times New Roman" w:hAnsi="Times New Roman"/>
          <w:sz w:val="28"/>
          <w:szCs w:val="28"/>
        </w:rPr>
        <w:t>ожно посмотреть на сайте ММВБ.</w:t>
      </w:r>
    </w:p>
    <w:p w:rsidR="00D25C7A" w:rsidRPr="00EE25B9" w:rsidRDefault="00D25C7A" w:rsidP="00EE25B9">
      <w:pPr>
        <w:pStyle w:val="1"/>
        <w:spacing w:after="0" w:line="360" w:lineRule="auto"/>
        <w:ind w:left="0" w:firstLine="284"/>
        <w:jc w:val="both"/>
        <w:rPr>
          <w:rFonts w:ascii="Times New Roman" w:hAnsi="Times New Roman"/>
          <w:sz w:val="28"/>
          <w:szCs w:val="28"/>
        </w:rPr>
      </w:pPr>
      <w:r w:rsidRPr="00EE25B9">
        <w:rPr>
          <w:rFonts w:ascii="Times New Roman" w:hAnsi="Times New Roman"/>
          <w:sz w:val="28"/>
          <w:szCs w:val="28"/>
        </w:rPr>
        <w:t>На фондовом рынке ММВБ в основу механизма торговли заложен принцип рынок конкурирующих между собой заявок, при котором сделка заключается автоматически при пересечении условий во встречных заявках. Сделки осуществляются по принципу «поставка против платежа»(DVP) при 100 % преддепонировании активов и исполнении сделок на дату их заключения. Вся торговля ведется за рубли.</w:t>
      </w:r>
    </w:p>
    <w:p w:rsidR="00D25C7A" w:rsidRPr="00EE25B9" w:rsidRDefault="00D25C7A" w:rsidP="00EE25B9">
      <w:pPr>
        <w:pStyle w:val="1"/>
        <w:spacing w:after="0" w:line="360" w:lineRule="auto"/>
        <w:ind w:left="0" w:firstLine="284"/>
        <w:jc w:val="both"/>
        <w:rPr>
          <w:rFonts w:ascii="Times New Roman" w:hAnsi="Times New Roman"/>
          <w:sz w:val="28"/>
          <w:szCs w:val="28"/>
        </w:rPr>
      </w:pPr>
      <w:r w:rsidRPr="00EE25B9">
        <w:rPr>
          <w:rFonts w:ascii="Times New Roman" w:hAnsi="Times New Roman"/>
          <w:sz w:val="28"/>
          <w:szCs w:val="28"/>
        </w:rPr>
        <w:t>На Фондовой бирже ММВБ ежедневно идут торги по ценным бумагам порядка 750 российских эмитентов, в том числе по акциям свыше 230 компаний, включая ОАО «Газпром», РАО «ЕЭС России», ОАО «Сбербанк России», ОАО «ГМК Норильский никель», ОАО «Лукойл», ОАО «Ростелеком», ОАО «Сургутнефтегаз», ОАО "НК «Роснефть», ОАО «Банк ВТБ», ОАО «Татнефть» и др</w:t>
      </w:r>
      <w:r>
        <w:rPr>
          <w:rFonts w:ascii="Times New Roman" w:hAnsi="Times New Roman"/>
          <w:sz w:val="28"/>
          <w:szCs w:val="28"/>
        </w:rPr>
        <w:t>угие</w:t>
      </w:r>
      <w:r w:rsidRPr="00EE25B9">
        <w:rPr>
          <w:rFonts w:ascii="Times New Roman" w:hAnsi="Times New Roman"/>
          <w:sz w:val="28"/>
          <w:szCs w:val="28"/>
        </w:rPr>
        <w:t xml:space="preserve"> </w:t>
      </w:r>
      <w:r>
        <w:rPr>
          <w:rFonts w:ascii="Times New Roman" w:hAnsi="Times New Roman"/>
          <w:sz w:val="28"/>
          <w:szCs w:val="28"/>
        </w:rPr>
        <w:t>-</w:t>
      </w:r>
      <w:r w:rsidRPr="00EE25B9">
        <w:rPr>
          <w:rFonts w:ascii="Times New Roman" w:hAnsi="Times New Roman"/>
          <w:sz w:val="28"/>
          <w:szCs w:val="28"/>
        </w:rPr>
        <w:t xml:space="preserve"> с общей капитализацией 17 трлн</w:t>
      </w:r>
      <w:r>
        <w:rPr>
          <w:rFonts w:ascii="Times New Roman" w:hAnsi="Times New Roman"/>
          <w:sz w:val="28"/>
          <w:szCs w:val="28"/>
        </w:rPr>
        <w:t>. руб..</w:t>
      </w:r>
    </w:p>
    <w:p w:rsidR="00D25C7A" w:rsidRPr="00EE25B9" w:rsidRDefault="00D25C7A" w:rsidP="00EE25B9">
      <w:pPr>
        <w:pStyle w:val="1"/>
        <w:spacing w:after="0" w:line="360" w:lineRule="auto"/>
        <w:ind w:left="0" w:firstLine="284"/>
        <w:jc w:val="both"/>
        <w:rPr>
          <w:rFonts w:ascii="Times New Roman" w:hAnsi="Times New Roman"/>
          <w:sz w:val="28"/>
          <w:szCs w:val="28"/>
        </w:rPr>
      </w:pPr>
      <w:r w:rsidRPr="00EE25B9">
        <w:rPr>
          <w:rFonts w:ascii="Times New Roman" w:hAnsi="Times New Roman"/>
          <w:sz w:val="28"/>
          <w:szCs w:val="28"/>
        </w:rPr>
        <w:t xml:space="preserve">Объем торгов акциями в </w:t>
      </w:r>
      <w:smartTag w:uri="urn:schemas-microsoft-com:office:smarttags" w:element="metricconverter">
        <w:smartTagPr>
          <w:attr w:name="ProductID" w:val="2008 г"/>
        </w:smartTagPr>
        <w:r w:rsidRPr="00EE25B9">
          <w:rPr>
            <w:rFonts w:ascii="Times New Roman" w:hAnsi="Times New Roman"/>
            <w:sz w:val="28"/>
            <w:szCs w:val="28"/>
          </w:rPr>
          <w:t>2008 г</w:t>
        </w:r>
      </w:smartTag>
      <w:r w:rsidRPr="00EE25B9">
        <w:rPr>
          <w:rFonts w:ascii="Times New Roman" w:hAnsi="Times New Roman"/>
          <w:sz w:val="28"/>
          <w:szCs w:val="28"/>
        </w:rPr>
        <w:t xml:space="preserve">. на ФБ ММВБ составил 1383,0 млрд долл., что на 14 % больше объема торгов в </w:t>
      </w:r>
      <w:smartTag w:uri="urn:schemas-microsoft-com:office:smarttags" w:element="metricconverter">
        <w:smartTagPr>
          <w:attr w:name="ProductID" w:val="2007 г"/>
        </w:smartTagPr>
        <w:r w:rsidRPr="00EE25B9">
          <w:rPr>
            <w:rFonts w:ascii="Times New Roman" w:hAnsi="Times New Roman"/>
            <w:sz w:val="28"/>
            <w:szCs w:val="28"/>
          </w:rPr>
          <w:t>2007 г</w:t>
        </w:r>
      </w:smartTag>
      <w:r w:rsidRPr="00EE25B9">
        <w:rPr>
          <w:rFonts w:ascii="Times New Roman" w:hAnsi="Times New Roman"/>
          <w:sz w:val="28"/>
          <w:szCs w:val="28"/>
        </w:rPr>
        <w:t>.</w:t>
      </w:r>
    </w:p>
    <w:p w:rsidR="00D25C7A" w:rsidRPr="00EE25B9" w:rsidRDefault="00D25C7A" w:rsidP="00EE25B9">
      <w:pPr>
        <w:pStyle w:val="1"/>
        <w:spacing w:after="0" w:line="360" w:lineRule="auto"/>
        <w:ind w:left="0" w:firstLine="284"/>
        <w:jc w:val="both"/>
        <w:rPr>
          <w:rFonts w:ascii="Times New Roman" w:hAnsi="Times New Roman"/>
          <w:sz w:val="28"/>
          <w:szCs w:val="28"/>
        </w:rPr>
      </w:pPr>
      <w:r w:rsidRPr="00EE25B9">
        <w:rPr>
          <w:rFonts w:ascii="Times New Roman" w:hAnsi="Times New Roman"/>
          <w:sz w:val="28"/>
          <w:szCs w:val="28"/>
        </w:rPr>
        <w:t xml:space="preserve">Фондовая биржа ММВБ оказывает широкий спектр услуг эмитентам, включая первичное размещение акций. IPO </w:t>
      </w:r>
      <w:r>
        <w:rPr>
          <w:rFonts w:ascii="Times New Roman" w:hAnsi="Times New Roman"/>
          <w:sz w:val="28"/>
          <w:szCs w:val="28"/>
        </w:rPr>
        <w:t>-</w:t>
      </w:r>
      <w:r w:rsidRPr="00EE25B9">
        <w:rPr>
          <w:rFonts w:ascii="Times New Roman" w:hAnsi="Times New Roman"/>
          <w:sz w:val="28"/>
          <w:szCs w:val="28"/>
        </w:rPr>
        <w:t xml:space="preserve"> первоначальное предложение акций компании на продажу широкому кругу лиц. В ходе публичного размещения инвесторам предлагается дополнительный (новый) выпуск акций. Вместе с тем, в ходе размещения дополнительного (нового) выпуска, существующие акционеры могут предложить к продаже определенный пакет своих акций (SPO).</w:t>
      </w:r>
    </w:p>
    <w:p w:rsidR="00D25C7A" w:rsidRPr="00EE25B9" w:rsidRDefault="00D25C7A" w:rsidP="00EE25B9">
      <w:pPr>
        <w:pStyle w:val="1"/>
        <w:spacing w:after="0" w:line="360" w:lineRule="auto"/>
        <w:ind w:left="0" w:firstLine="284"/>
        <w:jc w:val="both"/>
        <w:rPr>
          <w:rFonts w:ascii="Times New Roman" w:hAnsi="Times New Roman"/>
          <w:sz w:val="28"/>
          <w:szCs w:val="28"/>
        </w:rPr>
      </w:pPr>
      <w:r w:rsidRPr="00EE25B9">
        <w:rPr>
          <w:rFonts w:ascii="Times New Roman" w:hAnsi="Times New Roman"/>
          <w:sz w:val="28"/>
          <w:szCs w:val="28"/>
        </w:rPr>
        <w:t xml:space="preserve">В числе признанных лидеров российской экономики, которые осуществили публичные размещения своих акций (IPO и SPO) на Фондовой бирже ММВБ </w:t>
      </w:r>
      <w:r>
        <w:rPr>
          <w:rFonts w:ascii="Times New Roman" w:hAnsi="Times New Roman"/>
          <w:sz w:val="28"/>
          <w:szCs w:val="28"/>
        </w:rPr>
        <w:t>-</w:t>
      </w:r>
      <w:r w:rsidRPr="00EE25B9">
        <w:rPr>
          <w:rFonts w:ascii="Times New Roman" w:hAnsi="Times New Roman"/>
          <w:sz w:val="28"/>
          <w:szCs w:val="28"/>
        </w:rPr>
        <w:t xml:space="preserve"> Роснефть, Сбербанк России, АФК Система, Магнитогорский металлургический комбинат и сравнительно небольшие компании малой и средней капитализации </w:t>
      </w:r>
      <w:r>
        <w:rPr>
          <w:rFonts w:ascii="Times New Roman" w:hAnsi="Times New Roman"/>
          <w:sz w:val="28"/>
          <w:szCs w:val="28"/>
        </w:rPr>
        <w:t>-</w:t>
      </w:r>
      <w:r w:rsidRPr="00EE25B9">
        <w:rPr>
          <w:rFonts w:ascii="Times New Roman" w:hAnsi="Times New Roman"/>
          <w:sz w:val="28"/>
          <w:szCs w:val="28"/>
        </w:rPr>
        <w:t xml:space="preserve"> ОАО «ПАВА», Армада и другие. Все они выбрали Фондовую биржу ММВБ в качестве площадки для листинга своих акций.</w:t>
      </w:r>
    </w:p>
    <w:p w:rsidR="00D25C7A" w:rsidRDefault="00D25C7A" w:rsidP="00EE25B9">
      <w:pPr>
        <w:pStyle w:val="1"/>
        <w:spacing w:after="0" w:line="360" w:lineRule="auto"/>
        <w:ind w:left="0" w:firstLine="284"/>
        <w:jc w:val="both"/>
        <w:rPr>
          <w:rFonts w:ascii="Times New Roman" w:hAnsi="Times New Roman"/>
          <w:sz w:val="28"/>
          <w:szCs w:val="28"/>
        </w:rPr>
      </w:pPr>
      <w:r w:rsidRPr="00EE25B9">
        <w:rPr>
          <w:rFonts w:ascii="Times New Roman" w:hAnsi="Times New Roman"/>
          <w:sz w:val="28"/>
          <w:szCs w:val="28"/>
        </w:rPr>
        <w:t>На Фондовой бирже ММВБ предоставляются уникальные возможности для организации биржевых размещений и обращения корпоративных и региональных облигаций. В 2008 году на бирже было размещено 130 выпусков корпоративных облигаций на общую сумму 515 млрд</w:t>
      </w:r>
      <w:r>
        <w:rPr>
          <w:rFonts w:ascii="Times New Roman" w:hAnsi="Times New Roman"/>
          <w:sz w:val="28"/>
          <w:szCs w:val="28"/>
        </w:rPr>
        <w:t>.</w:t>
      </w:r>
      <w:r w:rsidRPr="00EE25B9">
        <w:rPr>
          <w:rFonts w:ascii="Times New Roman" w:hAnsi="Times New Roman"/>
          <w:sz w:val="28"/>
          <w:szCs w:val="28"/>
        </w:rPr>
        <w:t xml:space="preserve"> руб. и 9 выпусков региональных облигаций на 10 млрд</w:t>
      </w:r>
      <w:r>
        <w:rPr>
          <w:rFonts w:ascii="Times New Roman" w:hAnsi="Times New Roman"/>
          <w:sz w:val="28"/>
          <w:szCs w:val="28"/>
        </w:rPr>
        <w:t>.</w:t>
      </w:r>
      <w:r w:rsidRPr="00EE25B9">
        <w:rPr>
          <w:rFonts w:ascii="Times New Roman" w:hAnsi="Times New Roman"/>
          <w:sz w:val="28"/>
          <w:szCs w:val="28"/>
        </w:rPr>
        <w:t xml:space="preserve"> руб., а также прошли первые размещения биржевых облигаций. В настоящее время на бирже проходят торги порядка 700 выпусков облигаций </w:t>
      </w:r>
      <w:r>
        <w:rPr>
          <w:rFonts w:ascii="Times New Roman" w:hAnsi="Times New Roman"/>
          <w:sz w:val="28"/>
          <w:szCs w:val="28"/>
        </w:rPr>
        <w:t>-</w:t>
      </w:r>
      <w:r w:rsidRPr="00EE25B9">
        <w:rPr>
          <w:rFonts w:ascii="Times New Roman" w:hAnsi="Times New Roman"/>
          <w:sz w:val="28"/>
          <w:szCs w:val="28"/>
        </w:rPr>
        <w:t xml:space="preserve"> свыше 500 российских эмитентов.</w:t>
      </w:r>
    </w:p>
    <w:p w:rsidR="00D25C7A" w:rsidRPr="00EE25B9" w:rsidRDefault="00D25C7A" w:rsidP="00EE25B9">
      <w:pPr>
        <w:pStyle w:val="1"/>
        <w:spacing w:after="0" w:line="360" w:lineRule="auto"/>
        <w:ind w:left="0" w:firstLine="284"/>
        <w:jc w:val="both"/>
        <w:rPr>
          <w:rFonts w:ascii="Times New Roman" w:hAnsi="Times New Roman"/>
          <w:sz w:val="28"/>
          <w:szCs w:val="28"/>
        </w:rPr>
      </w:pPr>
      <w:r w:rsidRPr="00EE25B9">
        <w:rPr>
          <w:rFonts w:ascii="Times New Roman" w:hAnsi="Times New Roman"/>
          <w:sz w:val="28"/>
          <w:szCs w:val="28"/>
        </w:rPr>
        <w:t>Далее следуют торги инвестиционными паями Паевых инвестиционных фондов (ПИФ) проходят на Фондовой бирже ММВБ с 2003 года. За это время к вторичному обращению на бирже были допущены 300 паев ПИФов 135 Управляющих компаний. В сегменте паев ПИФов представлены инвестиционные паи открытых, закрытых и интервальных фондов практически всех категорий, соответствующих текущему законодательству.</w:t>
      </w:r>
    </w:p>
    <w:p w:rsidR="00D25C7A" w:rsidRDefault="00D25C7A" w:rsidP="00EE25B9">
      <w:pPr>
        <w:pStyle w:val="1"/>
        <w:spacing w:after="0" w:line="360" w:lineRule="auto"/>
        <w:ind w:left="0" w:firstLine="284"/>
        <w:jc w:val="both"/>
        <w:rPr>
          <w:rFonts w:ascii="Times New Roman" w:hAnsi="Times New Roman"/>
          <w:sz w:val="28"/>
          <w:szCs w:val="28"/>
        </w:rPr>
      </w:pPr>
      <w:r w:rsidRPr="00EE25B9">
        <w:rPr>
          <w:rFonts w:ascii="Times New Roman" w:hAnsi="Times New Roman"/>
          <w:sz w:val="28"/>
          <w:szCs w:val="28"/>
        </w:rPr>
        <w:t xml:space="preserve">Основным индикатором российского фондового рынка является Индекс ММВБ, рассчитываемый с 1997 года и включающий 30 наиболее ликвидных акций крупнейших и динамично развивающихся российских эмитентов, представляющих основные секторы экономики. </w:t>
      </w:r>
    </w:p>
    <w:p w:rsidR="00D25C7A" w:rsidRPr="00EE25B9" w:rsidRDefault="00D25C7A" w:rsidP="00EE25B9">
      <w:pPr>
        <w:pStyle w:val="1"/>
        <w:spacing w:after="0" w:line="360" w:lineRule="auto"/>
        <w:ind w:left="0" w:firstLine="284"/>
        <w:jc w:val="both"/>
        <w:rPr>
          <w:rFonts w:ascii="Times New Roman" w:hAnsi="Times New Roman"/>
          <w:sz w:val="28"/>
          <w:szCs w:val="28"/>
        </w:rPr>
      </w:pPr>
      <w:r w:rsidRPr="00EE25B9">
        <w:rPr>
          <w:rFonts w:ascii="Times New Roman" w:hAnsi="Times New Roman"/>
          <w:sz w:val="28"/>
          <w:szCs w:val="28"/>
        </w:rPr>
        <w:t>К торгам на Фондовой бирже ММВБ могут быть допущены</w:t>
      </w:r>
      <w:r>
        <w:rPr>
          <w:rFonts w:ascii="Times New Roman" w:hAnsi="Times New Roman"/>
          <w:sz w:val="28"/>
          <w:szCs w:val="28"/>
        </w:rPr>
        <w:t xml:space="preserve"> </w:t>
      </w:r>
      <w:r w:rsidRPr="00EE25B9">
        <w:rPr>
          <w:rFonts w:ascii="Times New Roman" w:hAnsi="Times New Roman"/>
          <w:sz w:val="28"/>
          <w:szCs w:val="28"/>
        </w:rPr>
        <w:t>эмиссионные ценные бумаги в процессе их размещения и/или обращения, а также иные ценные бумаги, в том числе инвестиционные паи паевых инвестиционных фондов и ипотечные сертификаты участия в процессе их выдачи и обращения.</w:t>
      </w:r>
      <w:r>
        <w:rPr>
          <w:rFonts w:ascii="Times New Roman" w:hAnsi="Times New Roman"/>
          <w:sz w:val="28"/>
          <w:szCs w:val="28"/>
        </w:rPr>
        <w:t xml:space="preserve"> </w:t>
      </w:r>
      <w:r w:rsidRPr="00EE25B9">
        <w:rPr>
          <w:rFonts w:ascii="Times New Roman" w:hAnsi="Times New Roman"/>
          <w:sz w:val="28"/>
          <w:szCs w:val="28"/>
        </w:rPr>
        <w:t>Допуск ценных бумаг к торгам осуществляется путем их включения в Список ценных бумаг, допущенных к торгам в ЗАО «ФБ ММВБ». Включение ценных бумаг в этот список осуществляется с прохождением и без прохождения процедуры листинга.</w:t>
      </w:r>
    </w:p>
    <w:p w:rsidR="00D25C7A" w:rsidRPr="001E2EB0" w:rsidRDefault="00D25C7A" w:rsidP="001E2EB0">
      <w:pPr>
        <w:pStyle w:val="1"/>
        <w:spacing w:after="0" w:line="360" w:lineRule="auto"/>
        <w:ind w:left="0" w:firstLine="284"/>
        <w:jc w:val="both"/>
        <w:rPr>
          <w:rFonts w:ascii="Times New Roman" w:hAnsi="Times New Roman"/>
          <w:sz w:val="28"/>
          <w:szCs w:val="28"/>
        </w:rPr>
      </w:pPr>
      <w:r w:rsidRPr="00EE25B9">
        <w:rPr>
          <w:rFonts w:ascii="Times New Roman" w:hAnsi="Times New Roman"/>
          <w:sz w:val="28"/>
          <w:szCs w:val="28"/>
        </w:rPr>
        <w:t>При прохождении процедуры листинга ценные бумаги включаются</w:t>
      </w:r>
      <w:r>
        <w:rPr>
          <w:rFonts w:ascii="Times New Roman" w:hAnsi="Times New Roman"/>
          <w:sz w:val="28"/>
          <w:szCs w:val="28"/>
        </w:rPr>
        <w:t xml:space="preserve"> в один из Котировальных листов</w:t>
      </w:r>
      <w:r w:rsidRPr="001E2EB0">
        <w:rPr>
          <w:rFonts w:ascii="Times New Roman" w:hAnsi="Times New Roman"/>
          <w:sz w:val="28"/>
          <w:szCs w:val="28"/>
        </w:rPr>
        <w:t>.</w:t>
      </w:r>
      <w:r>
        <w:rPr>
          <w:rFonts w:ascii="Times New Roman" w:hAnsi="Times New Roman"/>
          <w:sz w:val="28"/>
          <w:szCs w:val="28"/>
        </w:rPr>
        <w:t xml:space="preserve"> </w:t>
      </w:r>
      <w:r w:rsidRPr="001E2EB0">
        <w:rPr>
          <w:rFonts w:ascii="Times New Roman" w:hAnsi="Times New Roman"/>
          <w:sz w:val="28"/>
          <w:szCs w:val="28"/>
        </w:rPr>
        <w:t>Без прохождения процедуры лист</w:t>
      </w:r>
      <w:r>
        <w:rPr>
          <w:rFonts w:ascii="Times New Roman" w:hAnsi="Times New Roman"/>
          <w:sz w:val="28"/>
          <w:szCs w:val="28"/>
        </w:rPr>
        <w:t>инга ценные бумаги включаются в п</w:t>
      </w:r>
      <w:r w:rsidRPr="001E2EB0">
        <w:rPr>
          <w:rFonts w:ascii="Times New Roman" w:hAnsi="Times New Roman"/>
          <w:sz w:val="28"/>
          <w:szCs w:val="28"/>
        </w:rPr>
        <w:t>еречень внесписочных ценных бумаг.</w:t>
      </w:r>
    </w:p>
    <w:p w:rsidR="00D25C7A" w:rsidRDefault="00D25C7A" w:rsidP="003479FC">
      <w:pPr>
        <w:spacing w:after="0" w:line="360" w:lineRule="auto"/>
        <w:jc w:val="center"/>
        <w:rPr>
          <w:rFonts w:ascii="Times New Roman" w:hAnsi="Times New Roman"/>
          <w:b/>
          <w:sz w:val="28"/>
        </w:rPr>
      </w:pPr>
    </w:p>
    <w:p w:rsidR="00D25C7A" w:rsidRDefault="00D25C7A" w:rsidP="003479FC">
      <w:pPr>
        <w:spacing w:after="0" w:line="360" w:lineRule="auto"/>
        <w:jc w:val="center"/>
        <w:rPr>
          <w:rFonts w:ascii="Times New Roman" w:hAnsi="Times New Roman"/>
          <w:b/>
          <w:sz w:val="28"/>
        </w:rPr>
      </w:pPr>
    </w:p>
    <w:p w:rsidR="00D25C7A" w:rsidRDefault="00D25C7A" w:rsidP="003479FC">
      <w:pPr>
        <w:spacing w:after="0" w:line="360" w:lineRule="auto"/>
        <w:jc w:val="center"/>
        <w:rPr>
          <w:rFonts w:ascii="Times New Roman" w:hAnsi="Times New Roman"/>
          <w:b/>
          <w:sz w:val="28"/>
        </w:rPr>
      </w:pPr>
      <w:r w:rsidRPr="003479FC">
        <w:rPr>
          <w:rFonts w:ascii="Times New Roman" w:hAnsi="Times New Roman"/>
          <w:b/>
          <w:sz w:val="28"/>
        </w:rPr>
        <w:t>Список использованной литературы</w:t>
      </w:r>
    </w:p>
    <w:p w:rsidR="00D25C7A" w:rsidRPr="003479FC" w:rsidRDefault="00D25C7A" w:rsidP="003479FC">
      <w:pPr>
        <w:pStyle w:val="1"/>
        <w:numPr>
          <w:ilvl w:val="0"/>
          <w:numId w:val="3"/>
        </w:numPr>
        <w:spacing w:after="0" w:line="360" w:lineRule="auto"/>
        <w:ind w:left="0" w:firstLine="284"/>
        <w:jc w:val="both"/>
        <w:rPr>
          <w:rFonts w:ascii="Times New Roman" w:hAnsi="Times New Roman"/>
          <w:sz w:val="28"/>
        </w:rPr>
      </w:pPr>
      <w:r>
        <w:rPr>
          <w:rFonts w:ascii="Times New Roman" w:hAnsi="Times New Roman"/>
          <w:sz w:val="28"/>
        </w:rPr>
        <w:t>Берзон</w:t>
      </w:r>
      <w:r w:rsidRPr="003479FC">
        <w:rPr>
          <w:rFonts w:ascii="Times New Roman" w:hAnsi="Times New Roman"/>
          <w:sz w:val="28"/>
        </w:rPr>
        <w:t xml:space="preserve"> Н.И., </w:t>
      </w:r>
      <w:r>
        <w:rPr>
          <w:rFonts w:ascii="Times New Roman" w:hAnsi="Times New Roman"/>
          <w:sz w:val="28"/>
        </w:rPr>
        <w:t>Буянова</w:t>
      </w:r>
      <w:r w:rsidRPr="003479FC">
        <w:rPr>
          <w:rFonts w:ascii="Times New Roman" w:hAnsi="Times New Roman"/>
          <w:sz w:val="28"/>
        </w:rPr>
        <w:t xml:space="preserve"> Е.А., </w:t>
      </w:r>
      <w:r>
        <w:rPr>
          <w:rFonts w:ascii="Times New Roman" w:hAnsi="Times New Roman"/>
          <w:sz w:val="28"/>
        </w:rPr>
        <w:t>Кожевников</w:t>
      </w:r>
      <w:r w:rsidRPr="003479FC">
        <w:rPr>
          <w:rFonts w:ascii="Times New Roman" w:hAnsi="Times New Roman"/>
          <w:sz w:val="28"/>
        </w:rPr>
        <w:t xml:space="preserve"> М. А., </w:t>
      </w:r>
      <w:r>
        <w:rPr>
          <w:rFonts w:ascii="Times New Roman" w:hAnsi="Times New Roman"/>
          <w:sz w:val="28"/>
        </w:rPr>
        <w:t>Чаленко</w:t>
      </w:r>
      <w:r w:rsidRPr="003479FC">
        <w:rPr>
          <w:rFonts w:ascii="Times New Roman" w:hAnsi="Times New Roman"/>
          <w:sz w:val="28"/>
        </w:rPr>
        <w:t xml:space="preserve"> А.В. Фондовый рынок: Учебное пособие для высших учебных заведений экономического профиля</w:t>
      </w:r>
      <w:r>
        <w:rPr>
          <w:rFonts w:ascii="Times New Roman" w:hAnsi="Times New Roman"/>
          <w:sz w:val="28"/>
        </w:rPr>
        <w:t>/</w:t>
      </w:r>
      <w:r w:rsidRPr="003479FC">
        <w:t xml:space="preserve"> </w:t>
      </w:r>
      <w:r>
        <w:rPr>
          <w:rFonts w:ascii="Times New Roman" w:hAnsi="Times New Roman"/>
          <w:sz w:val="28"/>
        </w:rPr>
        <w:t>Под ред.</w:t>
      </w:r>
      <w:r w:rsidRPr="003479FC">
        <w:rPr>
          <w:rFonts w:ascii="Times New Roman" w:hAnsi="Times New Roman"/>
          <w:sz w:val="28"/>
        </w:rPr>
        <w:t xml:space="preserve"> Н.И.</w:t>
      </w:r>
      <w:r>
        <w:rPr>
          <w:rFonts w:ascii="Times New Roman" w:hAnsi="Times New Roman"/>
          <w:sz w:val="28"/>
        </w:rPr>
        <w:t xml:space="preserve"> </w:t>
      </w:r>
      <w:r w:rsidRPr="003479FC">
        <w:rPr>
          <w:rFonts w:ascii="Times New Roman" w:hAnsi="Times New Roman"/>
          <w:sz w:val="28"/>
        </w:rPr>
        <w:t>Берзона</w:t>
      </w:r>
      <w:r>
        <w:rPr>
          <w:rFonts w:ascii="Times New Roman" w:hAnsi="Times New Roman"/>
          <w:sz w:val="28"/>
        </w:rPr>
        <w:t>. – Изд.: Вита-Пресс</w:t>
      </w:r>
      <w:r w:rsidRPr="003479FC">
        <w:rPr>
          <w:rFonts w:ascii="Times New Roman" w:hAnsi="Times New Roman"/>
          <w:sz w:val="28"/>
        </w:rPr>
        <w:t xml:space="preserve">, </w:t>
      </w:r>
      <w:r>
        <w:rPr>
          <w:rFonts w:ascii="Times New Roman" w:hAnsi="Times New Roman"/>
          <w:sz w:val="28"/>
        </w:rPr>
        <w:t>2006. – 455 с.</w:t>
      </w:r>
    </w:p>
    <w:p w:rsidR="00D25C7A" w:rsidRPr="003479FC" w:rsidRDefault="00D25C7A" w:rsidP="003479FC">
      <w:pPr>
        <w:pStyle w:val="1"/>
        <w:numPr>
          <w:ilvl w:val="0"/>
          <w:numId w:val="3"/>
        </w:numPr>
        <w:spacing w:after="0" w:line="360" w:lineRule="auto"/>
        <w:ind w:left="0" w:firstLine="284"/>
        <w:jc w:val="both"/>
        <w:rPr>
          <w:rFonts w:ascii="Times New Roman" w:hAnsi="Times New Roman"/>
          <w:sz w:val="28"/>
        </w:rPr>
      </w:pPr>
      <w:r>
        <w:rPr>
          <w:rFonts w:ascii="Times New Roman" w:hAnsi="Times New Roman"/>
          <w:sz w:val="28"/>
        </w:rPr>
        <w:t>Лялин В. А. Рынок ценных бумаг</w:t>
      </w:r>
      <w:r w:rsidRPr="00AB22D7">
        <w:rPr>
          <w:rFonts w:ascii="Times New Roman" w:hAnsi="Times New Roman"/>
          <w:sz w:val="28"/>
        </w:rPr>
        <w:t xml:space="preserve">: учебник / </w:t>
      </w:r>
      <w:r>
        <w:rPr>
          <w:rFonts w:ascii="Times New Roman" w:hAnsi="Times New Roman"/>
          <w:sz w:val="28"/>
        </w:rPr>
        <w:t xml:space="preserve">Под ред. </w:t>
      </w:r>
      <w:r w:rsidRPr="00AB22D7">
        <w:rPr>
          <w:rFonts w:ascii="Times New Roman" w:hAnsi="Times New Roman"/>
          <w:sz w:val="28"/>
        </w:rPr>
        <w:t>В.</w:t>
      </w:r>
      <w:r>
        <w:rPr>
          <w:rFonts w:ascii="Times New Roman" w:hAnsi="Times New Roman"/>
          <w:sz w:val="28"/>
        </w:rPr>
        <w:t xml:space="preserve"> А. Лялин, П. В. Воробьев. - М.</w:t>
      </w:r>
      <w:r w:rsidRPr="00AB22D7">
        <w:rPr>
          <w:rFonts w:ascii="Times New Roman" w:hAnsi="Times New Roman"/>
          <w:sz w:val="28"/>
        </w:rPr>
        <w:t>: Проспект, 2007. - 384 с.</w:t>
      </w:r>
    </w:p>
    <w:p w:rsidR="00D25C7A" w:rsidRDefault="00D25C7A" w:rsidP="003479FC">
      <w:pPr>
        <w:pStyle w:val="1"/>
        <w:numPr>
          <w:ilvl w:val="0"/>
          <w:numId w:val="3"/>
        </w:numPr>
        <w:spacing w:after="0" w:line="360" w:lineRule="auto"/>
        <w:ind w:left="0" w:firstLine="284"/>
        <w:jc w:val="both"/>
        <w:rPr>
          <w:rFonts w:ascii="Times New Roman" w:hAnsi="Times New Roman"/>
          <w:sz w:val="28"/>
        </w:rPr>
      </w:pPr>
      <w:r w:rsidRPr="00AB22D7">
        <w:rPr>
          <w:rFonts w:ascii="Times New Roman" w:hAnsi="Times New Roman"/>
          <w:sz w:val="28"/>
        </w:rPr>
        <w:t xml:space="preserve">Рынок ценных бумаг: </w:t>
      </w:r>
      <w:r>
        <w:rPr>
          <w:rFonts w:ascii="Times New Roman" w:hAnsi="Times New Roman"/>
          <w:sz w:val="28"/>
        </w:rPr>
        <w:t>у</w:t>
      </w:r>
      <w:r w:rsidRPr="00AB22D7">
        <w:rPr>
          <w:rFonts w:ascii="Times New Roman" w:hAnsi="Times New Roman"/>
          <w:sz w:val="28"/>
        </w:rPr>
        <w:t>чебник/</w:t>
      </w:r>
      <w:r>
        <w:rPr>
          <w:rFonts w:ascii="Times New Roman" w:hAnsi="Times New Roman"/>
          <w:sz w:val="28"/>
        </w:rPr>
        <w:t xml:space="preserve"> Под ред.</w:t>
      </w:r>
      <w:r w:rsidRPr="00AB22D7">
        <w:rPr>
          <w:rFonts w:ascii="Times New Roman" w:hAnsi="Times New Roman"/>
          <w:sz w:val="28"/>
        </w:rPr>
        <w:t xml:space="preserve"> В.А. Галанова, А.И. Басова, - 2-е изд., перераб. </w:t>
      </w:r>
      <w:r>
        <w:rPr>
          <w:rFonts w:ascii="Times New Roman" w:hAnsi="Times New Roman"/>
          <w:sz w:val="28"/>
        </w:rPr>
        <w:t>и</w:t>
      </w:r>
      <w:r w:rsidRPr="00AB22D7">
        <w:rPr>
          <w:rFonts w:ascii="Times New Roman" w:hAnsi="Times New Roman"/>
          <w:sz w:val="28"/>
        </w:rPr>
        <w:t xml:space="preserve"> доп. - М.: Финансы и статистика, 2005.</w:t>
      </w:r>
      <w:r>
        <w:rPr>
          <w:rFonts w:ascii="Times New Roman" w:hAnsi="Times New Roman"/>
          <w:sz w:val="28"/>
        </w:rPr>
        <w:t xml:space="preserve"> </w:t>
      </w:r>
      <w:r w:rsidRPr="00AB22D7">
        <w:rPr>
          <w:rFonts w:ascii="Times New Roman" w:hAnsi="Times New Roman"/>
          <w:sz w:val="28"/>
        </w:rPr>
        <w:t>-448 с.</w:t>
      </w:r>
    </w:p>
    <w:p w:rsidR="00D25C7A" w:rsidRPr="003479FC" w:rsidRDefault="00D25C7A" w:rsidP="003479FC">
      <w:pPr>
        <w:pStyle w:val="1"/>
        <w:numPr>
          <w:ilvl w:val="0"/>
          <w:numId w:val="3"/>
        </w:numPr>
        <w:spacing w:after="0" w:line="360" w:lineRule="auto"/>
        <w:ind w:left="0" w:firstLine="284"/>
        <w:jc w:val="both"/>
        <w:rPr>
          <w:rFonts w:ascii="Times New Roman" w:hAnsi="Times New Roman"/>
          <w:sz w:val="28"/>
        </w:rPr>
      </w:pPr>
      <w:r w:rsidRPr="00F56010">
        <w:rPr>
          <w:rFonts w:ascii="Times New Roman" w:hAnsi="Times New Roman"/>
          <w:sz w:val="28"/>
        </w:rPr>
        <w:t>www.micex.ru</w:t>
      </w:r>
      <w:bookmarkStart w:id="0" w:name="_GoBack"/>
      <w:bookmarkEnd w:id="0"/>
    </w:p>
    <w:sectPr w:rsidR="00D25C7A" w:rsidRPr="003479FC" w:rsidSect="00DE2FC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C7A" w:rsidRDefault="00D25C7A" w:rsidP="00DE2FCE">
      <w:pPr>
        <w:spacing w:after="0" w:line="240" w:lineRule="auto"/>
      </w:pPr>
      <w:r>
        <w:separator/>
      </w:r>
    </w:p>
  </w:endnote>
  <w:endnote w:type="continuationSeparator" w:id="0">
    <w:p w:rsidR="00D25C7A" w:rsidRDefault="00D25C7A" w:rsidP="00DE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C7A" w:rsidRDefault="00D25C7A">
    <w:pPr>
      <w:pStyle w:val="a7"/>
      <w:jc w:val="center"/>
    </w:pPr>
    <w:r>
      <w:fldChar w:fldCharType="begin"/>
    </w:r>
    <w:r>
      <w:instrText xml:space="preserve"> PAGE   \* MERGEFORMAT </w:instrText>
    </w:r>
    <w:r>
      <w:fldChar w:fldCharType="separate"/>
    </w:r>
    <w:r w:rsidR="00612D4A">
      <w:rPr>
        <w:noProof/>
      </w:rPr>
      <w:t>2</w:t>
    </w:r>
    <w:r>
      <w:fldChar w:fldCharType="end"/>
    </w:r>
  </w:p>
  <w:p w:rsidR="00D25C7A" w:rsidRDefault="00D25C7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C7A" w:rsidRDefault="00D25C7A" w:rsidP="00DE2FCE">
      <w:pPr>
        <w:spacing w:after="0" w:line="240" w:lineRule="auto"/>
      </w:pPr>
      <w:r>
        <w:separator/>
      </w:r>
    </w:p>
  </w:footnote>
  <w:footnote w:type="continuationSeparator" w:id="0">
    <w:p w:rsidR="00D25C7A" w:rsidRDefault="00D25C7A" w:rsidP="00DE2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E0BB2"/>
    <w:multiLevelType w:val="hybridMultilevel"/>
    <w:tmpl w:val="F612B2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37C6A66"/>
    <w:multiLevelType w:val="hybridMultilevel"/>
    <w:tmpl w:val="BDB43B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6157D17"/>
    <w:multiLevelType w:val="hybridMultilevel"/>
    <w:tmpl w:val="D114AA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91D"/>
    <w:rsid w:val="00047D61"/>
    <w:rsid w:val="00053196"/>
    <w:rsid w:val="000C69A6"/>
    <w:rsid w:val="0017491D"/>
    <w:rsid w:val="00176EA6"/>
    <w:rsid w:val="001E2EB0"/>
    <w:rsid w:val="00201423"/>
    <w:rsid w:val="003479FC"/>
    <w:rsid w:val="003F0065"/>
    <w:rsid w:val="00612D4A"/>
    <w:rsid w:val="006C291B"/>
    <w:rsid w:val="007C3E70"/>
    <w:rsid w:val="007F7356"/>
    <w:rsid w:val="00830063"/>
    <w:rsid w:val="008F14B7"/>
    <w:rsid w:val="009A15AE"/>
    <w:rsid w:val="00AB22D7"/>
    <w:rsid w:val="00B15244"/>
    <w:rsid w:val="00B704A7"/>
    <w:rsid w:val="00B76D51"/>
    <w:rsid w:val="00CC7141"/>
    <w:rsid w:val="00D25C7A"/>
    <w:rsid w:val="00DB2C43"/>
    <w:rsid w:val="00DE2FCE"/>
    <w:rsid w:val="00E54E3E"/>
    <w:rsid w:val="00EE25B9"/>
    <w:rsid w:val="00F5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11BD98B-E904-4158-8436-D69F0A42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D5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7491D"/>
    <w:pPr>
      <w:ind w:left="720"/>
      <w:contextualSpacing/>
    </w:pPr>
  </w:style>
  <w:style w:type="paragraph" w:customStyle="1" w:styleId="10">
    <w:name w:val="Без интервала1"/>
    <w:link w:val="NoSpacingChar"/>
    <w:rsid w:val="00DE2FCE"/>
    <w:rPr>
      <w:sz w:val="22"/>
      <w:szCs w:val="22"/>
      <w:lang w:eastAsia="en-US"/>
    </w:rPr>
  </w:style>
  <w:style w:type="character" w:customStyle="1" w:styleId="NoSpacingChar">
    <w:name w:val="No Spacing Char"/>
    <w:basedOn w:val="a0"/>
    <w:link w:val="10"/>
    <w:locked/>
    <w:rsid w:val="00DE2FCE"/>
    <w:rPr>
      <w:rFonts w:eastAsia="Times New Roman" w:cs="Times New Roman"/>
      <w:sz w:val="22"/>
      <w:szCs w:val="22"/>
      <w:lang w:val="ru-RU" w:eastAsia="en-US" w:bidi="ar-SA"/>
    </w:rPr>
  </w:style>
  <w:style w:type="paragraph" w:styleId="a3">
    <w:name w:val="Balloon Text"/>
    <w:basedOn w:val="a"/>
    <w:link w:val="a4"/>
    <w:semiHidden/>
    <w:rsid w:val="00DE2FCE"/>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DE2FCE"/>
    <w:rPr>
      <w:rFonts w:ascii="Tahoma" w:hAnsi="Tahoma" w:cs="Tahoma"/>
      <w:sz w:val="16"/>
      <w:szCs w:val="16"/>
    </w:rPr>
  </w:style>
  <w:style w:type="paragraph" w:styleId="a5">
    <w:name w:val="header"/>
    <w:basedOn w:val="a"/>
    <w:link w:val="a6"/>
    <w:semiHidden/>
    <w:rsid w:val="00DE2FCE"/>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DE2FCE"/>
    <w:rPr>
      <w:rFonts w:cs="Times New Roman"/>
    </w:rPr>
  </w:style>
  <w:style w:type="paragraph" w:styleId="a7">
    <w:name w:val="footer"/>
    <w:basedOn w:val="a"/>
    <w:link w:val="a8"/>
    <w:rsid w:val="00DE2FCE"/>
    <w:pPr>
      <w:tabs>
        <w:tab w:val="center" w:pos="4677"/>
        <w:tab w:val="right" w:pos="9355"/>
      </w:tabs>
      <w:spacing w:after="0" w:line="240" w:lineRule="auto"/>
    </w:pPr>
  </w:style>
  <w:style w:type="character" w:customStyle="1" w:styleId="a8">
    <w:name w:val="Нижний колонтитул Знак"/>
    <w:basedOn w:val="a0"/>
    <w:link w:val="a7"/>
    <w:locked/>
    <w:rsid w:val="00DE2F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3518</Words>
  <Characters>20056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RUSSIA</vt:lpstr>
    </vt:vector>
  </TitlesOfParts>
  <Company>RUSSIA</Company>
  <LinksUpToDate>false</LinksUpToDate>
  <CharactersWithSpaces>23527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dc:title>
  <dc:subject/>
  <dc:creator>XP GAME 2009</dc:creator>
  <cp:keywords/>
  <dc:description/>
  <cp:lastModifiedBy>admin</cp:lastModifiedBy>
  <cp:revision>2</cp:revision>
  <cp:lastPrinted>2008-02-05T14:50:00Z</cp:lastPrinted>
  <dcterms:created xsi:type="dcterms:W3CDTF">2014-04-23T10:26:00Z</dcterms:created>
  <dcterms:modified xsi:type="dcterms:W3CDTF">2014-04-23T10:26:00Z</dcterms:modified>
</cp:coreProperties>
</file>