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2D" w:rsidRPr="00BC58EF" w:rsidRDefault="00F5502D" w:rsidP="00BC58EF">
      <w:pPr>
        <w:widowControl w:val="0"/>
        <w:ind w:firstLine="709"/>
        <w:jc w:val="center"/>
        <w:rPr>
          <w:szCs w:val="28"/>
        </w:rPr>
      </w:pPr>
      <w:r w:rsidRPr="00BC58EF">
        <w:rPr>
          <w:szCs w:val="28"/>
        </w:rPr>
        <w:t>МИНИСТЕРСТВО ОБРАЗОВАНИЯ И НАУКИ</w:t>
      </w:r>
    </w:p>
    <w:p w:rsidR="00F5502D" w:rsidRPr="00BC58EF" w:rsidRDefault="00F5502D" w:rsidP="00BC58EF">
      <w:pPr>
        <w:widowControl w:val="0"/>
        <w:ind w:firstLine="709"/>
        <w:jc w:val="center"/>
        <w:rPr>
          <w:szCs w:val="28"/>
        </w:rPr>
      </w:pPr>
      <w:r w:rsidRPr="00BC58EF">
        <w:rPr>
          <w:szCs w:val="28"/>
        </w:rPr>
        <w:t>РОССИЙСКОЙ ФЕДЕРАЦИИ</w:t>
      </w:r>
    </w:p>
    <w:p w:rsidR="00F5502D" w:rsidRPr="00BC58EF" w:rsidRDefault="00F5502D" w:rsidP="00BC58EF">
      <w:pPr>
        <w:widowControl w:val="0"/>
        <w:ind w:firstLine="709"/>
        <w:jc w:val="center"/>
        <w:rPr>
          <w:szCs w:val="28"/>
        </w:rPr>
      </w:pPr>
      <w:r w:rsidRPr="00BC58EF">
        <w:rPr>
          <w:szCs w:val="28"/>
        </w:rPr>
        <w:t>Государственное образовательное учреждение</w:t>
      </w:r>
    </w:p>
    <w:p w:rsidR="00F5502D" w:rsidRPr="00BC58EF" w:rsidRDefault="00F5502D" w:rsidP="00BC58EF">
      <w:pPr>
        <w:widowControl w:val="0"/>
        <w:ind w:firstLine="709"/>
        <w:jc w:val="center"/>
        <w:rPr>
          <w:szCs w:val="28"/>
        </w:rPr>
      </w:pPr>
      <w:r w:rsidRPr="00BC58EF">
        <w:rPr>
          <w:szCs w:val="28"/>
        </w:rPr>
        <w:t>высшего профессионального образования</w:t>
      </w:r>
    </w:p>
    <w:p w:rsidR="00F5502D" w:rsidRPr="00BC58EF" w:rsidRDefault="00F5502D" w:rsidP="00BC58EF">
      <w:pPr>
        <w:widowControl w:val="0"/>
        <w:ind w:firstLine="709"/>
        <w:jc w:val="center"/>
        <w:rPr>
          <w:szCs w:val="28"/>
        </w:rPr>
      </w:pPr>
      <w:r w:rsidRPr="00BC58EF">
        <w:rPr>
          <w:szCs w:val="28"/>
        </w:rPr>
        <w:t>Сибирский государственный аэрокосмический университет</w:t>
      </w:r>
    </w:p>
    <w:p w:rsidR="00F5502D" w:rsidRPr="00BC58EF" w:rsidRDefault="00F5502D" w:rsidP="00BC58EF">
      <w:pPr>
        <w:widowControl w:val="0"/>
        <w:ind w:firstLine="709"/>
        <w:jc w:val="center"/>
        <w:rPr>
          <w:szCs w:val="28"/>
        </w:rPr>
      </w:pPr>
      <w:r w:rsidRPr="00BC58EF">
        <w:rPr>
          <w:szCs w:val="28"/>
        </w:rPr>
        <w:t>имени академика</w:t>
      </w:r>
      <w:r w:rsidR="00BC58EF">
        <w:rPr>
          <w:szCs w:val="28"/>
        </w:rPr>
        <w:t xml:space="preserve"> </w:t>
      </w:r>
      <w:r w:rsidRPr="00BC58EF">
        <w:rPr>
          <w:szCs w:val="28"/>
        </w:rPr>
        <w:t>М.Ф. Решетнева</w:t>
      </w:r>
    </w:p>
    <w:p w:rsidR="00F5502D" w:rsidRPr="00BC58EF" w:rsidRDefault="00F5502D" w:rsidP="00BC58EF">
      <w:pPr>
        <w:widowControl w:val="0"/>
        <w:ind w:firstLine="709"/>
        <w:jc w:val="center"/>
        <w:rPr>
          <w:szCs w:val="32"/>
        </w:rPr>
      </w:pPr>
      <w:r w:rsidRPr="00BC58EF">
        <w:rPr>
          <w:szCs w:val="32"/>
        </w:rPr>
        <w:t>Факультет заочного и дополнительного образования</w:t>
      </w:r>
    </w:p>
    <w:p w:rsidR="00F5502D" w:rsidRPr="00BC58EF" w:rsidRDefault="00F5502D" w:rsidP="00BC58EF">
      <w:pPr>
        <w:widowControl w:val="0"/>
        <w:ind w:firstLine="709"/>
        <w:jc w:val="center"/>
        <w:rPr>
          <w:szCs w:val="32"/>
        </w:rPr>
      </w:pPr>
      <w:r w:rsidRPr="00BC58EF">
        <w:rPr>
          <w:szCs w:val="32"/>
        </w:rPr>
        <w:t>Кафедра П</w:t>
      </w:r>
    </w:p>
    <w:p w:rsidR="00F5502D" w:rsidRPr="00BC58EF" w:rsidRDefault="00F5502D" w:rsidP="00BC58EF">
      <w:pPr>
        <w:widowControl w:val="0"/>
        <w:ind w:firstLine="709"/>
        <w:jc w:val="center"/>
        <w:rPr>
          <w:szCs w:val="32"/>
        </w:rPr>
      </w:pPr>
    </w:p>
    <w:p w:rsidR="00F5502D" w:rsidRPr="00BC58EF" w:rsidRDefault="00F5502D" w:rsidP="00BC58EF">
      <w:pPr>
        <w:widowControl w:val="0"/>
        <w:ind w:firstLine="709"/>
        <w:jc w:val="center"/>
        <w:rPr>
          <w:szCs w:val="32"/>
        </w:rPr>
      </w:pPr>
    </w:p>
    <w:p w:rsidR="00BC58EF" w:rsidRDefault="00BC58EF" w:rsidP="00BC58EF">
      <w:pPr>
        <w:widowControl w:val="0"/>
        <w:ind w:firstLine="709"/>
        <w:jc w:val="center"/>
        <w:rPr>
          <w:szCs w:val="72"/>
        </w:rPr>
      </w:pPr>
    </w:p>
    <w:p w:rsidR="00F5502D" w:rsidRPr="00BC58EF" w:rsidRDefault="00F5502D" w:rsidP="00BC58EF">
      <w:pPr>
        <w:widowControl w:val="0"/>
        <w:ind w:firstLine="709"/>
        <w:jc w:val="center"/>
        <w:rPr>
          <w:szCs w:val="72"/>
        </w:rPr>
      </w:pPr>
      <w:r w:rsidRPr="00BC58EF">
        <w:rPr>
          <w:szCs w:val="72"/>
        </w:rPr>
        <w:t>Контрольная работа</w:t>
      </w:r>
    </w:p>
    <w:p w:rsidR="00BC58EF" w:rsidRDefault="00BC58EF" w:rsidP="00BC58EF">
      <w:pPr>
        <w:widowControl w:val="0"/>
        <w:ind w:firstLine="709"/>
        <w:jc w:val="center"/>
        <w:rPr>
          <w:szCs w:val="28"/>
        </w:rPr>
      </w:pPr>
    </w:p>
    <w:p w:rsidR="00F5502D" w:rsidRPr="00BC58EF" w:rsidRDefault="00F5502D" w:rsidP="00BC58EF">
      <w:pPr>
        <w:widowControl w:val="0"/>
        <w:ind w:firstLine="709"/>
        <w:jc w:val="center"/>
        <w:rPr>
          <w:szCs w:val="72"/>
        </w:rPr>
      </w:pPr>
      <w:r w:rsidRPr="00BC58EF">
        <w:rPr>
          <w:szCs w:val="28"/>
        </w:rPr>
        <w:t>По курсу:</w:t>
      </w:r>
      <w:r w:rsidR="00BC58EF">
        <w:rPr>
          <w:szCs w:val="28"/>
        </w:rPr>
        <w:t xml:space="preserve"> </w:t>
      </w:r>
      <w:r w:rsidRPr="00BC58EF">
        <w:rPr>
          <w:szCs w:val="28"/>
        </w:rPr>
        <w:t>трудовое право</w:t>
      </w:r>
    </w:p>
    <w:p w:rsidR="00F5502D" w:rsidRPr="00BC58EF" w:rsidRDefault="00F5502D" w:rsidP="00BC58EF">
      <w:pPr>
        <w:widowControl w:val="0"/>
        <w:ind w:firstLine="709"/>
        <w:jc w:val="center"/>
        <w:rPr>
          <w:szCs w:val="28"/>
        </w:rPr>
      </w:pPr>
    </w:p>
    <w:p w:rsidR="00F5502D" w:rsidRPr="00BC58EF" w:rsidRDefault="00F5502D" w:rsidP="00BC58EF">
      <w:pPr>
        <w:widowControl w:val="0"/>
        <w:ind w:firstLine="709"/>
        <w:jc w:val="center"/>
        <w:rPr>
          <w:szCs w:val="28"/>
        </w:rPr>
      </w:pPr>
      <w:r w:rsidRPr="00BC58EF">
        <w:rPr>
          <w:szCs w:val="28"/>
        </w:rPr>
        <w:t>Вариант № 1</w:t>
      </w:r>
    </w:p>
    <w:p w:rsidR="00F5502D" w:rsidRPr="00BC58EF" w:rsidRDefault="00F5502D" w:rsidP="00BC58EF">
      <w:pPr>
        <w:widowControl w:val="0"/>
        <w:tabs>
          <w:tab w:val="left" w:pos="6150"/>
        </w:tabs>
        <w:ind w:firstLine="709"/>
        <w:jc w:val="center"/>
        <w:rPr>
          <w:szCs w:val="28"/>
        </w:rPr>
      </w:pPr>
    </w:p>
    <w:p w:rsidR="00F5502D" w:rsidRPr="00BC58EF" w:rsidRDefault="00F5502D" w:rsidP="00BC58EF">
      <w:pPr>
        <w:widowControl w:val="0"/>
        <w:tabs>
          <w:tab w:val="left" w:pos="6150"/>
        </w:tabs>
        <w:ind w:firstLine="709"/>
        <w:rPr>
          <w:szCs w:val="28"/>
        </w:rPr>
      </w:pPr>
    </w:p>
    <w:p w:rsidR="00F5502D" w:rsidRPr="00BC58EF" w:rsidRDefault="00F5502D" w:rsidP="00BC58EF">
      <w:pPr>
        <w:widowControl w:val="0"/>
        <w:ind w:firstLine="0"/>
        <w:rPr>
          <w:szCs w:val="28"/>
        </w:rPr>
      </w:pPr>
      <w:r w:rsidRPr="00BC58EF">
        <w:rPr>
          <w:szCs w:val="28"/>
        </w:rPr>
        <w:t>Выполнил: студентка гр.</w:t>
      </w:r>
    </w:p>
    <w:p w:rsidR="00F5502D" w:rsidRPr="00BC58EF" w:rsidRDefault="00F5502D" w:rsidP="00BC58EF">
      <w:pPr>
        <w:widowControl w:val="0"/>
        <w:ind w:firstLine="0"/>
        <w:rPr>
          <w:szCs w:val="28"/>
        </w:rPr>
      </w:pPr>
      <w:r w:rsidRPr="00BC58EF">
        <w:rPr>
          <w:szCs w:val="28"/>
        </w:rPr>
        <w:t>ННЗУ-91</w:t>
      </w:r>
      <w:r w:rsidR="00BC58EF">
        <w:rPr>
          <w:szCs w:val="28"/>
        </w:rPr>
        <w:t xml:space="preserve"> </w:t>
      </w:r>
    </w:p>
    <w:p w:rsidR="00F5502D" w:rsidRPr="00BC58EF" w:rsidRDefault="00F5502D" w:rsidP="00BC58EF">
      <w:pPr>
        <w:widowControl w:val="0"/>
        <w:ind w:firstLine="0"/>
        <w:rPr>
          <w:szCs w:val="28"/>
        </w:rPr>
      </w:pPr>
      <w:r w:rsidRPr="00BC58EF">
        <w:rPr>
          <w:szCs w:val="28"/>
        </w:rPr>
        <w:t>Айнуллина Т. З.</w:t>
      </w:r>
    </w:p>
    <w:p w:rsidR="00F5502D" w:rsidRPr="00BC58EF" w:rsidRDefault="00F5502D" w:rsidP="00BC58EF">
      <w:pPr>
        <w:widowControl w:val="0"/>
        <w:ind w:firstLine="0"/>
        <w:rPr>
          <w:szCs w:val="28"/>
        </w:rPr>
      </w:pPr>
      <w:r w:rsidRPr="00BC58EF">
        <w:rPr>
          <w:szCs w:val="28"/>
        </w:rPr>
        <w:t xml:space="preserve">Проверил: </w:t>
      </w:r>
    </w:p>
    <w:p w:rsidR="00160118" w:rsidRPr="00BC58EF" w:rsidRDefault="00160118" w:rsidP="00BC58EF">
      <w:pPr>
        <w:widowControl w:val="0"/>
        <w:ind w:firstLine="0"/>
        <w:rPr>
          <w:szCs w:val="28"/>
        </w:rPr>
      </w:pPr>
      <w:r w:rsidRPr="00BC58EF">
        <w:rPr>
          <w:szCs w:val="28"/>
        </w:rPr>
        <w:t>Щебляков Е. С.</w:t>
      </w:r>
    </w:p>
    <w:p w:rsidR="00F5502D" w:rsidRPr="00BC58EF" w:rsidRDefault="00F5502D" w:rsidP="00BC58EF">
      <w:pPr>
        <w:widowControl w:val="0"/>
        <w:ind w:firstLine="0"/>
        <w:rPr>
          <w:szCs w:val="28"/>
        </w:rPr>
      </w:pPr>
    </w:p>
    <w:p w:rsidR="00F5502D" w:rsidRPr="00BC58EF" w:rsidRDefault="00F5502D" w:rsidP="00BC58EF">
      <w:pPr>
        <w:widowControl w:val="0"/>
        <w:ind w:firstLine="709"/>
        <w:rPr>
          <w:szCs w:val="28"/>
        </w:rPr>
      </w:pPr>
    </w:p>
    <w:p w:rsidR="00F5502D" w:rsidRPr="00BC58EF" w:rsidRDefault="00F5502D" w:rsidP="00BC58EF">
      <w:pPr>
        <w:widowControl w:val="0"/>
        <w:ind w:firstLine="709"/>
        <w:rPr>
          <w:szCs w:val="28"/>
        </w:rPr>
      </w:pPr>
    </w:p>
    <w:p w:rsidR="00160118" w:rsidRPr="00BC58EF" w:rsidRDefault="00160118" w:rsidP="00BC58EF">
      <w:pPr>
        <w:widowControl w:val="0"/>
        <w:ind w:firstLine="709"/>
        <w:rPr>
          <w:szCs w:val="28"/>
        </w:rPr>
      </w:pPr>
    </w:p>
    <w:p w:rsidR="00BC58EF" w:rsidRDefault="00BC58EF" w:rsidP="00BC58EF">
      <w:pPr>
        <w:widowControl w:val="0"/>
        <w:ind w:firstLine="709"/>
        <w:rPr>
          <w:szCs w:val="24"/>
        </w:rPr>
      </w:pPr>
    </w:p>
    <w:p w:rsidR="00F5502D" w:rsidRPr="00BC58EF" w:rsidRDefault="00160118" w:rsidP="00BC58EF">
      <w:pPr>
        <w:widowControl w:val="0"/>
        <w:ind w:firstLine="709"/>
        <w:jc w:val="center"/>
        <w:rPr>
          <w:szCs w:val="28"/>
        </w:rPr>
      </w:pPr>
      <w:r w:rsidRPr="00BC58EF">
        <w:rPr>
          <w:szCs w:val="24"/>
        </w:rPr>
        <w:t>Красноярск 2011</w:t>
      </w:r>
      <w:r w:rsidR="00BC58EF">
        <w:rPr>
          <w:szCs w:val="24"/>
        </w:rPr>
        <w:t>г.</w:t>
      </w:r>
    </w:p>
    <w:p w:rsidR="00BC58EF" w:rsidRDefault="00BC58EF">
      <w:pPr>
        <w:spacing w:after="200" w:line="276" w:lineRule="auto"/>
        <w:ind w:firstLine="0"/>
        <w:jc w:val="left"/>
        <w:rPr>
          <w:szCs w:val="24"/>
        </w:rPr>
      </w:pPr>
      <w:r>
        <w:br w:type="page"/>
      </w:r>
    </w:p>
    <w:p w:rsidR="00FB4DC0" w:rsidRPr="00BC58EF" w:rsidRDefault="00FB4DC0" w:rsidP="00BC58EF">
      <w:pPr>
        <w:pStyle w:val="2"/>
        <w:widowControl w:val="0"/>
        <w:spacing w:line="360" w:lineRule="auto"/>
        <w:ind w:firstLine="709"/>
      </w:pPr>
      <w:r w:rsidRPr="00BC58EF">
        <w:t>Содержание</w:t>
      </w:r>
    </w:p>
    <w:p w:rsidR="00821273" w:rsidRPr="00BC58EF" w:rsidRDefault="00821273" w:rsidP="00BC58EF">
      <w:pPr>
        <w:pStyle w:val="2"/>
        <w:widowControl w:val="0"/>
        <w:spacing w:line="360" w:lineRule="auto"/>
        <w:ind w:firstLine="709"/>
      </w:pPr>
    </w:p>
    <w:p w:rsidR="00821273" w:rsidRPr="00BC58EF" w:rsidRDefault="00821273" w:rsidP="00BC58EF">
      <w:pPr>
        <w:pStyle w:val="2"/>
        <w:widowControl w:val="0"/>
        <w:spacing w:line="360" w:lineRule="auto"/>
        <w:ind w:firstLine="0"/>
      </w:pPr>
      <w:r w:rsidRPr="00BC58EF">
        <w:t>Основные права человека в области труда</w:t>
      </w:r>
    </w:p>
    <w:p w:rsidR="00821273" w:rsidRPr="00BC58EF" w:rsidRDefault="00821273" w:rsidP="00BC58EF">
      <w:pPr>
        <w:pStyle w:val="2"/>
        <w:widowControl w:val="0"/>
        <w:spacing w:line="360" w:lineRule="auto"/>
        <w:ind w:firstLine="0"/>
      </w:pPr>
      <w:r w:rsidRPr="00BC58EF">
        <w:t>Задача № 1</w:t>
      </w:r>
    </w:p>
    <w:p w:rsidR="00821273" w:rsidRPr="00BC58EF" w:rsidRDefault="00821273" w:rsidP="00BC58EF">
      <w:pPr>
        <w:pStyle w:val="2"/>
        <w:widowControl w:val="0"/>
        <w:spacing w:line="360" w:lineRule="auto"/>
        <w:ind w:firstLine="0"/>
      </w:pPr>
      <w:r w:rsidRPr="00BC58EF">
        <w:t>Задача № 2</w:t>
      </w:r>
    </w:p>
    <w:p w:rsidR="00821273" w:rsidRPr="00BC58EF" w:rsidRDefault="00821273" w:rsidP="00BC58EF">
      <w:pPr>
        <w:pStyle w:val="2"/>
        <w:widowControl w:val="0"/>
        <w:spacing w:line="360" w:lineRule="auto"/>
        <w:ind w:firstLine="0"/>
      </w:pPr>
      <w:r w:rsidRPr="00BC58EF">
        <w:t>Тест</w:t>
      </w:r>
    </w:p>
    <w:p w:rsidR="00821273" w:rsidRPr="00BC58EF" w:rsidRDefault="00821273" w:rsidP="00BC58EF">
      <w:pPr>
        <w:pStyle w:val="2"/>
        <w:widowControl w:val="0"/>
        <w:spacing w:line="360" w:lineRule="auto"/>
        <w:ind w:firstLine="0"/>
      </w:pPr>
      <w:r w:rsidRPr="00BC58EF">
        <w:t>Список использованной литературы</w:t>
      </w:r>
    </w:p>
    <w:p w:rsidR="00FB4DC0" w:rsidRPr="00BC58EF" w:rsidRDefault="00FB4DC0" w:rsidP="00BC58EF">
      <w:pPr>
        <w:pStyle w:val="2"/>
        <w:widowControl w:val="0"/>
        <w:tabs>
          <w:tab w:val="left" w:pos="5775"/>
        </w:tabs>
        <w:spacing w:line="360" w:lineRule="auto"/>
        <w:ind w:firstLine="0"/>
      </w:pPr>
    </w:p>
    <w:p w:rsidR="00BC58EF" w:rsidRDefault="00BC58EF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D399D" w:rsidRPr="00BC58EF" w:rsidRDefault="009D399D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Основные</w:t>
      </w:r>
      <w:r w:rsidR="00BC58EF">
        <w:rPr>
          <w:szCs w:val="28"/>
        </w:rPr>
        <w:t xml:space="preserve"> права человека в области труда</w:t>
      </w:r>
    </w:p>
    <w:p w:rsidR="00BC58EF" w:rsidRDefault="00BC58EF" w:rsidP="00BC58EF">
      <w:pPr>
        <w:widowControl w:val="0"/>
        <w:ind w:firstLine="709"/>
        <w:contextualSpacing/>
        <w:rPr>
          <w:szCs w:val="28"/>
        </w:rPr>
      </w:pP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 xml:space="preserve">Право на труд. Запрет принудительного труда. Право на труд впервые провозглашено как важнейшее </w:t>
      </w:r>
      <w:r w:rsidR="009D399D" w:rsidRPr="00BC58EF">
        <w:rPr>
          <w:szCs w:val="28"/>
        </w:rPr>
        <w:t>международное</w:t>
      </w:r>
      <w:r w:rsidRPr="00BC58EF">
        <w:rPr>
          <w:szCs w:val="28"/>
        </w:rPr>
        <w:t xml:space="preserve"> признанное право человека во Всеобщей декларации прав человека. Затем это право в более расширенном виде зафиксировано в Международном пакте об экономических, социальных и культурных правах и в Европейской социальной хартии.</w:t>
      </w:r>
    </w:p>
    <w:p w:rsidR="00BD1B28" w:rsidRPr="00BC58EF" w:rsidRDefault="00AA7335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В П</w:t>
      </w:r>
      <w:r w:rsidR="00BD1B28" w:rsidRPr="00BC58EF">
        <w:rPr>
          <w:szCs w:val="28"/>
        </w:rPr>
        <w:t>акте право на труд трактуется</w:t>
      </w:r>
      <w:r w:rsidR="009D399D" w:rsidRPr="00BC58EF">
        <w:rPr>
          <w:szCs w:val="28"/>
        </w:rPr>
        <w:t xml:space="preserve">, </w:t>
      </w:r>
      <w:r w:rsidR="00BD1B28" w:rsidRPr="00BC58EF">
        <w:rPr>
          <w:szCs w:val="28"/>
        </w:rPr>
        <w:t>как право каждого человека на получение возможности зарабатывать себе на жизнь трудом, который он свободно выбирает или на который он свободно соглашается. Подчеркивается, таким образом, свобода труда, выбора конкретной работы, и далее устанавливается обязанность государства не только признать право на труд, но и предпринять надлежащие меры по обеспечению этого права. Это предполагает проведение определенной социально-экономической политики, которая включает программы профессионально-технического обучения, профессиональной ориентации, обеспечение неуклонного экономического, социального и культурного развития и полной производительной занятости в условиях, гарантирующих основные политические и экономические свободы человека. В Европейской социальной хартии понятие права на труд в основном совпадает с формулировками Декларации и Пакта, но вместе с тем в понятие этого права Социальная хартия вносит некоторые новые элементы и дополнительные нюансы. Она обязывает государства обеспечить эффективное осуществление права на труд. С этой целью предлагается: принять в качестве основной задачи достижение и поддержание настолько высокого и стабильного уровня занятости, насколько это возможно, имея в виду достижение полной занятости; эффективно защищать право работника зарабатывать себе на жизнь, работая по свободно избранной профессии, создавать бесплатные биржи труда для всех работников; обеспечить необходимую профессиональную ориентацию, обучение и профессиональную реабилитацию для работников</w:t>
      </w:r>
      <w:r w:rsidRPr="00BC58EF">
        <w:rPr>
          <w:szCs w:val="28"/>
        </w:rPr>
        <w:t>. К</w:t>
      </w:r>
      <w:r w:rsidR="00BD1B28" w:rsidRPr="00BC58EF">
        <w:rPr>
          <w:szCs w:val="28"/>
        </w:rPr>
        <w:t xml:space="preserve">ак видно, на первый план выдвигается обязанность государств проводить политику полной занятости как средства </w:t>
      </w:r>
      <w:r w:rsidRPr="00BC58EF">
        <w:rPr>
          <w:szCs w:val="28"/>
        </w:rPr>
        <w:t xml:space="preserve">осуществления права на труд. </w:t>
      </w:r>
      <w:r w:rsidR="00BD1B28" w:rsidRPr="00BC58EF">
        <w:rPr>
          <w:szCs w:val="28"/>
        </w:rPr>
        <w:t>Во всех рассмотренных актах делается особый акцент на том, что право на труд несовместимо с принудительным трудом. Однако в наибольшей мере и с наибольшей степенью конкретности нормы, касающиеся принудительного труда, закреплены в актах МОТ. По этому вопросу приняты Конвенция № 29 (1930 г.) и Конвенция № 105 (1957 г.).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Конвенция № 29 обязывает государства упразднить применение принудительного труда во всех его формах в возможно кратчайший срок.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Конвенция определяет принудительный труд как всякую работу или службу, требуемую от какого-либо лица под угрозой наказания, если только данное лицо не предложило добровольно свои услуги. Однако Конвенция не применяется в отношении некоторых видов принудительного труда, которые допустимы при определенных условиях и ограничениях. Такой труд разрешается, например, в связи с чрезвычайными (непреодолимыми) обстоятельствами; в силу законов об обязательной военной службе, для работ чисто военного характера; для работы, требуемой в силу судебного приговора.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Конвенция № 105 расширяет круг обязательств государств по устранению принудительного труда и, в частности, дополняет Конвенцию № 29 запретом принудительного труда как средства политического или идеологического насилия. Специально запрещаются следующие виды принудительного труда: в качестве средства политического воздействия или воспитания или в качестве меры наказания за наличие или выражение политических взглядов или идеологических убеждений, противоположных установленной политической, социальной или экономической системе; в качестве метода мобилизации и использования рабочей силы для нужд экономического развития страны; в качестве средства для поддержания трудовой дисциплины; в качестве средства наказания за участие в забастовке; в качестве меры дискриминации по признакам расовой, национальной, социальной принадлежности, вероисповедания и религиозной принадлежности.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Равенство в труде. Запрет дискриминации. Равенство в отношении осуществления прав и свобод человека, право каждого на равную защиту закона провозглашены во всех международных актах, как универсальных, так и региональных. Это относится и к правам в сфере труда.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Большое количество норм и положений, направленных против дискриминации в сфере труда и трудовых отношений, содержится в конвенциях и рекомендациях МОТ. Этому посвящены: Конвенция № 111 о дискриминации в области труда и занятий, Конвенция № 117 об основных целях и нормах социальной политики, Конвенция № 156 о трудящихся с семейными обязанностями, Конвенция № 100 о равном вознаграждении, Рекомендация № 162 о пожилых трудящихся.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Наиболее общим по содержанию документом является Конвенция № 111. Она обязывает государства определять и проводить национальную политику, направленную на поощрение равенства возможностей и обращения в отношении труда и занятий с целью искоренения всякой дискриминации.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Дискриминация подразумевает всякое различие, недопущение или предпочтение, проводимое по признаку расы, цвета кожи, пола, религии, политичес</w:t>
      </w:r>
      <w:r w:rsidR="00AA7335" w:rsidRPr="00BC58EF">
        <w:rPr>
          <w:szCs w:val="28"/>
        </w:rPr>
        <w:t xml:space="preserve">ких убеждений, иностранного или </w:t>
      </w:r>
      <w:r w:rsidRPr="00BC58EF">
        <w:rPr>
          <w:szCs w:val="28"/>
        </w:rPr>
        <w:t>социального происхождения, приводящее к уничтожению или нарушению равенства возможностей или обращения в области труда и занятий.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Конвенция МОТ № 100 обязывает государства использовать национальные методы установления ставок вознаграждения с целью обеспечивать применение принципа равного вознаграждения мужчин и женщин за труд равной ценности. Иными словами, ставки вознаграждения должны определяться без дискриминации по признаку пола.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Наряду с универсальными актами МОТ о равенстве в сфере труда, запрете дискриминации действуют конвенции и рекомендации, которые относятся к определенным категориям трудящихся: работникам-мигрантам, лицам с семейными обязанностями, пожилым трудящимся, морякам, сельскохозяйственным рабочим, представителям коренного населения.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Право на ассоциацию. Хотя принцип права на ассоциацию закреплен во всех международных актах, универсальных и региональных, основной массив конкретных норм, касающихся этого права, содержится в актах МОТ.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В этой области действуют 2 главные конвенции: Конвенция № 87 о свободе ассоциации и защите права на организацию и Конвенция № 98 о праве на организацию и на ведение коллективных договоров.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В Конвенции № 87 свобода ассоциации понимается как право трудящихся и предпринимателей образовывать организации (союзы, ассоциации) по своему выбору без предварительного разрешения, а также право вступать в такие организации на единственном условии подчинения уставам этих организаций.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Указанные организации имеют право вырабатывать уставы, свободно выбирать представителей, организовывать аппарат и свою деятельность, формулировать программу действий; не подлежат роспуску или временному запрещению в административном порядке; могут создавать федерации и конфедерации, а также присоединяться к ним, и каждая такая организация имеет право вступать в международные организации трудящихся и предпринимателей.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Конвенция № 87 обязывает государства принять меры с целью гарантировать трудящимся и предпринимателям свободное осуществление права на организацию. Это обеспечивается дополнительными гарантиями, имеющимися в Конвенции № 98. Во-первых, там установлена защита трудящихся в отношении любых дискриминационных действий, направленных на ущемление свободы объединения. Во-вторых, организации трудящихся и предпринимателей должны пользоваться надлежащей защитой против любых актов вмешательства со стороны друг друга, в частности, не допускать создания «</w:t>
      </w:r>
      <w:r w:rsidR="00BC58EF">
        <w:rPr>
          <w:szCs w:val="28"/>
        </w:rPr>
        <w:t xml:space="preserve"> </w:t>
      </w:r>
      <w:r w:rsidRPr="00BC58EF">
        <w:rPr>
          <w:szCs w:val="28"/>
        </w:rPr>
        <w:t>компанейских</w:t>
      </w:r>
      <w:r w:rsidR="00821273" w:rsidRPr="00BC58EF">
        <w:rPr>
          <w:szCs w:val="28"/>
        </w:rPr>
        <w:t xml:space="preserve"> </w:t>
      </w:r>
      <w:r w:rsidRPr="00BC58EF">
        <w:rPr>
          <w:szCs w:val="28"/>
        </w:rPr>
        <w:t>»,</w:t>
      </w:r>
      <w:r w:rsidR="00BC58EF">
        <w:rPr>
          <w:szCs w:val="28"/>
        </w:rPr>
        <w:t xml:space="preserve"> </w:t>
      </w:r>
      <w:r w:rsidRPr="00BC58EF">
        <w:rPr>
          <w:szCs w:val="28"/>
        </w:rPr>
        <w:t>«</w:t>
      </w:r>
      <w:r w:rsidR="00821273" w:rsidRPr="00BC58EF">
        <w:rPr>
          <w:szCs w:val="28"/>
        </w:rPr>
        <w:t xml:space="preserve"> </w:t>
      </w:r>
      <w:r w:rsidRPr="00BC58EF">
        <w:rPr>
          <w:szCs w:val="28"/>
        </w:rPr>
        <w:t>домашних</w:t>
      </w:r>
      <w:r w:rsidR="00821273" w:rsidRPr="00BC58EF">
        <w:rPr>
          <w:szCs w:val="28"/>
        </w:rPr>
        <w:t xml:space="preserve"> </w:t>
      </w:r>
      <w:r w:rsidRPr="00BC58EF">
        <w:rPr>
          <w:szCs w:val="28"/>
        </w:rPr>
        <w:t>»</w:t>
      </w:r>
      <w:r w:rsidR="00BC58EF">
        <w:rPr>
          <w:szCs w:val="28"/>
        </w:rPr>
        <w:t xml:space="preserve"> </w:t>
      </w:r>
      <w:r w:rsidRPr="00BC58EF">
        <w:rPr>
          <w:szCs w:val="28"/>
        </w:rPr>
        <w:t>профсоюзов, т. е. организаций работников, находящихся под контролем предпринимателей.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 xml:space="preserve">Рассмотренные положения о праве на ассоциацию носят универсальный характер, т. е. относятся, за рядом исключений (армия, полиция), ко всем трудящимся. Наряду с этим МОТ приняла специализированные акты о праве на объединение в сельском хозяйстве, в государственной службе. В частности, Конвенция № 151 устанавливает, что на государственных служащих распространяется свобода </w:t>
      </w:r>
      <w:r w:rsidR="00AA7335" w:rsidRPr="00BC58EF">
        <w:rPr>
          <w:szCs w:val="28"/>
        </w:rPr>
        <w:t>объединения,</w:t>
      </w:r>
      <w:r w:rsidRPr="00BC58EF">
        <w:rPr>
          <w:szCs w:val="28"/>
        </w:rPr>
        <w:t xml:space="preserve"> и они защищаются от дискриминации, направленной на ущемление этой свободы. В числе прочего запрещается выдвигать в качестве условия приема на государственную службу требование о невступлении в профсоюз или о выходе из него; не допускается увольнение государственного служащего или нанесение ему иного вреда за то, что он является членом организации государственных служащих или принимает участие в деятельности такой организации.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Права представителей трудящихся на предприятиях Во многих странах на предприятиях функционируют не только профсоюзы, но и иные выборные органы, избираемые трудящимися (трудовыми коллективами). Права представителей трудящихся на предприятиях защищает Конвенция МОТ № 135. Согласно этой Конвенции, представители трудящихся должны пользоваться защитой от любого действия, которое может нанести им ущерб, включая увольнение в связи с их деятельностью. Им должны предоставляться возможности быстро и эффективно выполнять свои функции, причем предоставление прав представителям трудящихся не должно снижать эффективность работы предприятия. Если на одном и том же предприятии существуют как представители профсоюза, так и выборные представители трудового коллектива, должны быть приняты меры, чтобы наличие выборных представителей от трудового коллектива не использовалось для подрыва позиций профсоюзов; необходимо поощрять сотрудничество между выборными представителями трудовых коллективов и профсоюзами. Функции представительства трудового коллектива не должны включать деятельность, которая признана в качестве исключительной прерогативы профсоюзов.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Право на коллективные переговоры. Акты ООН не предусматривают права на ведение коллективных переговоров и на заключение коллективных договоров. Зато этому вопросу уделяет большое внимание МОТ, которая, согласно Уставу, ставит задачу способствовать действенному признанию права на коллективные переговоры.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Конвенция № 98 вынесла право на коллективные переговоры в название Конвенции и посвятила этому ст. 4, которая гласит: «Там, где это необходимо, принимаются меры, соответствующие условиям страны, в целях поощрения и способствования полному развитию и использованию процедуры ведения переговоров на добровольной основе между предпринимателями или организациями предпринимателей, с одной стороны, и организациями трудящихся, с другой стороны, с целью регулирования условий труда путем заключения коллективных договоров».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Основная часть конкретных норм, относящихся к коллектив</w:t>
      </w:r>
      <w:r w:rsidR="00BC58EF">
        <w:rPr>
          <w:szCs w:val="28"/>
        </w:rPr>
        <w:t xml:space="preserve">но </w:t>
      </w:r>
      <w:r w:rsidRPr="00BC58EF">
        <w:rPr>
          <w:szCs w:val="28"/>
        </w:rPr>
        <w:t>договорному регулированию труда, содержится в Конвенции МОТ № 154 о содействии коллективным переговорам, в одноименной Рекомендации № 163, а также в Рекомендации № 91 о коллективных договорах.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Конвенция № 154 охватывает все области экономической деятельности. Она не распространяется лишь на армию и полицию; кроме того, национальное законодательство может установить особые способы применения Конвенции в отношении государственной службы.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Под коллективными переговорами понимаются переговоры, которые проводятся между предпринимателем, группой предпринимателей или одной или несколькими организациями предпринимателей, с одной стороны, и одной или несколькими организациями трудящихся — с другой, в целях определения условий труда и занятости. Национальное законодательство должно оказывать таким переговорам всяческое содействие.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Конвенция № 154 в числе прочего регулирует вопрос о коллективных переговорах, субъектом которых являются не профсоюзы, а другие выборные организации работников. Решение этого вопроса передано на усмотрение национального законодательства или практики; именно национальные правила призваны определять, в какой степени термин «коллективные переговоры» распространяется на переговоры с этими представителями. При этом в случае необходимости должны приниматься меры для того, чтобы присутствие этих представителей не могло ослабить позиций других заинтересованных организаций трудящихся, т. е. прежде всего профсоюзов.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Положения и нормы, относящиеся к коллективным договорам, содержатся в Рекомендации №91. Она определяет такие договоры как письменные соглашения относительно условий труда и найма, заключаемые, с одной стороны, между предпринимателем, группой предпринимателей либо одной или несколькими организациями предпринимателей и, с другой стороны, одной или несколькими представительными организациями трудящихся или, при отсутствии таких организаций, представителями самих трудящихся, надлежащим образом избранными и уполномоченными согласно законодательству страны.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Коллективный договор юридически связывает подписавшие его стороны, а также лиц, от имени которых он заключен. Предприниматели и трудящиеся не должны включать в трудовые договоры условия, противоречащие положениям коллективного договора. Такие условия недействительны и должны автоматически заменяться соответствующими положениями коллективного договора; вместе с тем, условия трудовых договоров, которые более благоприятны для трудящихся, не считаются противоречащими коллективному договору.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Положения коллективного договора распространяются на всех трудящихся, работающих на охватываемых коллективным договором предприятиях, если в самом договоре не предусмотрено иное.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В случае необходимости и с учетом существующей в каждой стране системы коллективных договоров в национальном законодательстве могут быть предусмотрены меры по распространению всех или некоторых положений коллективного договора на всех предпринимателей и трудящихся, входящих по производственному и территориальному признаку в сферу действия договора.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Право на забастовку. Право на забастовку на международном уровне закреплено в Международном пакте об экономических, социальных и культурных правах и в Европейской социальной хартии.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В актах МОТ отсутствует право на забастовку, но косвенно, как полагают контрольно-надзорные органы МОТ, это право признано, ибо оно вытекает из Конвенции № 87. Как считается, невозможно эффективно пользоваться свободой ассоциации при запрете права на стачку; таким образом, забастовка — вполне законное средство защиты профессиональных интересов работников. Из этого делается вывод, что прямой запрет забастовок, а равно и универсально применяемый принудительный арбитраж представляют собой ограничение возможностей профсоюзов по осуществлению деятельности, направленной на отстаивание прав и интересов работников.</w:t>
      </w:r>
    </w:p>
    <w:p w:rsidR="00BD1B28" w:rsidRPr="00BC58EF" w:rsidRDefault="00BD1B28" w:rsidP="00BC58EF">
      <w:pPr>
        <w:widowControl w:val="0"/>
        <w:ind w:firstLine="709"/>
        <w:contextualSpacing/>
        <w:rPr>
          <w:szCs w:val="28"/>
        </w:rPr>
      </w:pPr>
      <w:r w:rsidRPr="00BC58EF">
        <w:rPr>
          <w:szCs w:val="28"/>
        </w:rPr>
        <w:t>С точки зрения МОТ, ограничения права на забастовку допустимы лишь в определенных случаях: на государственной службе (для государственных чиновников), в существенных услугах (видах деятельности, остановка которых ведет к потенциальному разрушению национальной экономики), при чрезвычайных обстоятельствах либо на период переговоров или третейского разбирательства. Во всех этих случаях должны быть предусмотрены гарантии обеспечения интересов работников. Это, в частности, может быть быстрая и беспристрастная процедура примирения и арбитража, решения которого должны полностью и безотлагательно выполняться сторонами.</w:t>
      </w:r>
    </w:p>
    <w:p w:rsidR="00BD1B28" w:rsidRPr="00BC58EF" w:rsidRDefault="00BD1B28" w:rsidP="00BC58EF">
      <w:pPr>
        <w:pStyle w:val="2"/>
        <w:widowControl w:val="0"/>
        <w:spacing w:line="360" w:lineRule="auto"/>
        <w:ind w:firstLine="709"/>
        <w:contextualSpacing/>
        <w:rPr>
          <w:szCs w:val="28"/>
        </w:rPr>
      </w:pPr>
    </w:p>
    <w:p w:rsidR="00BC58EF" w:rsidRDefault="00BC58EF">
      <w:pPr>
        <w:spacing w:after="200" w:line="276" w:lineRule="auto"/>
        <w:ind w:firstLine="0"/>
        <w:jc w:val="left"/>
        <w:rPr>
          <w:szCs w:val="24"/>
        </w:rPr>
      </w:pPr>
      <w:r>
        <w:br w:type="page"/>
      </w:r>
    </w:p>
    <w:p w:rsidR="00C7685B" w:rsidRPr="00BC58EF" w:rsidRDefault="00C7685B" w:rsidP="00BC58EF">
      <w:pPr>
        <w:pStyle w:val="2"/>
        <w:widowControl w:val="0"/>
        <w:spacing w:line="360" w:lineRule="auto"/>
        <w:ind w:firstLine="709"/>
      </w:pPr>
      <w:r w:rsidRPr="00BC58EF">
        <w:t>Задача № 1</w:t>
      </w:r>
    </w:p>
    <w:p w:rsidR="00C7685B" w:rsidRPr="00BC58EF" w:rsidRDefault="00C7685B" w:rsidP="00BC58EF">
      <w:pPr>
        <w:pStyle w:val="2"/>
        <w:widowControl w:val="0"/>
        <w:spacing w:line="360" w:lineRule="auto"/>
        <w:ind w:firstLine="709"/>
      </w:pPr>
    </w:p>
    <w:p w:rsidR="00C7685B" w:rsidRPr="00BC58EF" w:rsidRDefault="00C7685B" w:rsidP="00BC58EF">
      <w:pPr>
        <w:pStyle w:val="2"/>
        <w:widowControl w:val="0"/>
        <w:spacing w:line="360" w:lineRule="auto"/>
        <w:ind w:firstLine="709"/>
      </w:pPr>
      <w:r w:rsidRPr="00BC58EF">
        <w:t>Соколов С.Н. работал в ОАО «Объединение Альфапластик» с 27.06.2002 г. в ЦПХ слесарем по ремонту трубопровода 5 разряда по трудовому договору. Приказам № 317 от 27.11.2002 г. Соколов С.Н. уволен с 21.11.2002 г. по ст. 81 п. 6 Трудового кодекса РФ (ТК РФ) (появление на рабочем месте 13.11.2002 г. и 22.11.2002 г. в состоянии алкогольного опьянения). Факт нахождения на рабочем месте</w:t>
      </w:r>
      <w:r w:rsidR="00BC58EF">
        <w:t xml:space="preserve"> </w:t>
      </w:r>
      <w:r w:rsidRPr="00BC58EF">
        <w:t>13.11.2002 г. Соколова С.Н. в нетрезвом состоянии подтверждается актом от 13.11.2002 г. и показаниями свидетелей Аносова В.П., Капитанова Ю.Н., Бычковского И.В. Однако с 25.11.2002 г. Соколов С.Н. на работу не выходил, с 26.11.2002 г. по 05.12.2002 г. находился на больничном листе. Приказ № 317 от 27.11.2002 г. был издан в период нахождения Соколова С.Н. на больничном листе.</w:t>
      </w:r>
      <w:r w:rsidR="00BC58EF">
        <w:t xml:space="preserve"> </w:t>
      </w:r>
      <w:r w:rsidRPr="00BC58EF">
        <w:t xml:space="preserve">Соколов С.Н. обратился в суд с иском о восстановлении на работе, впоследствии истец изменил исковые требования на изменение формулировки увольнения со ст. 81 п. 6 «б» на ст. 80 ТК РФ по собственному желанию, изменение даты увольнения на день вынесения решения судом взыскания зарплаты и морального вреда, поскольку увольнение его произведено незаконно, в период его нетрудоспособности, о чем он известил ответчика, однако был уволен по ст. 81 п. 6 «б». </w:t>
      </w:r>
    </w:p>
    <w:p w:rsidR="008C28AC" w:rsidRPr="00BC58EF" w:rsidRDefault="00C7685B" w:rsidP="00BC58EF">
      <w:pPr>
        <w:pStyle w:val="2"/>
        <w:widowControl w:val="0"/>
        <w:spacing w:line="360" w:lineRule="auto"/>
        <w:ind w:firstLine="709"/>
      </w:pPr>
      <w:r w:rsidRPr="00BC58EF">
        <w:t>Каким должно быть решение суда? Дайте ответ со ссылкой на норму права.</w:t>
      </w:r>
    </w:p>
    <w:p w:rsidR="002A6371" w:rsidRPr="00BC58EF" w:rsidRDefault="008C28AC" w:rsidP="00BC58EF">
      <w:pPr>
        <w:pStyle w:val="2"/>
        <w:widowControl w:val="0"/>
        <w:spacing w:line="360" w:lineRule="auto"/>
        <w:ind w:firstLine="709"/>
      </w:pPr>
      <w:r w:rsidRPr="00BC58EF">
        <w:t>В соответствии со</w:t>
      </w:r>
      <w:r w:rsidR="002A6371" w:rsidRPr="00BC58EF">
        <w:t xml:space="preserve"> ст. 81 п. 3 ТК РФ не допускается увольнение работника по инициативе работодателя в период его временной нетрудоспособности и в период пребывания в отпуске.</w:t>
      </w:r>
    </w:p>
    <w:p w:rsidR="00EE7F1D" w:rsidRPr="00BC58EF" w:rsidRDefault="002A6371" w:rsidP="00BC58E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8EF">
        <w:rPr>
          <w:sz w:val="28"/>
          <w:szCs w:val="28"/>
        </w:rPr>
        <w:t xml:space="preserve">Поскольку приказ об увольнении истца издан в период его нахождения на больничном листе, о чем был извещен ответчик, увольнение Соколова С.Н. в порядке ст. 394 ТК РФ суд признает незаконным, в </w:t>
      </w:r>
      <w:r w:rsidR="008C28AC" w:rsidRPr="00BC58EF">
        <w:rPr>
          <w:sz w:val="28"/>
          <w:szCs w:val="28"/>
        </w:rPr>
        <w:t>связи</w:t>
      </w:r>
      <w:r w:rsidRPr="00BC58EF">
        <w:rPr>
          <w:sz w:val="28"/>
          <w:szCs w:val="28"/>
        </w:rPr>
        <w:t xml:space="preserve"> с чем иск об изменении формулировки увольнения со ст. 81 п. 6 «б» на ст. 80 ТК РФ подлежит удовлетворению,</w:t>
      </w:r>
      <w:r w:rsidR="008C28AC" w:rsidRPr="00BC58EF">
        <w:rPr>
          <w:sz w:val="28"/>
          <w:szCs w:val="28"/>
        </w:rPr>
        <w:t xml:space="preserve"> а так же</w:t>
      </w:r>
      <w:r w:rsidRPr="00BC58EF">
        <w:rPr>
          <w:sz w:val="28"/>
          <w:szCs w:val="28"/>
        </w:rPr>
        <w:t xml:space="preserve"> подлежит изменению дата увольнения на </w:t>
      </w:r>
      <w:r w:rsidR="008C28AC" w:rsidRPr="00BC58EF">
        <w:rPr>
          <w:sz w:val="28"/>
          <w:szCs w:val="28"/>
        </w:rPr>
        <w:t>день вынесения решением суда,</w:t>
      </w:r>
      <w:r w:rsidRPr="00BC58EF">
        <w:rPr>
          <w:sz w:val="28"/>
          <w:szCs w:val="28"/>
        </w:rPr>
        <w:t xml:space="preserve"> и взыскание с ответчика зарплаты за время вынужденного пропуска с 22.11.2002 г. по </w:t>
      </w:r>
      <w:r w:rsidR="008C28AC" w:rsidRPr="00BC58EF">
        <w:rPr>
          <w:sz w:val="28"/>
          <w:szCs w:val="28"/>
        </w:rPr>
        <w:t xml:space="preserve">дате вынесения решением суда, </w:t>
      </w:r>
      <w:r w:rsidRPr="00BC58EF">
        <w:rPr>
          <w:sz w:val="28"/>
          <w:szCs w:val="28"/>
        </w:rPr>
        <w:t xml:space="preserve">исходя из среднего заработка </w:t>
      </w:r>
      <w:r w:rsidR="00CE16DD" w:rsidRPr="00BC58EF">
        <w:rPr>
          <w:sz w:val="28"/>
          <w:szCs w:val="28"/>
        </w:rPr>
        <w:t>и моральный вред.</w:t>
      </w:r>
    </w:p>
    <w:p w:rsidR="00E2629B" w:rsidRPr="00BC58EF" w:rsidRDefault="002A6371" w:rsidP="00BC58E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8EF">
        <w:rPr>
          <w:sz w:val="28"/>
          <w:szCs w:val="28"/>
        </w:rPr>
        <w:t>С учетом изложенного, в порядке ст. 394 ТК РФ иск Соколова С.Н. подлежит удовлетворению.</w:t>
      </w:r>
    </w:p>
    <w:p w:rsidR="00BC58EF" w:rsidRDefault="00BC58EF" w:rsidP="00BC58EF">
      <w:pPr>
        <w:pStyle w:val="a4"/>
        <w:widowControl w:val="0"/>
        <w:spacing w:after="0"/>
        <w:ind w:firstLine="709"/>
      </w:pPr>
    </w:p>
    <w:p w:rsidR="00E2629B" w:rsidRPr="00BC58EF" w:rsidRDefault="00E2629B" w:rsidP="00BC58EF">
      <w:pPr>
        <w:pStyle w:val="a4"/>
        <w:widowControl w:val="0"/>
        <w:spacing w:after="0"/>
        <w:ind w:firstLine="709"/>
      </w:pPr>
      <w:r w:rsidRPr="00BC58EF">
        <w:t>Задача № 2</w:t>
      </w:r>
    </w:p>
    <w:p w:rsidR="00BC58EF" w:rsidRDefault="00BC58EF" w:rsidP="00BC58EF">
      <w:pPr>
        <w:pStyle w:val="a4"/>
        <w:widowControl w:val="0"/>
        <w:spacing w:after="0"/>
        <w:ind w:firstLine="709"/>
      </w:pPr>
    </w:p>
    <w:p w:rsidR="00E2629B" w:rsidRPr="00BC58EF" w:rsidRDefault="00E2629B" w:rsidP="00BC58EF">
      <w:pPr>
        <w:pStyle w:val="a4"/>
        <w:widowControl w:val="0"/>
        <w:spacing w:after="0"/>
        <w:ind w:firstLine="709"/>
      </w:pPr>
      <w:r w:rsidRPr="00BC58EF">
        <w:t>Менеджер Серов приказом директора мебельной фабрики был переведен из отдела продаж в отдел рекламы так же менеджером с тем же окладом. Серов на такой перевод согласия не давал, в связи с чем настаивал на восстановлении его на прежнем месте работы.</w:t>
      </w:r>
    </w:p>
    <w:p w:rsidR="00E2629B" w:rsidRPr="00BC58EF" w:rsidRDefault="00E2629B" w:rsidP="00BC58EF">
      <w:pPr>
        <w:pStyle w:val="a4"/>
        <w:widowControl w:val="0"/>
        <w:spacing w:after="0"/>
        <w:ind w:firstLine="709"/>
      </w:pPr>
      <w:r w:rsidRPr="00BC58EF">
        <w:t>Обязан ли директор мебельной фабрики восстановить Серова?</w:t>
      </w:r>
    </w:p>
    <w:p w:rsidR="008D53B6" w:rsidRPr="00BC58EF" w:rsidRDefault="00E2629B" w:rsidP="00BC58EF">
      <w:pPr>
        <w:pStyle w:val="a4"/>
        <w:widowControl w:val="0"/>
        <w:spacing w:after="0"/>
        <w:ind w:firstLine="709"/>
      </w:pPr>
      <w:r w:rsidRPr="00BC58EF">
        <w:t>В соответствии со ст. 72.1 ТК РФ не требует согласия работника перемещение его у того же работодателя на другое рабочее место, в другое структурное подразделение, расположенное в той же местности, поручение ему работы на другом механизме или агрегате, если это не влечет за собой изменения определенных сторонами условий трудового договора.</w:t>
      </w:r>
      <w:r w:rsidR="00BC58EF">
        <w:t xml:space="preserve"> </w:t>
      </w:r>
    </w:p>
    <w:p w:rsidR="00E2629B" w:rsidRPr="00BC58EF" w:rsidRDefault="008D53B6" w:rsidP="00BC58EF">
      <w:pPr>
        <w:pStyle w:val="a4"/>
        <w:widowControl w:val="0"/>
        <w:spacing w:after="0"/>
        <w:ind w:firstLine="709"/>
      </w:pPr>
      <w:r w:rsidRPr="00BC58EF">
        <w:t xml:space="preserve">Следовательно, требования работника не обоснованы и директор не обязан восстанавливать его на прежнем месте работы. 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</w:p>
    <w:p w:rsidR="00BC58EF" w:rsidRDefault="00BC58EF">
      <w:pPr>
        <w:spacing w:after="200" w:line="276" w:lineRule="auto"/>
        <w:ind w:firstLine="0"/>
        <w:jc w:val="left"/>
        <w:rPr>
          <w:szCs w:val="24"/>
        </w:rPr>
      </w:pPr>
      <w:r>
        <w:br w:type="page"/>
      </w:r>
    </w:p>
    <w:p w:rsidR="00A85BBA" w:rsidRPr="00BC58EF" w:rsidRDefault="00A85BBA" w:rsidP="00BC58EF">
      <w:pPr>
        <w:pStyle w:val="2"/>
        <w:widowControl w:val="0"/>
        <w:spacing w:line="360" w:lineRule="auto"/>
        <w:ind w:firstLine="709"/>
      </w:pPr>
      <w:r w:rsidRPr="00BC58EF">
        <w:t>Тест</w:t>
      </w:r>
    </w:p>
    <w:p w:rsidR="00A85BBA" w:rsidRPr="00BC58EF" w:rsidRDefault="00A85BBA" w:rsidP="00BC58EF">
      <w:pPr>
        <w:pStyle w:val="2"/>
        <w:widowControl w:val="0"/>
        <w:spacing w:line="360" w:lineRule="auto"/>
        <w:ind w:firstLine="709"/>
      </w:pPr>
    </w:p>
    <w:p w:rsidR="00A85BBA" w:rsidRPr="00BC58EF" w:rsidRDefault="00A85BBA" w:rsidP="00BC58EF">
      <w:pPr>
        <w:pStyle w:val="a4"/>
        <w:widowControl w:val="0"/>
        <w:tabs>
          <w:tab w:val="left" w:pos="180"/>
        </w:tabs>
        <w:spacing w:after="0"/>
        <w:ind w:firstLine="709"/>
      </w:pPr>
      <w:r w:rsidRPr="00BC58EF">
        <w:t>1. Общий возраст для вступления физического лица в трудовое правоотношение: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а) 15 лет;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б) 16 лет;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в) 14 лет.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2. В соответствии с законом «О государственной службе» руководитель соответствующего государственного органа может продлить нахождение на службе лиц, занимающих высшие, главные и ведущие государственные должности: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а) не более чем до 60 лет;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б) не более чем до 55 лет;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в) не более чем до 65 лет.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3. За необоснованный отказ от заключения коллективного договора работодателем (его представителем) кодексом РФ об административных правонарушениях предусматривается ответственность в виде штрафа в размере: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а) от 10 до 30 кратной величины МРОТ;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б) от 30 до 50 кратной величины МРОТ;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в) от 20 до 40 кратной величины МРОТ.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4.</w:t>
      </w:r>
      <w:r w:rsidR="00BC58EF">
        <w:t xml:space="preserve"> </w:t>
      </w:r>
      <w:r w:rsidRPr="00BC58EF">
        <w:t>Безработными не могут быть признаны граждане: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а) не достигшие 16 лет;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б) не достигшие 18 лет;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в) оба варианта.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5. Пособие по безработице гражданам уволенным из организаций по любым основаниям в течении 12 месяцев, предшествовавших началу безработицы, и имевшим в этот период оплачиваемую работу не менее 26 календарных недель на условиях полного рабочего дня (недели) начисляется в первые 3 месяца безработицы в размере: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а) 60 % их среднего заработка;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б) 45 % их среднего заработка;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  <w:r w:rsidRPr="00BC58EF">
        <w:t>в) 75 % их среднего заработка.</w:t>
      </w:r>
    </w:p>
    <w:p w:rsidR="00A85BBA" w:rsidRPr="00BC58EF" w:rsidRDefault="00A85BBA" w:rsidP="00BC58EF">
      <w:pPr>
        <w:pStyle w:val="a4"/>
        <w:widowControl w:val="0"/>
        <w:spacing w:after="0"/>
        <w:ind w:firstLine="709"/>
      </w:pPr>
    </w:p>
    <w:p w:rsidR="00BC58EF" w:rsidRDefault="00BC58EF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C14919" w:rsidRPr="00BC58EF" w:rsidRDefault="00C14919" w:rsidP="00BC58EF">
      <w:pPr>
        <w:widowControl w:val="0"/>
        <w:ind w:firstLine="709"/>
        <w:rPr>
          <w:szCs w:val="28"/>
        </w:rPr>
      </w:pPr>
      <w:r w:rsidRPr="00BC58EF">
        <w:rPr>
          <w:szCs w:val="28"/>
        </w:rPr>
        <w:t>Список использованной литературы</w:t>
      </w:r>
    </w:p>
    <w:p w:rsidR="00C14919" w:rsidRPr="00BC58EF" w:rsidRDefault="00C14919" w:rsidP="00BC58EF">
      <w:pPr>
        <w:widowControl w:val="0"/>
        <w:ind w:firstLine="709"/>
        <w:rPr>
          <w:szCs w:val="28"/>
        </w:rPr>
      </w:pPr>
    </w:p>
    <w:p w:rsidR="00C14919" w:rsidRPr="00BC58EF" w:rsidRDefault="00C14919" w:rsidP="00BC58EF">
      <w:pPr>
        <w:pStyle w:val="a4"/>
        <w:widowControl w:val="0"/>
        <w:numPr>
          <w:ilvl w:val="0"/>
          <w:numId w:val="1"/>
        </w:numPr>
        <w:tabs>
          <w:tab w:val="num" w:pos="426"/>
        </w:tabs>
        <w:spacing w:after="0"/>
        <w:ind w:left="0" w:firstLine="0"/>
      </w:pPr>
      <w:r w:rsidRPr="00BC58EF">
        <w:t>Молодцов М.В., Головина С.Ю. Трудовое право России. Учебник для вузов: - М.: Издательство «НОРМА», 2008 г.</w:t>
      </w:r>
    </w:p>
    <w:p w:rsidR="00C14919" w:rsidRPr="00BC58EF" w:rsidRDefault="00C14919" w:rsidP="00BC58EF">
      <w:pPr>
        <w:pStyle w:val="a4"/>
        <w:widowControl w:val="0"/>
        <w:numPr>
          <w:ilvl w:val="0"/>
          <w:numId w:val="1"/>
        </w:numPr>
        <w:tabs>
          <w:tab w:val="num" w:pos="426"/>
        </w:tabs>
        <w:spacing w:after="0"/>
        <w:ind w:left="0" w:firstLine="0"/>
      </w:pPr>
      <w:r w:rsidRPr="00BC58EF">
        <w:t>Никонов Д.А., Стремоухов А.В., Амаглобели Н.Д. Трудовое право: Учебное пособие для вузов / Под ред. проф. А.В. Стремоухова. – М.: ЮНИТИ-ДАНА, 2007 г.</w:t>
      </w:r>
    </w:p>
    <w:p w:rsidR="00C14919" w:rsidRPr="00BC58EF" w:rsidRDefault="00C14919" w:rsidP="00BC58EF">
      <w:pPr>
        <w:pStyle w:val="a4"/>
        <w:widowControl w:val="0"/>
        <w:numPr>
          <w:ilvl w:val="0"/>
          <w:numId w:val="1"/>
        </w:numPr>
        <w:tabs>
          <w:tab w:val="num" w:pos="426"/>
        </w:tabs>
        <w:spacing w:after="0"/>
        <w:ind w:left="0" w:firstLine="0"/>
      </w:pPr>
      <w:r w:rsidRPr="00BC58EF">
        <w:t>Трудовое право России: Учебник. / Под ред</w:t>
      </w:r>
      <w:r w:rsidR="00BC58EF">
        <w:t xml:space="preserve">. С.П. Маврина, Е.Б. Хохлова. </w:t>
      </w:r>
      <w:r w:rsidRPr="00BC58EF">
        <w:t>М.: 2009 г.</w:t>
      </w:r>
    </w:p>
    <w:p w:rsidR="00C14919" w:rsidRPr="00BC58EF" w:rsidRDefault="00C14919" w:rsidP="00BC58EF">
      <w:pPr>
        <w:pStyle w:val="a4"/>
        <w:widowControl w:val="0"/>
        <w:numPr>
          <w:ilvl w:val="0"/>
          <w:numId w:val="1"/>
        </w:numPr>
        <w:tabs>
          <w:tab w:val="num" w:pos="426"/>
        </w:tabs>
        <w:spacing w:after="0"/>
        <w:ind w:left="0" w:firstLine="0"/>
      </w:pPr>
      <w:r w:rsidRPr="00BC58EF">
        <w:t>Братановский С.Н., Колобова С.В. Трудовое право России: Учебное пособие. - М.: Издательство «Ось-89», 2007 г.</w:t>
      </w:r>
    </w:p>
    <w:p w:rsidR="00C14919" w:rsidRPr="00BC58EF" w:rsidRDefault="00C14919" w:rsidP="00BC58EF">
      <w:pPr>
        <w:pStyle w:val="a4"/>
        <w:widowControl w:val="0"/>
        <w:numPr>
          <w:ilvl w:val="0"/>
          <w:numId w:val="1"/>
        </w:numPr>
        <w:tabs>
          <w:tab w:val="num" w:pos="426"/>
        </w:tabs>
        <w:spacing w:after="0"/>
        <w:ind w:left="0" w:firstLine="0"/>
      </w:pPr>
      <w:r w:rsidRPr="00BC58EF">
        <w:t>Толкунова В.Н. Трудовое право: Курс лекций. М., 2007 г.</w:t>
      </w:r>
      <w:bookmarkStart w:id="0" w:name="_GoBack"/>
      <w:bookmarkEnd w:id="0"/>
    </w:p>
    <w:sectPr w:rsidR="00C14919" w:rsidRPr="00BC58EF" w:rsidSect="00BC58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05D" w:rsidRDefault="003D105D" w:rsidP="009D399D">
      <w:pPr>
        <w:spacing w:line="240" w:lineRule="auto"/>
      </w:pPr>
      <w:r>
        <w:separator/>
      </w:r>
    </w:p>
  </w:endnote>
  <w:endnote w:type="continuationSeparator" w:id="0">
    <w:p w:rsidR="003D105D" w:rsidRDefault="003D105D" w:rsidP="009D3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05D" w:rsidRDefault="003D105D" w:rsidP="009D399D">
      <w:pPr>
        <w:spacing w:line="240" w:lineRule="auto"/>
      </w:pPr>
      <w:r>
        <w:separator/>
      </w:r>
    </w:p>
  </w:footnote>
  <w:footnote w:type="continuationSeparator" w:id="0">
    <w:p w:rsidR="003D105D" w:rsidRDefault="003D105D" w:rsidP="009D3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E7BB7"/>
    <w:multiLevelType w:val="hybridMultilevel"/>
    <w:tmpl w:val="1D2C8F02"/>
    <w:lvl w:ilvl="0" w:tplc="FFFFFFF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02D"/>
    <w:rsid w:val="000D3A80"/>
    <w:rsid w:val="00160118"/>
    <w:rsid w:val="00201FC4"/>
    <w:rsid w:val="0020625E"/>
    <w:rsid w:val="002514FF"/>
    <w:rsid w:val="002A6371"/>
    <w:rsid w:val="003D105D"/>
    <w:rsid w:val="007D6441"/>
    <w:rsid w:val="00801601"/>
    <w:rsid w:val="00821273"/>
    <w:rsid w:val="008C28AC"/>
    <w:rsid w:val="008D53B6"/>
    <w:rsid w:val="00971E0F"/>
    <w:rsid w:val="009D399D"/>
    <w:rsid w:val="00A85BBA"/>
    <w:rsid w:val="00AA7335"/>
    <w:rsid w:val="00BB2266"/>
    <w:rsid w:val="00BC58EF"/>
    <w:rsid w:val="00BD1B28"/>
    <w:rsid w:val="00BD3AE9"/>
    <w:rsid w:val="00C14919"/>
    <w:rsid w:val="00C7685B"/>
    <w:rsid w:val="00CE16DD"/>
    <w:rsid w:val="00DF7682"/>
    <w:rsid w:val="00E2629B"/>
    <w:rsid w:val="00E86D81"/>
    <w:rsid w:val="00EE7F1D"/>
    <w:rsid w:val="00F5502D"/>
    <w:rsid w:val="00F95A81"/>
    <w:rsid w:val="00FA7188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8352E4-80E1-4D93-88E4-1A4037BB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2D"/>
    <w:pPr>
      <w:spacing w:line="360" w:lineRule="auto"/>
      <w:ind w:firstLine="680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7685B"/>
    <w:pPr>
      <w:spacing w:line="240" w:lineRule="auto"/>
      <w:ind w:firstLine="900"/>
    </w:pPr>
    <w:rPr>
      <w:szCs w:val="24"/>
    </w:rPr>
  </w:style>
  <w:style w:type="character" w:customStyle="1" w:styleId="20">
    <w:name w:val="Основний текст з відступом 2 Знак"/>
    <w:link w:val="2"/>
    <w:uiPriority w:val="99"/>
    <w:locked/>
    <w:rsid w:val="00C7685B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Normal (Web)"/>
    <w:basedOn w:val="a"/>
    <w:uiPriority w:val="99"/>
    <w:semiHidden/>
    <w:unhideWhenUsed/>
    <w:rsid w:val="002A637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2629B"/>
    <w:pPr>
      <w:spacing w:after="120"/>
    </w:pPr>
  </w:style>
  <w:style w:type="character" w:customStyle="1" w:styleId="a5">
    <w:name w:val="Основний текст Знак"/>
    <w:link w:val="a4"/>
    <w:uiPriority w:val="99"/>
    <w:semiHidden/>
    <w:locked/>
    <w:rsid w:val="00E2629B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-serp-urlitem">
    <w:name w:val="b-serp-url__item"/>
    <w:rsid w:val="00C14919"/>
    <w:rPr>
      <w:rFonts w:cs="Times New Roman"/>
    </w:rPr>
  </w:style>
  <w:style w:type="character" w:customStyle="1" w:styleId="b-serp-urlmark">
    <w:name w:val="b-serp-url__mark"/>
    <w:rsid w:val="00C14919"/>
    <w:rPr>
      <w:rFonts w:cs="Times New Roman"/>
    </w:rPr>
  </w:style>
  <w:style w:type="character" w:styleId="a6">
    <w:name w:val="Hyperlink"/>
    <w:uiPriority w:val="99"/>
    <w:unhideWhenUsed/>
    <w:rsid w:val="00C1491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D399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link w:val="a7"/>
    <w:uiPriority w:val="99"/>
    <w:semiHidden/>
    <w:locked/>
    <w:rsid w:val="009D399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9D399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link w:val="a9"/>
    <w:uiPriority w:val="99"/>
    <w:locked/>
    <w:rsid w:val="009D399D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6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Irina</cp:lastModifiedBy>
  <cp:revision>2</cp:revision>
  <cp:lastPrinted>2011-01-31T11:31:00Z</cp:lastPrinted>
  <dcterms:created xsi:type="dcterms:W3CDTF">2014-08-11T18:01:00Z</dcterms:created>
  <dcterms:modified xsi:type="dcterms:W3CDTF">2014-08-11T18:01:00Z</dcterms:modified>
</cp:coreProperties>
</file>