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CB" w:rsidRDefault="00E477B7">
      <w:pPr>
        <w:pStyle w:val="1"/>
        <w:jc w:val="center"/>
      </w:pPr>
      <w:r>
        <w:t>Девяносто финансовых коэффициентов на заметку</w:t>
      </w:r>
    </w:p>
    <w:p w:rsidR="00A624CB" w:rsidRPr="00E477B7" w:rsidRDefault="00E477B7">
      <w:pPr>
        <w:pStyle w:val="a3"/>
      </w:pPr>
      <w:r>
        <w:t>Сокирянский Федор</w:t>
      </w:r>
    </w:p>
    <w:p w:rsidR="00A624CB" w:rsidRDefault="00E477B7">
      <w:pPr>
        <w:pStyle w:val="a3"/>
      </w:pPr>
      <w:r>
        <w:t>Финансовые показатели ресторана можно условно разделить на три больших группы: оперативные, стратегические и текущие финансовые показатели. Каждая из этих групп имеет несколько подгрупп показателей:</w:t>
      </w:r>
    </w:p>
    <w:p w:rsidR="00A624CB" w:rsidRDefault="00E477B7">
      <w:pPr>
        <w:pStyle w:val="a3"/>
      </w:pPr>
      <w:r>
        <w:t>финансово-экономические показатели;</w:t>
      </w:r>
    </w:p>
    <w:p w:rsidR="00A624CB" w:rsidRDefault="00E477B7">
      <w:pPr>
        <w:pStyle w:val="a3"/>
      </w:pPr>
      <w:r>
        <w:t>показатели маркетинга  клиентов;</w:t>
      </w:r>
    </w:p>
    <w:p w:rsidR="00A624CB" w:rsidRDefault="00E477B7">
      <w:pPr>
        <w:pStyle w:val="a3"/>
      </w:pPr>
      <w:r>
        <w:t>показатели по БЦ (по одному ресторану или каждому отдельному ресторану в ресторанном холдинге);</w:t>
      </w:r>
    </w:p>
    <w:p w:rsidR="00A624CB" w:rsidRDefault="00E477B7">
      <w:pPr>
        <w:pStyle w:val="a3"/>
      </w:pPr>
      <w:r>
        <w:t>показатели по персоналу;</w:t>
      </w:r>
    </w:p>
    <w:p w:rsidR="00A624CB" w:rsidRDefault="00E477B7">
      <w:pPr>
        <w:pStyle w:val="a3"/>
      </w:pPr>
      <w:r>
        <w:t>акционерные показатели.</w:t>
      </w:r>
    </w:p>
    <w:p w:rsidR="00A624CB" w:rsidRDefault="00E477B7">
      <w:pPr>
        <w:pStyle w:val="a3"/>
      </w:pPr>
      <w:r>
        <w:t>Ниже в таблице №  представлены около 90 коэффициентов, на основе которых вы можете создать собственную систему сбалансированных финансовых показателей, которую и будете контролировать с различной периодичностью. В таблице также представлены формулы расчета показателей, которые могут быть внесены по вашей просьбе производителем ресторанного АСУ в конструктор отчетов программы.</w:t>
      </w:r>
    </w:p>
    <w:p w:rsidR="00A624CB" w:rsidRDefault="00E477B7">
      <w:pPr>
        <w:pStyle w:val="a3"/>
      </w:pPr>
      <w:r>
        <w:t>Таблица №  16. 90 финансовых и маркетинговых коэффициентов для контроля финансового состояния ресторана или сети (или группы) ресторанов, объединенных собственной  ресторанной управляющей компанией.</w:t>
      </w:r>
    </w:p>
    <w:p w:rsidR="00A624CB" w:rsidRDefault="00E477B7">
      <w:pPr>
        <w:pStyle w:val="a3"/>
      </w:pPr>
      <w:r>
        <w:t> 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A624CB">
        <w:trPr>
          <w:tblCellSpacing w:w="7" w:type="dxa"/>
        </w:trPr>
        <w:tc>
          <w:tcPr>
            <w:tcW w:w="0" w:type="auto"/>
            <w:vAlign w:val="center"/>
            <w:hideMark/>
          </w:tcPr>
          <w:p w:rsidR="00A624CB" w:rsidRDefault="00E477B7">
            <w:r>
              <w:t>Группы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Подгруппы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Формула расчета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 w:val="restart"/>
            <w:vAlign w:val="center"/>
            <w:hideMark/>
          </w:tcPr>
          <w:p w:rsidR="00A624CB" w:rsidRDefault="00E477B7">
            <w:r>
              <w:t>                               Оперативные показатели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24CB" w:rsidRDefault="00E477B7">
            <w:r>
              <w:t>1. Финансово-экономические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1/1. Объем продаж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Расчет производится на основании фактической выручки. Показатели заносятся в таблицу путем суммирования выручки начиная с 1 числа отчетного месяца. Заполняется экономистом управляющей компании или управляющим рестораном (далее – УК).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1/2. Маржинальная прибыль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Расчет производится на основании фактической маржинальной прибыли (МП).  МП= Выручка (нарастающим итогом с начала месяца) минус переменные издержки нарастающим итогом с начала месяца). Заполняется экономистом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1/3.  Операционная прибыль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Расчет производится на основании фактической операционной прибыли (ОП).  ОП= Выручка (нарастающим итогом с начала месяца)  минус переменные издержки нарастающим итогом с начала месяца)  минус постоянные издержки (нарастающим итогом с начала месяца). Заполняется экономистом УК.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1/4. Рентабельность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 рентабельности Р = Операционная прибыль (ОП) / Выручка *100. Расчет по итогам месяца. Заполняется экономистом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1/5. Коэффициент корреляции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 КК = Выручка бара/выручка бильярда. Заполняется экономистом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1/6. Выручка по видам услуг на кв.м.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В на кв.м.= общая выручка БЦ/ S точек продаж. .При расчете на услугу  В на усл. = Выручка по точке продаж/S точки продаж. Заполняется экономистом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1/7. Операционная прибыль с кв.м. площади БЦ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ОП кв.м.= Операционная прибыль БЦ /S точек продаж. Заполняется экономистом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1/8.  Выручка на 1 аппарат (вендинг или другое)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Расчет производится на основании фактической выручки по точкам на 1 аппарат. В на 1 ап.= В(фактическая на точке)/кол-во аппаратов на точке. Заполняется экономистом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1/9. Операционная прибыль на 1 аппарат (вендинг или другое)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Расчет операционной прибыли на 1 аппарат. ОП на 1 ап. = ОП на точке/кол-во аппаратов. Заполняется экономистом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1/10. Выручка на точку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Расчет производится на основании фактической выручки. Показатели в таблицу заносятся путем суммирования выручки начиная с 1 числа отчетного месяца. Заполняется экономистом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1/11. Эксплуатационные расходы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Фактические затраты на техническое обслуживание БЦ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1/12. Сумма в счет УК (только для сетей ресторанов)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20% от фактической операционной прибыли Компании, находящейся в доверительном управлении по итогам текущего периода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 w:val="restart"/>
            <w:vAlign w:val="center"/>
            <w:hideMark/>
          </w:tcPr>
          <w:p w:rsidR="00A624CB" w:rsidRDefault="00E477B7">
            <w:r>
              <w:t>2. Клиенты- маркетинг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2/1. Количество гостей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 рассчитывается на основании фактического гостевого потока в БЦ. Расчет идет нарастающим итогом с 1 числа месяца до 30/31 числа. Заполняется руководителем службы маркетинга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2/2. Средний чек на гостя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 рассчитывается на основании фактических данных в БЦ. Средний чек на клиента = Сумма выручки/ Кол-во клиентов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2/3. Количество заказов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 рассчитывается на основании фактических данных в БЦ по количеству заказов в АСУ "iiko"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2/4. Средний чек на заказ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 рассчитывается на основании фактических данных в БЦ. Средний чек на заказ = сумму выручки/Кол-во заказов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2/5. Показатель роста клубных гостей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 рассчитывается на основании фактически выданных клубных карт. Расчет идет нарастающим итогом с 1 числа месяца до 30/31 числа. Заполняется руководителем службы маркетинга УК или управляющим рестораном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2/6. Показатель наполняемости ассортиментного перечня (меню)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Показывает количество блюд в ассортиментном перечне и меню БЦ.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2/7. Показатель наценки в ассортиментном перечне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Показывает среднюю наценку (от себестоимости) на блюда в ассортиментном перечне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2/8. Количество промо- акций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Количество промо-акций, проведенных отделом маркетинга УК (или управляющим рестораном) совместно с поставщиками продукции в БЦ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2/9. Количество контрактов, проданных агентами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Количество контрактов, проданных агентами на проведение банкетов в БЦ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 w:val="restart"/>
            <w:vAlign w:val="center"/>
            <w:hideMark/>
          </w:tcPr>
          <w:p w:rsidR="00A624CB" w:rsidRDefault="00E477B7">
            <w:r>
              <w:t>3. Показатели по БЦ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3/1. Коэффициент по закупкам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К зак. = Оборотные средства/Выручку. Заполняется руководителем службы логистики  УК или закупщиком ресторана.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3/2. Коэффициент оборачиваемости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К об.= (Средняя с/ст  товарного запаса/ среднюю себестоимость реализованных остатков)*30(31). Заполняется руководителем службы логистики  УК или закупщиком ресторана.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3/3. Коэффициент наценки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К прод. = Выручка/реализовано по себестоимости. Заполняется руководителем службы логистики  УК или закупщиком ресторана.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3/4. Доля ТМЗ в оборотных средствах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Доля ТМЗ = С/ст. реализованной  продукции/ Сред. с/ст. запасов * 100. Заполняется руководителем службы логистики  УК.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3/5. Оценка ЧОП (частного охранного предприятия)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Оценка проводится по итогам работы за месяц  директорами БЦ по 10 бальной шкале. Заполняется руководителем СБ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3/6. Оценка уровня Безопасности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Оценка проводится по итогам работы за месяц  директорами по 10 бальной шкале. Заполняется руководителем  СБ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3/7. Готовность БЦ к годовому планированию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Оценка проводится Стратегическим маркетологом или собственником ресторана.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3/8. Количество сбоев в компьютерном обеспечении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Оценка проводится по итогам работы за месяц  управляющим ресторана (ов). Заполняется руководителем  IT службы  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3/9. Количество сбоев Интернет связи и телефонии.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Оценка проводится по итогам работы за месяц  директорами. Заполняется руководителем  IT службы  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Align w:val="center"/>
            <w:hideMark/>
          </w:tcPr>
          <w:p w:rsidR="00A624CB" w:rsidRDefault="00E477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 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 w:val="restart"/>
            <w:vAlign w:val="center"/>
            <w:hideMark/>
          </w:tcPr>
          <w:p w:rsidR="00A624CB" w:rsidRDefault="00E477B7">
            <w: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24CB" w:rsidRDefault="00E477B7">
            <w:r>
              <w:t>4. Показатели по персоналу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4/1. Комплектация персоналом БЦ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Показывает количество вакансий в БЦ. Заполняется специалистом по кадрам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4/2. Удовлетворенность результатами работы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Отношение количества жалоб от сотрудников к общему количеству персонала. Заполняется специалистом по кадрам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4/3. Лучшие  официанты в текущем периоде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Заполняется специалистом по кадрам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4/4. Текучесть кадров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Заполняется специалистом по кадрам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4/5. Сравнение уровня дохода со среднерыночным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Показатель, характеризующий сравнение уровня дохода сотрудника БЦ ресторанного холдинга с доходами среднерыночными (ваш город) для сотрудников этой же категории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4/6. Кадровый резерв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Показатель, отражающий возможность сотрудников занять вышестоящую должность при наличии вакансий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 w:val="restart"/>
            <w:vAlign w:val="center"/>
            <w:hideMark/>
          </w:tcPr>
          <w:p w:rsidR="00A624CB" w:rsidRDefault="00E477B7">
            <w:r>
              <w:t>                                                             Стратегические показатели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24CB" w:rsidRDefault="00E477B7">
            <w:r>
              <w:t>5. Финансово-экономические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5/1. Объем продаж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Расчет производится на основании годовых сводок фактической выручки по БЦ в данном периоде. На основании управленческой  отчетности данные заносят в таблицу. Заполняется финансовым аудитором.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5/2. Маржинальная прибыль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Расчет производится на основании фактической маржинальной прибыли (МП).  МП= Выручка (за период) минус переменные издержки (за период). Заполняется экономистом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5/3. Операционная прибыль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Расчет производится на основании годовых сводок фактической операционной прибыли по БЦ в данном периоде. На основании управленческой отчетности данные заносят в таблицу. Заполняется финансовым аудитором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5/4. Рентабельность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Расчет производится на основании годовых сводок фактической рентабельности  по БЦ в данном периоде. На основании управленческой отчетности данные заносят в таблицу. Заполняется финансовым аудитором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5/5. Коэффициент корреляции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 КК = Выручка бара за период/выручка кухни за период. Заполняется экономистом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5/6. Выручка на 1 аппарат (детский игровой, бильярд или вендинг)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Расчет производится на основании годовых сводок фактической выручки на 1 аппарат по точкам в данном периоде. На основании управленческой отчетности данные заносят в таблицу. Заполняется финансовым аудитором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5/7. Операционная прибыль на 1 аппарат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Расчет производится на основании годовых сводок фактической операционной прибыли на 1 аппарат по точкам в данном периоде. На основании управленческой отчетности данные заносят в таблицу. Заполняется финансовым аудитором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5/8. Выручка на точку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Расчет производится на основании годовых сводок фактической выручки по точкам на 1 аппарат за период. В на 1 ап.= В (фактически на точке)/кол-во аппаратов на точке. Заполняется экономистом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5/9. Сумма в счет УК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20% от фактической операционной прибыли  ресторана, находящейся в доверительном управлении по итогам периода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 w:val="restart"/>
            <w:vAlign w:val="center"/>
            <w:hideMark/>
          </w:tcPr>
          <w:p w:rsidR="00A624CB" w:rsidRDefault="00E477B7">
            <w:r>
              <w:t>6. Клиенты- маркетинг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6/1. Количество гостей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 рассчитывается на основании фактического гостевого потока в БЦ. Расчет идет за период. Заполняется руководителем службы маркетинга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6/2. Средний чек на гостя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 рассчитывается на основании фактических данных в БЦ за период. Средний чек на клиента = сумму выручки/Кол-во гостей. Заполняется руководителем службы маркетинга УК или управляющим рестораном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6/3. количество заказов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 рассчитывается на основании фактических данных в БЦ по количеству заказов в АСУ "iiko" за период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6/4. Средний чек на заказ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 рассчитывается на основании фактических данных в БЦ за период. Средний чек на заказ = сумму выручки/Кол-во заказов. Заполняется руководителем службы маркетинга УК или управляющим рестораном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 w:val="restart"/>
            <w:vAlign w:val="center"/>
            <w:hideMark/>
          </w:tcPr>
          <w:p w:rsidR="00A624CB" w:rsidRDefault="00E477B7">
            <w:r>
              <w:t>7. Показатель по БЦ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7/1. Коэффициент по закупкам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К зак. = Оборотные/Выручку за период. Заполняется руководителем службы логистики  УК или закупщиком ресторана.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7/2. Коэффициент оборачиваемости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К об.= (Средняя с/ст  товарного запаса/ среднюю себестоимость реализованных остатков)*30(31). Заполняется руководителем службы логистики  УК или закупщиком ресторана.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7/3. Коэффициент наценки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К прод. = Выручка/реализованную по себестоимости продукцию за период Заполняется руководителем службы логистики  УК или закупщик ресторана.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7/4. Доля ТМЗ в оборотных средствах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Доля ТМЗ = С/ст. реализов прод/ Сред. с/ст. запасов  за период* 100. Заполняется руководителем службы логистики  УК или закупщик ресторана.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7/5. Оценка ЧОП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Оценка проводится по итогам работы за период  директорами БЦ по 10 бальной шкале. Заполняется руководителем СБ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7/6. Оценка уровня безопасности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Оценка проводится по итогам работы за период  директорами по 10 бальной шкале. Заполняется руководителем  СБ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 w:val="restart"/>
            <w:vAlign w:val="center"/>
            <w:hideMark/>
          </w:tcPr>
          <w:p w:rsidR="00A624CB" w:rsidRDefault="00E477B7">
            <w:r>
              <w:t>8. Показатели по персоналу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8/1. Комплектация персоналом БЦ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Показывает количество вакансий в БЦ. Заполняется специалистом по кадрам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8/2. Удовлетворенность результатами работы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Отношение Количество жалоб от сотрудников к общему количеству персонала. Заполняется специалистом по кадрам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8/3. Лучшие в текущем периоде сотрудники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Заполняется специалистом по кадрам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8/4. Текучесть кадров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Заполняется специалистом по кадрам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8/5. Сравнение уровня дохода со среднерыночным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Показатель, характеризующий сравнение уровня дохода сотрудника БЦ холдинга с доходами среднерыночными по (вашему городу) сотрудников этой же категории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8/6. Кадровый резерв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Показатель, отражающий возможность сотрудников занять вышестоящую должность при наличии вакансий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 w:val="restart"/>
            <w:vAlign w:val="center"/>
            <w:hideMark/>
          </w:tcPr>
          <w:p w:rsidR="00A624CB" w:rsidRDefault="00E477B7">
            <w:r>
              <w:t>9. Акционер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9/1. Степень финансовой устойчивости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Заполняет финансовый аудитор или управляющий рестораном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9/2. Доход на инвестиции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Заполняет финансовый аудитор или управляющий рестораном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9/3. Соотношение собственных и заемных средств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Расчет производится на основании годовых сводок.  На основании управленческой отчетности данные заносят в таблицу % собственных и заемных средств в холдинге. Заполняется финансовым аудитором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Align w:val="center"/>
            <w:hideMark/>
          </w:tcPr>
          <w:p w:rsidR="00A624CB" w:rsidRDefault="00E477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 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 w:val="restart"/>
            <w:vAlign w:val="center"/>
            <w:hideMark/>
          </w:tcPr>
          <w:p w:rsidR="00A624CB" w:rsidRDefault="00E477B7">
            <w:r>
              <w:t>Текущие показатели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24CB" w:rsidRDefault="00E477B7">
            <w:r>
              <w:t>10. Финансово-экономические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10/1. Объем продаж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Расчет производится на основании фактической выручки. Показатели в таблицу заносятся путем суммирования выручки начиная с 1 числа отчетного месяца. Заполняется экономистом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10/2. Объем продаж  по услугам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Расчет производится на основании фактической выручки. Показатели в таблицу заносятся путем суммирования выручки начиная с 1 числа отчетного месяца. Заполняется экономистом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10/3. Объем продаж по точкам продаж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Расчет производится на основании фактической выручки. Показатели в таблицу заносятся путем суммирования выручки начиная с 1 числа отчетного месяца. Заполняется экономистом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 w:val="restart"/>
            <w:vAlign w:val="center"/>
            <w:hideMark/>
          </w:tcPr>
          <w:p w:rsidR="00A624CB" w:rsidRDefault="00E477B7">
            <w:r>
              <w:t>11. Клиенты-маркетинг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11/1. Количество гостей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 рассчитывается на основании фактического гостевого потока в БЦ. Расчет идет нарастающим итогом с 1 числа месяца до 30/31 числа. Заполняется руководителем службы маркетинга 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11/2. Средний чек на гостя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 рассчитывается на основании фактических данных в БЦ. Средний чек на гостя =Сумма выручки/ Кол-во гостей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11/3. Количество заказов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 рассчитывается на основании фактических данных в БЦ по количеству заказов в АСУ "iiko"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11/4. Средний чек на заказ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 рассчитывается на основании фактических данных в БЦ. Средний чек на заказ = сумму выручки/Кол-во заказов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11/5. Количество гостей, пришедших на банкет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 рассчитывается ежедневно на основании фактических данных в БЦ.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11/6. Средний чек на гостя (банкет)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 рассчитывается ежедневно на основании фактических данных в БЦ.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11/7. Время проведения банкета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 рассчитывается ежедневно на основании фактических данных в БЦ.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11/8. Количество гостей, пришедших на акцию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 рассчитывается ежедневно на основании фактических данных в БЦ.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11/9. Время проведения акции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Показатель рассчитывается ежедневно на основании фактических данных в БЦ.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 w:val="restart"/>
            <w:vAlign w:val="center"/>
            <w:hideMark/>
          </w:tcPr>
          <w:p w:rsidR="00A624CB" w:rsidRDefault="00E477B7">
            <w:r>
              <w:t>12. Показатели по БЦ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12/1. Кф. Соотн. Бар бильярд/бильярд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Соотношение выручек, заполняется ежедневно директорами БЦ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12/2. Кф. Соотн. Бар /караоке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Соотношение выручек, заполняется ежедневно директорами БЦ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12/3. Кф. Соотн. Бар/караоке+бильярд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Соотношение выручек, заполняется ежедневно директорами БЦ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12/4. Кф. Соотн. Бар/входные билеты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Соотношение выручек, заполняется ежедневно директорами БЦ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12/5. Кф. Соотн. Бар/боулинг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Соотношение выручек, заполняется ежедневно директорами БЦ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12/6. Кф. Соотн. Бар боулинга/боулинг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Соотношение выручек, заполняется ежедневно директорами БЦ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12/7. Кол-во сбоев в тех. обеспечении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Оценка проводится ежедневно директорами БЦ. Заполняется руководителем  IT службы  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12/8. Кол-во сбоев интернет связи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Оценка проводится ежедневно директорами БЦ. Заполняется руководителем  IT службы  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12/9. Кол-во сбоев в АСУ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Оценка проводится ежедневно директорами БЦ. Заполняется руководителем  IT службы  УК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12/10. Оценка работы ЧОП в БЦ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Оценка проводится ежедневно  директорами БЦ по 10 бальной шкале. Заполняется руководителем СБ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12/11.Оценка работы СБР в БЦ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Оценка проводится ежедневно  директорами БЦ по 10 бальной шкале. Заполняется руководителем СБ или управляющим рестораном.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 w:val="restart"/>
            <w:vAlign w:val="center"/>
            <w:hideMark/>
          </w:tcPr>
          <w:p w:rsidR="00A624CB" w:rsidRDefault="00E477B7">
            <w:r>
              <w:t>13. Показатели по персоналу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13/1. Кол-во смен по администраторам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Оценка проводится ежемесячно директорами БЦ. Заполняется директорами БЦ или управляющим рестораном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13/2. Кол-во заказов по администраторам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Оценка проводится ежедневно директорами БЦ. Заполняется директорами БЦ или управляющим рестораном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13/3. Средний чек по администраторам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Оценка проводится ежедневно директорами БЦ. Заполняется директорами БЦ или управляющим рестораном</w:t>
            </w:r>
          </w:p>
        </w:tc>
      </w:tr>
      <w:tr w:rsidR="00A624C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Merge/>
            <w:vAlign w:val="center"/>
            <w:hideMark/>
          </w:tcPr>
          <w:p w:rsidR="00A624CB" w:rsidRDefault="00A624CB"/>
        </w:tc>
        <w:tc>
          <w:tcPr>
            <w:tcW w:w="0" w:type="auto"/>
            <w:vAlign w:val="center"/>
            <w:hideMark/>
          </w:tcPr>
          <w:p w:rsidR="00A624CB" w:rsidRDefault="00E477B7">
            <w:r>
              <w:t>13/4. Объем продаж по администраторам</w:t>
            </w:r>
          </w:p>
        </w:tc>
        <w:tc>
          <w:tcPr>
            <w:tcW w:w="0" w:type="auto"/>
            <w:vAlign w:val="center"/>
            <w:hideMark/>
          </w:tcPr>
          <w:p w:rsidR="00A624CB" w:rsidRDefault="00E477B7">
            <w:r>
              <w:t>Оценка проводится ежедневно директорами БЦ. Заполняется директорами БЦ</w:t>
            </w:r>
          </w:p>
        </w:tc>
      </w:tr>
    </w:tbl>
    <w:p w:rsidR="00A624CB" w:rsidRPr="00E477B7" w:rsidRDefault="00E477B7">
      <w:pPr>
        <w:pStyle w:val="a3"/>
      </w:pPr>
      <w:r>
        <w:t> </w:t>
      </w:r>
    </w:p>
    <w:p w:rsidR="00A624CB" w:rsidRDefault="00E477B7">
      <w:pPr>
        <w:pStyle w:val="a3"/>
      </w:pPr>
      <w:r>
        <w:t>Уверены, что данный набор финансовых и маркетинговых коэффициентов поможет вам, совместно с поставщиком ресторанной АСУ, отладить прозрачную и надежную систему автоматизированного управления рестораном.</w:t>
      </w:r>
      <w:bookmarkStart w:id="0" w:name="_GoBack"/>
      <w:bookmarkEnd w:id="0"/>
    </w:p>
    <w:sectPr w:rsidR="00A62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77B7"/>
    <w:rsid w:val="00A624CB"/>
    <w:rsid w:val="00E477B7"/>
    <w:rsid w:val="00E5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6F3B4-09A0-43D8-AC5F-2939D572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2538</Words>
  <Characters>14469</Characters>
  <Application>Microsoft Office Word</Application>
  <DocSecurity>0</DocSecurity>
  <Lines>120</Lines>
  <Paragraphs>33</Paragraphs>
  <ScaleCrop>false</ScaleCrop>
  <Company>diakov.net</Company>
  <LinksUpToDate>false</LinksUpToDate>
  <CharactersWithSpaces>16974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Девяносто финансовых коэффициентов на заметку</dc:title>
  <dc:subject/>
  <dc:creator>Irina</dc:creator>
  <cp:keywords/>
  <dc:description/>
  <cp:lastModifiedBy>Irina</cp:lastModifiedBy>
  <cp:revision>2</cp:revision>
  <dcterms:created xsi:type="dcterms:W3CDTF">2014-07-19T04:28:00Z</dcterms:created>
  <dcterms:modified xsi:type="dcterms:W3CDTF">2014-07-19T04:28:00Z</dcterms:modified>
</cp:coreProperties>
</file>