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7C" w:rsidRDefault="0075697C" w:rsidP="00472623">
      <w:pPr>
        <w:spacing w:after="0" w:line="360" w:lineRule="auto"/>
        <w:ind w:firstLine="703"/>
        <w:jc w:val="center"/>
        <w:rPr>
          <w:rFonts w:ascii="Times New Roman" w:hAnsi="Times New Roman" w:cs="Times New Roman"/>
          <w:color w:val="000000"/>
          <w:sz w:val="28"/>
          <w:szCs w:val="28"/>
        </w:rPr>
      </w:pPr>
    </w:p>
    <w:p w:rsidR="00F47E02" w:rsidRDefault="00F47E02" w:rsidP="00472623">
      <w:pPr>
        <w:spacing w:after="0" w:line="360" w:lineRule="auto"/>
        <w:ind w:firstLine="703"/>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t>СОДЕРЖАНИЕ</w:t>
      </w: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right="-1"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color w:val="000000"/>
          <w:sz w:val="28"/>
          <w:szCs w:val="28"/>
        </w:rPr>
        <w:fldChar w:fldCharType="begin"/>
      </w:r>
      <w:r w:rsidRPr="00821D45">
        <w:rPr>
          <w:rFonts w:ascii="Times New Roman" w:hAnsi="Times New Roman" w:cs="Times New Roman"/>
          <w:color w:val="000000"/>
          <w:sz w:val="28"/>
          <w:szCs w:val="28"/>
        </w:rPr>
        <w:instrText xml:space="preserve"> TOC \o "1-5" \u </w:instrText>
      </w:r>
      <w:r w:rsidRPr="00821D45">
        <w:rPr>
          <w:rFonts w:ascii="Times New Roman" w:hAnsi="Times New Roman" w:cs="Times New Roman"/>
          <w:color w:val="000000"/>
          <w:sz w:val="28"/>
          <w:szCs w:val="28"/>
        </w:rPr>
        <w:fldChar w:fldCharType="separate"/>
      </w:r>
      <w:r w:rsidRPr="00821D45">
        <w:rPr>
          <w:rFonts w:ascii="Times New Roman" w:hAnsi="Times New Roman" w:cs="Times New Roman"/>
          <w:noProof/>
          <w:color w:val="000000"/>
          <w:sz w:val="28"/>
          <w:szCs w:val="28"/>
        </w:rPr>
        <w:t>ВВЕДЕНИЕ………………………………………………………….............</w:t>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fldChar w:fldCharType="begin"/>
      </w:r>
      <w:r w:rsidRPr="00821D45">
        <w:rPr>
          <w:rFonts w:ascii="Times New Roman" w:hAnsi="Times New Roman" w:cs="Times New Roman"/>
          <w:noProof/>
          <w:color w:val="000000"/>
          <w:sz w:val="28"/>
          <w:szCs w:val="28"/>
        </w:rPr>
        <w:instrText xml:space="preserve"> PAGEREF _Toc243566503 \h </w:instrText>
      </w:r>
      <w:r w:rsidRPr="00821D45">
        <w:rPr>
          <w:rFonts w:ascii="Times New Roman" w:hAnsi="Times New Roman" w:cs="Times New Roman"/>
          <w:noProof/>
          <w:color w:val="000000"/>
          <w:sz w:val="28"/>
          <w:szCs w:val="28"/>
        </w:rPr>
      </w:r>
      <w:r w:rsidRPr="00821D45">
        <w:rPr>
          <w:rFonts w:ascii="Times New Roman" w:hAnsi="Times New Roman" w:cs="Times New Roman"/>
          <w:noProof/>
          <w:color w:val="000000"/>
          <w:sz w:val="28"/>
          <w:szCs w:val="28"/>
        </w:rPr>
        <w:fldChar w:fldCharType="separate"/>
      </w:r>
      <w:r w:rsidRPr="00821D45">
        <w:rPr>
          <w:rFonts w:ascii="Times New Roman" w:hAnsi="Times New Roman" w:cs="Times New Roman"/>
          <w:noProof/>
          <w:color w:val="000000"/>
          <w:sz w:val="28"/>
          <w:szCs w:val="28"/>
        </w:rPr>
        <w:t>3</w:t>
      </w:r>
      <w:r w:rsidRPr="00821D45">
        <w:rPr>
          <w:rFonts w:ascii="Times New Roman" w:hAnsi="Times New Roman" w:cs="Times New Roman"/>
          <w:noProof/>
          <w:color w:val="000000"/>
          <w:sz w:val="28"/>
          <w:szCs w:val="28"/>
        </w:rPr>
        <w:fldChar w:fldCharType="end"/>
      </w:r>
    </w:p>
    <w:p w:rsidR="00F47E02" w:rsidRPr="0016695F" w:rsidRDefault="00F47E02" w:rsidP="0016695F">
      <w:pPr>
        <w:shd w:val="clear" w:color="auto" w:fill="FFFFFF"/>
        <w:ind w:firstLine="720"/>
        <w:jc w:val="both"/>
        <w:rPr>
          <w:rFonts w:ascii="Times New Roman" w:hAnsi="Times New Roman" w:cs="Times New Roman"/>
          <w:bCs/>
          <w:color w:val="000000"/>
          <w:sz w:val="28"/>
          <w:szCs w:val="28"/>
        </w:rPr>
      </w:pPr>
      <w:r w:rsidRPr="0016695F">
        <w:rPr>
          <w:rFonts w:ascii="Times New Roman" w:hAnsi="Times New Roman" w:cs="Times New Roman"/>
          <w:noProof/>
          <w:color w:val="000000"/>
          <w:sz w:val="28"/>
          <w:szCs w:val="28"/>
        </w:rPr>
        <w:t xml:space="preserve">1 </w:t>
      </w:r>
      <w:r w:rsidRPr="0016695F">
        <w:rPr>
          <w:rFonts w:ascii="Times New Roman" w:hAnsi="Times New Roman" w:cs="Times New Roman"/>
          <w:bCs/>
          <w:color w:val="000000"/>
          <w:sz w:val="28"/>
          <w:szCs w:val="28"/>
        </w:rPr>
        <w:t>Основные цели, задачи и виды деятельности предприятия</w:t>
      </w:r>
      <w:r>
        <w:rPr>
          <w:rFonts w:ascii="Times New Roman" w:hAnsi="Times New Roman" w:cs="Times New Roman"/>
          <w:bCs/>
          <w:color w:val="000000"/>
          <w:sz w:val="28"/>
          <w:szCs w:val="28"/>
        </w:rPr>
        <w:t>…………….</w:t>
      </w:r>
      <w:r w:rsidRPr="0016695F">
        <w:rPr>
          <w:rFonts w:ascii="Times New Roman" w:hAnsi="Times New Roman" w:cs="Times New Roman"/>
          <w:noProof/>
          <w:color w:val="000000"/>
          <w:sz w:val="28"/>
          <w:szCs w:val="28"/>
        </w:rPr>
        <w:t>.4</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1.1 Цель образования и правовая база……………………………………</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4</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1.2 Основные положения устава</w:t>
      </w:r>
      <w:r w:rsidRPr="00CD6D86">
        <w:rPr>
          <w:rFonts w:ascii="Times New Roman" w:hAnsi="Times New Roman" w:cs="Times New Roman"/>
          <w:noProof/>
          <w:color w:val="000000"/>
          <w:sz w:val="28"/>
          <w:szCs w:val="28"/>
        </w:rPr>
        <w:t>……………………………………………</w:t>
      </w:r>
      <w:r>
        <w:rPr>
          <w:rFonts w:ascii="Times New Roman" w:hAnsi="Times New Roman" w:cs="Times New Roman"/>
          <w:noProof/>
          <w:color w:val="000000"/>
          <w:sz w:val="28"/>
          <w:szCs w:val="28"/>
        </w:rPr>
        <w:t>..6</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1.3 Организацион</w:t>
      </w:r>
      <w:r>
        <w:rPr>
          <w:rFonts w:ascii="Times New Roman" w:hAnsi="Times New Roman" w:cs="Times New Roman"/>
          <w:noProof/>
          <w:color w:val="000000"/>
          <w:sz w:val="28"/>
          <w:szCs w:val="28"/>
        </w:rPr>
        <w:t>ная структура…………………………………………….10</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1.4 Состав выполняемых операций……………………………………….</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..10</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1.5 Определение целей развития банка…………………………………...</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fldChar w:fldCharType="begin"/>
      </w:r>
      <w:r w:rsidRPr="00821D45">
        <w:rPr>
          <w:rFonts w:ascii="Times New Roman" w:hAnsi="Times New Roman" w:cs="Times New Roman"/>
          <w:noProof/>
          <w:color w:val="000000"/>
          <w:sz w:val="28"/>
          <w:szCs w:val="28"/>
        </w:rPr>
        <w:instrText xml:space="preserve"> PAGEREF _Toc243566509 \h </w:instrText>
      </w:r>
      <w:r w:rsidRPr="00821D45">
        <w:rPr>
          <w:rFonts w:ascii="Times New Roman" w:hAnsi="Times New Roman" w:cs="Times New Roman"/>
          <w:noProof/>
          <w:color w:val="000000"/>
          <w:sz w:val="28"/>
          <w:szCs w:val="28"/>
        </w:rPr>
      </w:r>
      <w:r w:rsidRPr="00821D45">
        <w:rPr>
          <w:rFonts w:ascii="Times New Roman" w:hAnsi="Times New Roman" w:cs="Times New Roman"/>
          <w:noProof/>
          <w:color w:val="000000"/>
          <w:sz w:val="28"/>
          <w:szCs w:val="28"/>
        </w:rPr>
        <w:fldChar w:fldCharType="separate"/>
      </w:r>
      <w:r w:rsidRPr="00821D45">
        <w:rPr>
          <w:rFonts w:ascii="Times New Roman" w:hAnsi="Times New Roman" w:cs="Times New Roman"/>
          <w:noProof/>
          <w:color w:val="000000"/>
          <w:sz w:val="28"/>
          <w:szCs w:val="28"/>
        </w:rPr>
        <w:t>1</w:t>
      </w:r>
      <w:r>
        <w:rPr>
          <w:rFonts w:ascii="Times New Roman" w:hAnsi="Times New Roman" w:cs="Times New Roman"/>
          <w:noProof/>
          <w:color w:val="000000"/>
          <w:sz w:val="28"/>
          <w:szCs w:val="28"/>
        </w:rPr>
        <w:t>2</w:t>
      </w:r>
      <w:r w:rsidRPr="00821D45">
        <w:rPr>
          <w:rFonts w:ascii="Times New Roman" w:hAnsi="Times New Roman" w:cs="Times New Roman"/>
          <w:noProof/>
          <w:color w:val="000000"/>
          <w:sz w:val="28"/>
          <w:szCs w:val="28"/>
        </w:rPr>
        <w:fldChar w:fldCharType="end"/>
      </w:r>
    </w:p>
    <w:p w:rsidR="00F47E02" w:rsidRPr="0016695F"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16695F">
        <w:rPr>
          <w:rFonts w:ascii="Times New Roman" w:hAnsi="Times New Roman" w:cs="Times New Roman"/>
          <w:noProof/>
          <w:color w:val="000000"/>
          <w:sz w:val="28"/>
          <w:szCs w:val="28"/>
        </w:rPr>
        <w:t xml:space="preserve">2 </w:t>
      </w:r>
      <w:r w:rsidRPr="0016695F">
        <w:rPr>
          <w:rFonts w:ascii="Times New Roman" w:hAnsi="Times New Roman" w:cs="Times New Roman"/>
          <w:bCs/>
          <w:color w:val="000000"/>
          <w:sz w:val="28"/>
          <w:szCs w:val="28"/>
        </w:rPr>
        <w:t>Организационно-экономическая характеристика предприятия</w:t>
      </w:r>
      <w:r w:rsidRPr="0016695F">
        <w:rPr>
          <w:rFonts w:ascii="Times New Roman" w:hAnsi="Times New Roman" w:cs="Times New Roman"/>
          <w:noProof/>
          <w:color w:val="000000"/>
          <w:sz w:val="28"/>
          <w:szCs w:val="28"/>
        </w:rPr>
        <w:t>………</w:t>
      </w:r>
      <w:r w:rsidRPr="0016695F">
        <w:rPr>
          <w:rFonts w:ascii="Times New Roman" w:hAnsi="Times New Roman" w:cs="Times New Roman"/>
          <w:noProof/>
          <w:color w:val="000000"/>
          <w:sz w:val="28"/>
          <w:szCs w:val="28"/>
        </w:rPr>
        <w:fldChar w:fldCharType="begin"/>
      </w:r>
      <w:r w:rsidRPr="0016695F">
        <w:rPr>
          <w:rFonts w:ascii="Times New Roman" w:hAnsi="Times New Roman" w:cs="Times New Roman"/>
          <w:noProof/>
          <w:color w:val="000000"/>
          <w:sz w:val="28"/>
          <w:szCs w:val="28"/>
        </w:rPr>
        <w:instrText xml:space="preserve"> PAGEREF _Toc243566510 \h </w:instrText>
      </w:r>
      <w:r w:rsidRPr="0016695F">
        <w:rPr>
          <w:rFonts w:ascii="Times New Roman" w:hAnsi="Times New Roman" w:cs="Times New Roman"/>
          <w:noProof/>
          <w:color w:val="000000"/>
          <w:sz w:val="28"/>
          <w:szCs w:val="28"/>
        </w:rPr>
      </w:r>
      <w:r w:rsidRPr="0016695F">
        <w:rPr>
          <w:rFonts w:ascii="Times New Roman" w:hAnsi="Times New Roman" w:cs="Times New Roman"/>
          <w:noProof/>
          <w:color w:val="000000"/>
          <w:sz w:val="28"/>
          <w:szCs w:val="28"/>
        </w:rPr>
        <w:fldChar w:fldCharType="separate"/>
      </w:r>
      <w:r w:rsidRPr="0016695F">
        <w:rPr>
          <w:rFonts w:ascii="Times New Roman" w:hAnsi="Times New Roman" w:cs="Times New Roman"/>
          <w:noProof/>
          <w:color w:val="000000"/>
          <w:sz w:val="28"/>
          <w:szCs w:val="28"/>
        </w:rPr>
        <w:t>14</w:t>
      </w:r>
      <w:r w:rsidRPr="0016695F">
        <w:rPr>
          <w:rFonts w:ascii="Times New Roman" w:hAnsi="Times New Roman" w:cs="Times New Roman"/>
          <w:noProof/>
          <w:color w:val="000000"/>
          <w:sz w:val="28"/>
          <w:szCs w:val="28"/>
        </w:rPr>
        <w:fldChar w:fldCharType="end"/>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2.1 Структура агрегированного бухгалтерского баланса банка и отчета о прибылях и убытках…………………………………………………</w:t>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w:t>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fldChar w:fldCharType="begin"/>
      </w:r>
      <w:r w:rsidRPr="00821D45">
        <w:rPr>
          <w:rFonts w:ascii="Times New Roman" w:hAnsi="Times New Roman" w:cs="Times New Roman"/>
          <w:noProof/>
          <w:color w:val="000000"/>
          <w:sz w:val="28"/>
          <w:szCs w:val="28"/>
        </w:rPr>
        <w:instrText xml:space="preserve"> PAGEREF _Toc243566511 \h </w:instrText>
      </w:r>
      <w:r w:rsidRPr="00821D45">
        <w:rPr>
          <w:rFonts w:ascii="Times New Roman" w:hAnsi="Times New Roman" w:cs="Times New Roman"/>
          <w:noProof/>
          <w:color w:val="000000"/>
          <w:sz w:val="28"/>
          <w:szCs w:val="28"/>
        </w:rPr>
      </w:r>
      <w:r w:rsidRPr="00821D45">
        <w:rPr>
          <w:rFonts w:ascii="Times New Roman" w:hAnsi="Times New Roman" w:cs="Times New Roman"/>
          <w:noProof/>
          <w:color w:val="000000"/>
          <w:sz w:val="28"/>
          <w:szCs w:val="28"/>
        </w:rPr>
        <w:fldChar w:fldCharType="separate"/>
      </w:r>
      <w:r w:rsidRPr="00821D45">
        <w:rPr>
          <w:rFonts w:ascii="Times New Roman" w:hAnsi="Times New Roman" w:cs="Times New Roman"/>
          <w:noProof/>
          <w:color w:val="000000"/>
          <w:sz w:val="28"/>
          <w:szCs w:val="28"/>
        </w:rPr>
        <w:t>1</w:t>
      </w:r>
      <w:r>
        <w:rPr>
          <w:rFonts w:ascii="Times New Roman" w:hAnsi="Times New Roman" w:cs="Times New Roman"/>
          <w:noProof/>
          <w:color w:val="000000"/>
          <w:sz w:val="28"/>
          <w:szCs w:val="28"/>
        </w:rPr>
        <w:t>4</w:t>
      </w:r>
      <w:r w:rsidRPr="00821D45">
        <w:rPr>
          <w:rFonts w:ascii="Times New Roman" w:hAnsi="Times New Roman" w:cs="Times New Roman"/>
          <w:noProof/>
          <w:color w:val="000000"/>
          <w:sz w:val="28"/>
          <w:szCs w:val="28"/>
        </w:rPr>
        <w:fldChar w:fldCharType="end"/>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rPr>
      </w:pPr>
      <w:r w:rsidRPr="00821D45">
        <w:rPr>
          <w:rFonts w:ascii="Times New Roman" w:hAnsi="Times New Roman" w:cs="Times New Roman"/>
          <w:noProof/>
          <w:color w:val="000000"/>
          <w:sz w:val="28"/>
          <w:szCs w:val="28"/>
        </w:rPr>
        <w:t>2.2 Стратегическое и оперативное планирование в банке………………</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1</w:t>
      </w:r>
      <w:r>
        <w:rPr>
          <w:rFonts w:ascii="Times New Roman" w:hAnsi="Times New Roman" w:cs="Times New Roman"/>
          <w:noProof/>
          <w:color w:val="000000"/>
          <w:sz w:val="28"/>
          <w:szCs w:val="28"/>
        </w:rPr>
        <w:t>4</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rPr>
      </w:pPr>
      <w:r w:rsidRPr="00821D45">
        <w:rPr>
          <w:rFonts w:ascii="Times New Roman" w:hAnsi="Times New Roman" w:cs="Times New Roman"/>
          <w:noProof/>
          <w:color w:val="000000"/>
          <w:sz w:val="28"/>
          <w:szCs w:val="28"/>
        </w:rPr>
        <w:t>2.3 Финансовая устойчивость</w:t>
      </w:r>
      <w:r w:rsidRPr="00CD6D86">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1</w:t>
      </w:r>
      <w:r>
        <w:rPr>
          <w:rFonts w:ascii="Times New Roman" w:hAnsi="Times New Roman" w:cs="Times New Roman"/>
          <w:noProof/>
          <w:color w:val="000000"/>
          <w:sz w:val="28"/>
          <w:szCs w:val="28"/>
        </w:rPr>
        <w:t>4</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 xml:space="preserve">3 </w:t>
      </w:r>
      <w:r w:rsidRPr="00821D45">
        <w:rPr>
          <w:rFonts w:ascii="Times New Roman" w:hAnsi="Times New Roman" w:cs="Times New Roman"/>
          <w:color w:val="000000"/>
          <w:sz w:val="28"/>
          <w:szCs w:val="28"/>
        </w:rPr>
        <w:t>Структура управления предприятием…………………………………</w:t>
      </w:r>
      <w:r>
        <w:rPr>
          <w:rFonts w:ascii="Times New Roman" w:hAnsi="Times New Roman" w:cs="Times New Roman"/>
          <w:color w:val="000000"/>
          <w:sz w:val="28"/>
          <w:szCs w:val="28"/>
        </w:rPr>
        <w:t>…</w:t>
      </w:r>
      <w:r>
        <w:rPr>
          <w:rFonts w:ascii="Times New Roman" w:hAnsi="Times New Roman" w:cs="Times New Roman"/>
          <w:noProof/>
          <w:color w:val="000000"/>
          <w:sz w:val="28"/>
          <w:szCs w:val="28"/>
        </w:rPr>
        <w:t>15</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3.1 Управление банком</w:t>
      </w:r>
      <w:r w:rsidRPr="00821D45">
        <w:rPr>
          <w:rFonts w:ascii="Times New Roman" w:hAnsi="Times New Roman" w:cs="Times New Roman"/>
          <w:noProof/>
          <w:color w:val="000000"/>
          <w:sz w:val="28"/>
          <w:szCs w:val="28"/>
        </w:rPr>
        <w:tab/>
        <w:t>……………………………………………………</w:t>
      </w:r>
      <w:r>
        <w:rPr>
          <w:rFonts w:ascii="Times New Roman" w:hAnsi="Times New Roman" w:cs="Times New Roman"/>
          <w:noProof/>
          <w:color w:val="000000"/>
          <w:sz w:val="28"/>
          <w:szCs w:val="28"/>
        </w:rPr>
        <w:t>...15</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3.2 Функции отдельных подразделений и подотделов………………….</w:t>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..15</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3.3 Кадровая политика банка……………………………………………...</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..18</w:t>
      </w:r>
    </w:p>
    <w:p w:rsidR="00F47E02" w:rsidRDefault="00F47E02" w:rsidP="00472623">
      <w:pPr>
        <w:spacing w:after="0" w:line="360" w:lineRule="auto"/>
        <w:ind w:firstLine="709"/>
        <w:jc w:val="both"/>
        <w:rPr>
          <w:rFonts w:ascii="Times New Roman" w:hAnsi="Times New Roman" w:cs="Times New Roman"/>
          <w:noProof/>
          <w:color w:val="000000"/>
          <w:sz w:val="28"/>
          <w:szCs w:val="28"/>
        </w:rPr>
      </w:pPr>
      <w:r w:rsidRPr="00821D45">
        <w:rPr>
          <w:rFonts w:ascii="Times New Roman" w:hAnsi="Times New Roman" w:cs="Times New Roman"/>
          <w:noProof/>
          <w:color w:val="000000"/>
          <w:sz w:val="28"/>
          <w:szCs w:val="28"/>
        </w:rPr>
        <w:t>3.4 Положение о коммерческой тайне банка……………………………..</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 xml:space="preserve">..19 </w:t>
      </w:r>
    </w:p>
    <w:p w:rsidR="00F47E02" w:rsidRPr="00821D45" w:rsidRDefault="00F47E02" w:rsidP="00B45127">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 xml:space="preserve">4 </w:t>
      </w:r>
      <w:r w:rsidRPr="002379FB">
        <w:rPr>
          <w:rFonts w:ascii="Times New Roman" w:hAnsi="Times New Roman" w:cs="Times New Roman"/>
          <w:color w:val="000000"/>
          <w:sz w:val="28"/>
          <w:szCs w:val="28"/>
        </w:rPr>
        <w:t>Информационное обеспечение банка</w:t>
      </w:r>
      <w:r w:rsidRPr="00821D45">
        <w:rPr>
          <w:rFonts w:ascii="Times New Roman" w:hAnsi="Times New Roman" w:cs="Times New Roman"/>
          <w:noProof/>
          <w:color w:val="000000"/>
          <w:sz w:val="28"/>
          <w:szCs w:val="28"/>
        </w:rPr>
        <w:t>……………………………</w:t>
      </w:r>
      <w:r>
        <w:rPr>
          <w:rFonts w:ascii="Times New Roman" w:hAnsi="Times New Roman" w:cs="Times New Roman"/>
          <w:noProof/>
          <w:color w:val="000000"/>
          <w:sz w:val="28"/>
          <w:szCs w:val="28"/>
        </w:rPr>
        <w:t>……...</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..21</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sidRPr="00821D45">
        <w:rPr>
          <w:rFonts w:ascii="Times New Roman" w:hAnsi="Times New Roman" w:cs="Times New Roman"/>
          <w:noProof/>
          <w:color w:val="000000"/>
          <w:sz w:val="28"/>
          <w:szCs w:val="28"/>
        </w:rPr>
        <w:t>ЗАКЛЮЧЕНИЕ…………………………………………………………….</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..24</w:t>
      </w:r>
    </w:p>
    <w:p w:rsidR="00F47E02" w:rsidRDefault="00F47E02" w:rsidP="00472623">
      <w:pPr>
        <w:spacing w:after="0" w:line="360" w:lineRule="auto"/>
        <w:ind w:firstLine="709"/>
        <w:jc w:val="both"/>
        <w:rPr>
          <w:rFonts w:ascii="Times New Roman" w:hAnsi="Times New Roman" w:cs="Times New Roman"/>
          <w:noProof/>
          <w:color w:val="000000"/>
          <w:sz w:val="28"/>
          <w:szCs w:val="28"/>
        </w:rPr>
      </w:pPr>
      <w:r w:rsidRPr="00821D45">
        <w:rPr>
          <w:rFonts w:ascii="Times New Roman" w:hAnsi="Times New Roman" w:cs="Times New Roman"/>
          <w:noProof/>
          <w:color w:val="000000"/>
          <w:sz w:val="28"/>
          <w:szCs w:val="28"/>
        </w:rPr>
        <w:t>СПИСОК ИСПОЛЬЗОВАННЫХ ИСТОЧНИКОВ………………………</w:t>
      </w:r>
      <w:r w:rsidRPr="00821D45">
        <w:rPr>
          <w:rFonts w:ascii="Times New Roman" w:hAnsi="Times New Roman" w:cs="Times New Roman"/>
          <w:noProof/>
          <w:color w:val="000000"/>
          <w:sz w:val="28"/>
          <w:szCs w:val="28"/>
        </w:rPr>
        <w:tab/>
      </w:r>
      <w:r>
        <w:rPr>
          <w:rFonts w:ascii="Times New Roman" w:hAnsi="Times New Roman" w:cs="Times New Roman"/>
          <w:noProof/>
          <w:color w:val="000000"/>
          <w:sz w:val="28"/>
          <w:szCs w:val="28"/>
        </w:rPr>
        <w:t>..25</w:t>
      </w:r>
    </w:p>
    <w:p w:rsidR="00F47E02" w:rsidRPr="00821D45" w:rsidRDefault="00F47E02" w:rsidP="00472623">
      <w:pPr>
        <w:spacing w:after="0" w:line="360" w:lineRule="auto"/>
        <w:ind w:firstLine="709"/>
        <w:jc w:val="both"/>
        <w:rPr>
          <w:rFonts w:ascii="Times New Roman" w:hAnsi="Times New Roman" w:cs="Times New Roman"/>
          <w:noProof/>
          <w:color w:val="000000"/>
          <w:sz w:val="28"/>
          <w:szCs w:val="28"/>
          <w:lang w:eastAsia="ru-RU"/>
        </w:rPr>
      </w:pPr>
      <w:r>
        <w:rPr>
          <w:rFonts w:ascii="Times New Roman" w:hAnsi="Times New Roman" w:cs="Times New Roman"/>
          <w:noProof/>
          <w:color w:val="000000"/>
          <w:sz w:val="28"/>
          <w:szCs w:val="28"/>
        </w:rPr>
        <w:t>ПРИЛОЖЕНИЯ…………………………………………………………….26</w:t>
      </w:r>
    </w:p>
    <w:p w:rsidR="00F47E02"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fldChar w:fldCharType="end"/>
      </w:r>
      <w:bookmarkStart w:id="0" w:name="_Toc47889820"/>
      <w:bookmarkStart w:id="1" w:name="_Toc243566503"/>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Pr="000D0354" w:rsidRDefault="00F47E02" w:rsidP="00472623">
      <w:pPr>
        <w:spacing w:after="0" w:line="360" w:lineRule="auto"/>
        <w:ind w:firstLine="703"/>
        <w:jc w:val="center"/>
        <w:rPr>
          <w:rFonts w:ascii="Times New Roman" w:hAnsi="Times New Roman" w:cs="Times New Roman"/>
          <w:sz w:val="28"/>
          <w:szCs w:val="28"/>
        </w:rPr>
      </w:pPr>
      <w:r w:rsidRPr="000D0354">
        <w:rPr>
          <w:rFonts w:ascii="Times New Roman" w:hAnsi="Times New Roman" w:cs="Times New Roman"/>
          <w:color w:val="000000"/>
          <w:sz w:val="28"/>
          <w:szCs w:val="28"/>
        </w:rPr>
        <w:t>В</w:t>
      </w:r>
      <w:bookmarkEnd w:id="0"/>
      <w:r w:rsidRPr="000D0354">
        <w:rPr>
          <w:rFonts w:ascii="Times New Roman" w:hAnsi="Times New Roman" w:cs="Times New Roman"/>
          <w:color w:val="000000"/>
          <w:sz w:val="28"/>
          <w:szCs w:val="28"/>
        </w:rPr>
        <w:t>ВЕДЕНИЕ</w:t>
      </w:r>
      <w:bookmarkEnd w:id="1"/>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Целью прохождения производственной практики является: получение практических навыков, подготовка к написанию отчетной работы, сбор материалов.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Производственная практика является важным этапом профессиональной подготовки студентов. В ходе практической деятельности предполагается получение наиболее глубоких и конкретных знаний, умений и навыков, которые в дальнейшем обеспечат успешную трудовую деятельность по направлениям.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Задачи производственной практики: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формирование навыков;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изучение работы отделов и подразделений предприятий;</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закрепление знаний и навыков по использованию маркетинговых технологий;</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анализ состояния производственных процессов предприятия;</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освоение способов и методов работы в коллективе.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Подготовка к написанию работы предусматривает изучение темы будущей работы, знакомство со всеми ее тонкостями. Необходимо составить наиболее полное представление о предмете работы и хорошо ориентироваться в данном вопросе.</w:t>
      </w: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bookmarkStart w:id="2" w:name="_Toc47889821"/>
      <w:bookmarkStart w:id="3" w:name="_Toc243566504"/>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left="709" w:hanging="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1 </w:t>
      </w:r>
      <w:bookmarkEnd w:id="2"/>
      <w:bookmarkEnd w:id="3"/>
      <w:r w:rsidRPr="0016695F">
        <w:rPr>
          <w:rFonts w:ascii="Times New Roman" w:hAnsi="Times New Roman" w:cs="Times New Roman"/>
          <w:bCs/>
          <w:color w:val="000000"/>
          <w:sz w:val="28"/>
          <w:szCs w:val="28"/>
        </w:rPr>
        <w:t>Основные цели, задачи и виды деятельности предприятия</w:t>
      </w: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2C7E7E" w:rsidRDefault="00F47E02" w:rsidP="00472623">
      <w:pPr>
        <w:spacing w:after="0" w:line="360" w:lineRule="auto"/>
        <w:ind w:firstLine="703"/>
        <w:jc w:val="both"/>
        <w:rPr>
          <w:rFonts w:ascii="Times New Roman" w:hAnsi="Times New Roman" w:cs="Times New Roman"/>
          <w:color w:val="000000"/>
          <w:sz w:val="28"/>
          <w:szCs w:val="28"/>
        </w:rPr>
      </w:pPr>
      <w:bookmarkStart w:id="4" w:name="_Toc47889822"/>
      <w:bookmarkStart w:id="5" w:name="_Toc243566505"/>
      <w:r w:rsidRPr="002C7E7E">
        <w:rPr>
          <w:rFonts w:ascii="Times New Roman" w:hAnsi="Times New Roman" w:cs="Times New Roman"/>
          <w:color w:val="000000"/>
          <w:sz w:val="28"/>
          <w:szCs w:val="28"/>
        </w:rPr>
        <w:t xml:space="preserve">1.1 </w:t>
      </w:r>
      <w:r w:rsidRPr="00821D45">
        <w:rPr>
          <w:rFonts w:ascii="Times New Roman" w:hAnsi="Times New Roman" w:cs="Times New Roman"/>
          <w:color w:val="000000"/>
          <w:sz w:val="28"/>
          <w:szCs w:val="28"/>
        </w:rPr>
        <w:t>Цель образования и правовая база</w:t>
      </w:r>
      <w:bookmarkEnd w:id="4"/>
      <w:bookmarkEnd w:id="5"/>
    </w:p>
    <w:p w:rsidR="00F47E02" w:rsidRPr="002C7E7E"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Российской Федерации создание и функционирование коммерческих банков, правовое регулирование банковской деятельности основывается на Федеральном Законе  “О банках и банковской деятельности”, принятом 03.02.96 года, Федеральном Законе “О центральном банке Российской Федерации” от 26.04.95 года, Конституции РФ и других Федеральных Законах, нормативных актах Банка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Коммерческие банки действуют на основании Устава, который принимается его участниками.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Взаимоотношения банков с клиентами строятся на основе договоров. Банк и предприятия, вступая в договорные отношения, друг с другом,  стремятся к осуществлению своих хозрасчетных интересов, эффективному сотрудничеству.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Надзор за  деятельностью  коммерческих банков осуществляют учреждения  ЦБ РФ,  которые  контролируют  соблюдение обязательных  экономических  нормативов с целью поддержания надежности и  ликвидности  банковской  системы (Инструкция N 1 “О порядке  регулирования  деятельности кредитных организаций”  от 30.01.96 г.) и проверяют правильность исполнения банковского законодательства и нормативных актов ЦБ РФ.</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ТрансКредитБанк — был основан в 1992</w:t>
      </w:r>
      <w:r w:rsidRPr="00821D45">
        <w:rPr>
          <w:rFonts w:ascii="Times New Roman" w:hAnsi="Times New Roman" w:cs="Times New Roman"/>
          <w:color w:val="000000"/>
          <w:sz w:val="28"/>
          <w:szCs w:val="28"/>
        </w:rPr>
        <w:t xml:space="preserve"> году и сегодня входит в одну из крупнейших финансовых групп Европы – Группу Кей-Би-Си (KBC Group). Банк насчитывает около 200 тысяч клиентов по всей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Клиентами Банка являются более 30 тысяч предприятий различных секторов экономики: легкой промышленности, металлургии, машиностроения, автомобильной промышленности, нефтяной промышленности, энергетики, пищевой и перерабатывающей промышленности, связи, информационных технологий, строительной, торгового сектора, транспорта, фармацевтики и медицинского оборудования, издательской и полиграфической промышленности, химической промышленности, агропромышленного комплекса, и других отраслей деятельности. Всем своим клиентам – юридическим лицам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предлагает полный спектр финансовых услуг, включая любые виды финансирования, комплекс расчетно-кассового обслуживания, дополнительные инвестиционные и другие возможности.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Одним из стратегических приоритетов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является развитие в секторе обслуживания частных клиентов. По всем направлениям своей работы банк предлагает условия обслуживания в числе наиболее привлекательных на рынке и отличный сервис.</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Бизнес-результаты деятельности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его финансовая устойчивость и стабильность высоко оцениваются ведущими международными рейтинговыми агентствами Fitch Ratings и Moody's. По данным авторитетных деловых изданий России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сегодня входит в ТОР-1</w:t>
      </w:r>
      <w:r>
        <w:rPr>
          <w:rFonts w:ascii="Times New Roman" w:hAnsi="Times New Roman" w:cs="Times New Roman"/>
          <w:color w:val="000000"/>
          <w:sz w:val="28"/>
          <w:szCs w:val="28"/>
        </w:rPr>
        <w:t>0</w:t>
      </w:r>
      <w:r w:rsidRPr="00821D45">
        <w:rPr>
          <w:rFonts w:ascii="Times New Roman" w:hAnsi="Times New Roman" w:cs="Times New Roman"/>
          <w:color w:val="000000"/>
          <w:sz w:val="28"/>
          <w:szCs w:val="28"/>
        </w:rPr>
        <w:t xml:space="preserve"> самых надежных российских банков, ТОП-25 крупнейших отечественных банков по размеру активов, а также является Банком №1 в торговом финансировании предприятий.</w:t>
      </w:r>
    </w:p>
    <w:p w:rsidR="00F47E02" w:rsidRPr="00821D45" w:rsidRDefault="00F47E02" w:rsidP="00472623">
      <w:pPr>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представлен 71-м офисом в 24 регионах России.</w:t>
      </w:r>
      <w:r w:rsidRPr="00821D45">
        <w:rPr>
          <w:rFonts w:ascii="Times New Roman" w:hAnsi="Times New Roman" w:cs="Times New Roman"/>
          <w:color w:val="000000"/>
          <w:sz w:val="28"/>
          <w:szCs w:val="28"/>
          <w:u w:val="single"/>
        </w:rPr>
        <w:t xml:space="preserve">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Миссия Банка — обеспечивать потребность каждого клиента, в том числе частного, корпоративного и государственного, на всей территории России в банковских услугах высокого качества и надёжности, обеспечивая устойчивое функционирование российской банковской системы, сбережение вкладов населения и их инвестирование в реальный сектор, содействуя развитию экономики России.</w:t>
      </w:r>
    </w:p>
    <w:p w:rsidR="00F47E02"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Лозунг Банка — быть “домашним” для частного вкладчика, респектабельным в глазах корпоративного клиента, признанным авторитетом на международном уровне.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bookmarkStart w:id="6" w:name="_Toc47889823"/>
      <w:bookmarkStart w:id="7" w:name="_Toc243566506"/>
      <w:r w:rsidRPr="00821D45">
        <w:rPr>
          <w:rFonts w:ascii="Times New Roman" w:hAnsi="Times New Roman" w:cs="Times New Roman"/>
          <w:color w:val="000000"/>
          <w:sz w:val="28"/>
          <w:szCs w:val="28"/>
        </w:rPr>
        <w:t>1.2 Основные положения устава</w:t>
      </w:r>
      <w:bookmarkEnd w:id="6"/>
      <w:bookmarkEnd w:id="7"/>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Уставе содержатся следующие сведения:</w:t>
      </w:r>
    </w:p>
    <w:p w:rsidR="00F47E02" w:rsidRPr="00821D45" w:rsidRDefault="00F47E02" w:rsidP="00472623">
      <w:pPr>
        <w:numPr>
          <w:ilvl w:val="0"/>
          <w:numId w:val="8"/>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наименование банка и его местонахождение (почтовый и юридический адрес);</w:t>
      </w:r>
    </w:p>
    <w:p w:rsidR="00F47E02" w:rsidRPr="00821D45" w:rsidRDefault="00F47E02" w:rsidP="00472623">
      <w:pPr>
        <w:numPr>
          <w:ilvl w:val="0"/>
          <w:numId w:val="11"/>
        </w:numPr>
        <w:spacing w:after="0" w:line="360" w:lineRule="auto"/>
        <w:ind w:hanging="11"/>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перечень выполняемых им банковских операций;</w:t>
      </w:r>
    </w:p>
    <w:p w:rsidR="00F47E02" w:rsidRPr="00821D45" w:rsidRDefault="00F47E02" w:rsidP="00472623">
      <w:pPr>
        <w:numPr>
          <w:ilvl w:val="0"/>
          <w:numId w:val="9"/>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размер уставного капитала, резервного и иных фондов, образуемых банком;</w:t>
      </w:r>
    </w:p>
    <w:p w:rsidR="00F47E02" w:rsidRPr="00821D45" w:rsidRDefault="00F47E02" w:rsidP="00472623">
      <w:pPr>
        <w:numPr>
          <w:ilvl w:val="0"/>
          <w:numId w:val="9"/>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указание на то, что банк является юридическим лицом и действует на коммерческой основе;</w:t>
      </w:r>
    </w:p>
    <w:p w:rsidR="00F47E02" w:rsidRPr="00821D45" w:rsidRDefault="00F47E02" w:rsidP="00472623">
      <w:pPr>
        <w:numPr>
          <w:ilvl w:val="0"/>
          <w:numId w:val="10"/>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данные об органах управления банка, порядке образования и функциях.</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Акционерный коммерческий банк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о</w:t>
      </w:r>
      <w:r w:rsidRPr="00821D45">
        <w:rPr>
          <w:rFonts w:ascii="Times New Roman" w:hAnsi="Times New Roman" w:cs="Times New Roman"/>
          <w:color w:val="000000"/>
          <w:sz w:val="28"/>
          <w:szCs w:val="28"/>
        </w:rPr>
        <w:t>крытое акционерное общество), именуемый в дальнейшем “Банк”, является кредитной организацией, созданной решением Учредительного собрания акционеров (Протокол от 20 февраля 1993 года № 1). Прежнее фирменное полное наименование Банка -  АКЦИОНЕРНЫЙ КОММЕРЧЕСКИЙ БАНК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 (акционер</w:t>
      </w:r>
      <w:r>
        <w:rPr>
          <w:rFonts w:ascii="Times New Roman" w:hAnsi="Times New Roman" w:cs="Times New Roman"/>
          <w:color w:val="000000"/>
          <w:sz w:val="28"/>
          <w:szCs w:val="28"/>
        </w:rPr>
        <w:t>ное общество о</w:t>
      </w:r>
      <w:r w:rsidRPr="00821D45">
        <w:rPr>
          <w:rFonts w:ascii="Times New Roman" w:hAnsi="Times New Roman" w:cs="Times New Roman"/>
          <w:color w:val="000000"/>
          <w:sz w:val="28"/>
          <w:szCs w:val="28"/>
        </w:rPr>
        <w:t xml:space="preserve">крытого типа). В соответствии с решением Общего собрания акционеров (Протокол от 17 июня 1996 года № 15) наименование организационно-правовой формы приведено в соответствие с действующим законодательством и определено как </w:t>
      </w:r>
      <w:r>
        <w:rPr>
          <w:rFonts w:ascii="Times New Roman" w:hAnsi="Times New Roman" w:cs="Times New Roman"/>
          <w:color w:val="000000"/>
          <w:sz w:val="28"/>
          <w:szCs w:val="28"/>
        </w:rPr>
        <w:t>о</w:t>
      </w:r>
      <w:r w:rsidRPr="00821D45">
        <w:rPr>
          <w:rFonts w:ascii="Times New Roman" w:hAnsi="Times New Roman" w:cs="Times New Roman"/>
          <w:color w:val="000000"/>
          <w:sz w:val="28"/>
          <w:szCs w:val="28"/>
        </w:rPr>
        <w:t xml:space="preserve">крытое акционерное общество. Фирменное полное наименование Банка изменено в соответствии с решением Общего собрания акционеров (Протокол от 29 марта 2002 года № 34).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Полное фирменное (полное официальное) наименование  Банка: Акционерный коммерческий банк</w:t>
      </w:r>
      <w:r w:rsidRPr="00821D45">
        <w:rPr>
          <w:rFonts w:ascii="Times New Roman" w:hAnsi="Times New Roman" w:cs="Times New Roman"/>
          <w:caps/>
          <w:color w:val="000000"/>
          <w:sz w:val="28"/>
          <w:szCs w:val="28"/>
        </w:rPr>
        <w:t xml:space="preserve">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aps/>
          <w:color w:val="000000"/>
          <w:sz w:val="28"/>
          <w:szCs w:val="28"/>
        </w:rPr>
        <w:t xml:space="preserve"> ”</w:t>
      </w:r>
      <w:r>
        <w:rPr>
          <w:rFonts w:ascii="Times New Roman" w:hAnsi="Times New Roman" w:cs="Times New Roman"/>
          <w:color w:val="000000"/>
          <w:sz w:val="28"/>
          <w:szCs w:val="28"/>
        </w:rPr>
        <w:t xml:space="preserve"> (о</w:t>
      </w:r>
      <w:r w:rsidRPr="00821D45">
        <w:rPr>
          <w:rFonts w:ascii="Times New Roman" w:hAnsi="Times New Roman" w:cs="Times New Roman"/>
          <w:color w:val="000000"/>
          <w:sz w:val="28"/>
          <w:szCs w:val="28"/>
        </w:rPr>
        <w:t>крытое акционерное общество). Сокращенное фирменное наименование Банка: АКБ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aps/>
          <w:color w:val="000000"/>
          <w:sz w:val="28"/>
          <w:szCs w:val="28"/>
        </w:rPr>
        <w:t xml:space="preserve"> </w:t>
      </w:r>
      <w:r>
        <w:rPr>
          <w:rFonts w:ascii="Times New Roman" w:hAnsi="Times New Roman" w:cs="Times New Roman"/>
          <w:caps/>
          <w:color w:val="000000"/>
          <w:sz w:val="28"/>
          <w:szCs w:val="28"/>
        </w:rPr>
        <w:t>” (о</w:t>
      </w:r>
      <w:r w:rsidRPr="00821D45">
        <w:rPr>
          <w:rFonts w:ascii="Times New Roman" w:hAnsi="Times New Roman" w:cs="Times New Roman"/>
          <w:caps/>
          <w:color w:val="000000"/>
          <w:sz w:val="28"/>
          <w:szCs w:val="28"/>
        </w:rPr>
        <w:t>АО)</w:t>
      </w:r>
      <w:r w:rsidRPr="00821D45">
        <w:rPr>
          <w:rFonts w:ascii="Times New Roman" w:hAnsi="Times New Roman" w:cs="Times New Roman"/>
          <w:color w:val="000000"/>
          <w:sz w:val="28"/>
          <w:szCs w:val="28"/>
        </w:rPr>
        <w:t xml:space="preserve">.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входит в банковскую систему Российской Федерации и в своей деятельности руководствуется законодательством Российской Федерации, нормативными документами Банка России, а также настоящим Уставом.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Акционерами Банка могут быть юридические и физические лица, в том числе иностранные, в соответствии с законодательством Российской Федерации.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создается без ограничения срока деятельности и осуществляет свою деятельность на основании лицензии Банка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имеет исключительное право использования своего фирменного (полного и сокращенного) наименования как на русском, так и на английском языке.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имеет круглую печать со своим полным фирменным наименованием на русском языке и указанием места нахождения, а также характера деятельности. В печати Банка может быть также указано фирменное наименование Банка на английском языке.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создается с целью получения прибыли путем эффективного использования временно свободных денежных средств акционеров, обслуживаемых Банком клиентов, предприятий и организаций (включая иностранных инвесторов).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участвовать самостоятельно или совместно с другими юридическими или физическими лицами в других коммерческих и некоммерческих организациях на территории Российской Федерации и иностранных государств в соответствии с применимым законодательством.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участвовать в союзах и ассоциациях кредитных организаций в соответствии с законодательством Российской Федерации.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Банк вправе иметь на территории Российской Федерации и иностранных государств филиалы, представительства, дочерние и зависимые общества в соответствии с законодательством и международными договорами Российской Федерации и (или) законодательством соответствующего иностранного государства.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создается без ограничения срока его деятельности и осуществляет свою деятельность на основании генеральной лицензии Банка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 своей деятельности руководствуется законодательством Российской Федерации, нормативными актами Банка России, а также настоящим уставом.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Уставный капитал Банка сформирован в сумме 1 344 840 000 (Один миллиард триста сорок четыре миллиона восемьсот сорок тысяч) рублей и разделен на 134 484 000 (Сто тридцать четыре миллиона четыреста восемьдесят четыре тысячи) штук обыкновенных именных бездокументарных акций, номинальной стоимостью 10 (Десять) рублей каждая акция.</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 Балансовая и чистая прибыль Банка определяются в порядке, предусмотренном законодательством Российской Федерации. Из балансовой прибыли уплачиваются соответствующие налоги, другие обязательные платежи в бюджет. Чистая прибыль Банка остается в распоряжении Банка и по решению общего собрания акционеров направляется в резервный фонд, на формирование иных фондов Банка, а также распределяется между акционерами в виде дивидендов, на другие цели в соответствии с действующим законодательством Российской Федерации.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Кредитные ресурсы Банка формируются за счет:</w:t>
      </w:r>
    </w:p>
    <w:p w:rsidR="00F47E02" w:rsidRPr="00821D45" w:rsidRDefault="00F47E02" w:rsidP="00472623">
      <w:pPr>
        <w:numPr>
          <w:ilvl w:val="0"/>
          <w:numId w:val="12"/>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собственных средств Банка (за исключением стоимости приобретенных им основных фондов, вложений в доли участия в уставном капитале банков и других юридических лиц и иных иммобилизованных средств);</w:t>
      </w:r>
    </w:p>
    <w:p w:rsidR="00F47E02" w:rsidRPr="00821D45" w:rsidRDefault="00F47E02" w:rsidP="00472623">
      <w:pPr>
        <w:numPr>
          <w:ilvl w:val="0"/>
          <w:numId w:val="12"/>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 юридических лиц, находящихся на их счетах в Банке;</w:t>
      </w:r>
    </w:p>
    <w:p w:rsidR="00F47E02" w:rsidRPr="00821D45" w:rsidRDefault="00F47E02" w:rsidP="00472623">
      <w:pPr>
        <w:numPr>
          <w:ilvl w:val="0"/>
          <w:numId w:val="12"/>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вкладов физических лиц,  привлеченных на определенный срок и до востребования;</w:t>
      </w:r>
    </w:p>
    <w:p w:rsidR="00F47E02" w:rsidRPr="00821D45" w:rsidRDefault="00F47E02" w:rsidP="00472623">
      <w:pPr>
        <w:numPr>
          <w:ilvl w:val="0"/>
          <w:numId w:val="12"/>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кредитов, полученных в других банках;</w:t>
      </w:r>
    </w:p>
    <w:p w:rsidR="00F47E02" w:rsidRPr="00821D45" w:rsidRDefault="00F47E02" w:rsidP="00472623">
      <w:pPr>
        <w:numPr>
          <w:ilvl w:val="0"/>
          <w:numId w:val="12"/>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иных привлеченных средств.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качестве ресурсов для кредитования может использоваться прибыль Банка, не распределенная в течение финансового года.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депонирует в Банке России в установленных им размерах и порядке часть привлеченных денежных средств в обязательные резервы, в соответствии с правилами и нормативами, установленными для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гарантирует тайну по операциям, счетам и вкладам своих клиентов и корреспондентов.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ведет бухгалтерский учет и предоставляет финансовую и иную отчетность в порядке, установленном законодательством Российской Федерации и иными нормативными правовыми актами, в том числе нормативными актами Банка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осуществляет обязательное раскрытие информации в объеме и порядке, установленными законодательством Российской Федерации, федеральным органом исполнительной власти по рынку ценных бумаг и Банком России.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Контроль за финансово-хозяйственной деятельностью Банка осуществляется Ревизионной комиссией, избираемой Общим собранием акционеров Банка сроком на 1 (один) год. Количество членов Ревизионной комиссии, порядок ее работы и компетенция определяются Положением о Ревизионной комиссии, утверждаемым Общим собранием акционеров.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Права и обязанности Президента, Председателя Правления и членов Правления определяются в соответствии с действующим законодательством и договором, заключаемым каждым из них с Банком.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может быть ликвидирован или реорганизован в соответствии с действующим законодательством Российской Федерации.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 изменения и дополнения, вносимые в Устав Банка и принятые общим собранием акционеров в соответствии с его компетенцией, регистрируются в Банке России в установленном порядке.</w:t>
      </w: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bookmarkStart w:id="8" w:name="_Toc47889824"/>
      <w:bookmarkStart w:id="9" w:name="_Toc243566507"/>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1.3 Организационная структура</w:t>
      </w:r>
      <w:bookmarkEnd w:id="8"/>
      <w:bookmarkEnd w:id="9"/>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Филиалы Банка (территориальные банки, отделения) не наделены правами юридических лиц и действуют на основании Положений, утверждаемых Правлением Банка, имеют печать с изображением эмблемы Банка со своим наименованием, а также другие печати и штампы, имеют баланс, который входит в баланс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Изменения в Устав, связанные с открытием, закрытием филиалов и изменением их статуса, вносятся по решению Ревизионной комиссии Банка не реже 1 раза в год.</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Филиалы Банка (территориальные банки) возглавляются Председателями, назначаемыми Президентом, Председателем Правления Банка, филиалы (отделения) – управляющими, назначаемыми по установленной номенклатуре.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Прием на работу и увольнение работников филиалов, заключение с ними трудовых договоров (контрактов) осуществляется руководителем филиала по установленной номенклатуре.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Внутренние структурные подразделения (операционные кассы вне кассового узла, обменные пункты и дополнительные офисы) территориального банка открываются, закрываются, пере подчиняются по решению правления территориального банка; внутренние структурные подразделения отделения – по решению правления территориального банка, в организационном подчинении которого находится отделение; внутренние структурные подразделения отделения в городе Москве — по приказу Президента, Председателя Правления Банка в порядке, установленном Банком и Банком России.</w:t>
      </w: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bookmarkStart w:id="10" w:name="_Toc47889827"/>
      <w:bookmarkStart w:id="11" w:name="_Toc243566508"/>
      <w:r w:rsidRPr="00821D45">
        <w:rPr>
          <w:rFonts w:ascii="Times New Roman" w:hAnsi="Times New Roman" w:cs="Times New Roman"/>
          <w:color w:val="000000"/>
          <w:sz w:val="28"/>
          <w:szCs w:val="28"/>
        </w:rPr>
        <w:t>1.4 Состав выполняемых операций</w:t>
      </w:r>
      <w:bookmarkEnd w:id="10"/>
      <w:bookmarkEnd w:id="11"/>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осуществляет следующие банковские операции:</w:t>
      </w:r>
    </w:p>
    <w:p w:rsidR="00F47E02" w:rsidRPr="00821D45" w:rsidRDefault="00F47E02" w:rsidP="00472623">
      <w:pPr>
        <w:numPr>
          <w:ilvl w:val="0"/>
          <w:numId w:val="13"/>
        </w:numPr>
        <w:spacing w:after="0" w:line="360" w:lineRule="auto"/>
        <w:ind w:left="0" w:firstLine="360"/>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привлекает денежные средства физических и юридических лиц во вклады (до востребования и на определенный срок);</w:t>
      </w:r>
    </w:p>
    <w:p w:rsidR="00F47E02" w:rsidRPr="00821D45" w:rsidRDefault="00F47E02" w:rsidP="00472623">
      <w:pPr>
        <w:numPr>
          <w:ilvl w:val="0"/>
          <w:numId w:val="13"/>
        </w:numPr>
        <w:spacing w:after="0" w:line="360" w:lineRule="auto"/>
        <w:ind w:left="0" w:firstLine="360"/>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размещает указанные выше привлеченные средства от своего имени и за свой счет;</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открывает и ведет банковские счета физических и юридических лиц, осуществляет расчеты по поручению клиентов, в том числе банков-корреспондентов;</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инкассирует денежные средства, векселя, платежные и расчетные документы и осуществляет кассовое обслуживание физических и юридических лиц;</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покупает и продает иностранную валюту в наличной и безналичной формах;</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привлекает во вклады и размещает драгоценные металлы;</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выдает банковские гарантии;</w:t>
      </w:r>
    </w:p>
    <w:p w:rsidR="00F47E02" w:rsidRPr="00821D45" w:rsidRDefault="00F47E02" w:rsidP="00472623">
      <w:pPr>
        <w:numPr>
          <w:ilvl w:val="0"/>
          <w:numId w:val="14"/>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осуществляет переводы денежных средств по поручениям физических лиц без открытия банковских счетов (за исключением почтовых переводов).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помимо перечисленных выше банковских операций осуществляет следующие сделки:</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выдает поручительства за третьих лиц, предусматривающие исполнение обязательств в денежной форме;</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приобретает права требования от третьих лиц исполнения обязательств в денежной форме;</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осуществляет доверительное управление денежными средствами и иным имуществом по договору с физическими и юридическими лицами;</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осуществляет операции с драгоценными  металлами и драгоценными камнями в соответствии с законодательством Российской Федерации;</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предоставляет в аренду физическим и юридическим лицам специальные помещения или находящиеся в них сейфы для хранения документов и ценностей;</w:t>
      </w:r>
    </w:p>
    <w:p w:rsidR="00F47E02" w:rsidRPr="00821D45" w:rsidRDefault="00F47E02" w:rsidP="00472623">
      <w:pPr>
        <w:numPr>
          <w:ilvl w:val="0"/>
          <w:numId w:val="15"/>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осуществляет лизинговые операции;</w:t>
      </w:r>
    </w:p>
    <w:p w:rsidR="00F47E02" w:rsidRPr="00821D45" w:rsidRDefault="00F47E02" w:rsidP="00472623">
      <w:pPr>
        <w:numPr>
          <w:ilvl w:val="0"/>
          <w:numId w:val="16"/>
        </w:numPr>
        <w:spacing w:after="0" w:line="360" w:lineRule="auto"/>
        <w:ind w:left="0" w:firstLine="42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оказывает брокерские, консультационные и информационные услуги.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осуществлять иные сделки в соответствии с законодательством Российской Федерации.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осуществлять обслуживание экспортно-импортных операций клиентов с применением различных финансовых инструментов, принятых в международной банковской практике.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осуществляет валютный контроль за операциями клиентов – физических и юридических лиц.</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эмитировать и обслуживать пластиковые карточки международных и российских платежных систем.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 перечисленные банковские операции и сделки осуществляются в рублях и в иностранной валюте.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а также вправе осуществлять доверительное управление указанными ценными бумагами по договору с юридическими и физическими лицами.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имеет право осуществлять профессиональную деятельность на рынке ценных бумаг в соответствии с федеральными законами.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пределах своей компетенции Банк обеспечивает защиту сведений, составляющих государственную тайну.</w:t>
      </w:r>
    </w:p>
    <w:p w:rsidR="00F47E02" w:rsidRPr="00CD6D86" w:rsidRDefault="00F47E02" w:rsidP="00472623">
      <w:pPr>
        <w:spacing w:after="0" w:line="360" w:lineRule="auto"/>
        <w:jc w:val="both"/>
        <w:rPr>
          <w:rFonts w:ascii="Times New Roman" w:hAnsi="Times New Roman" w:cs="Times New Roman"/>
          <w:color w:val="000000"/>
          <w:sz w:val="28"/>
          <w:szCs w:val="28"/>
        </w:rPr>
      </w:pPr>
      <w:bookmarkStart w:id="12" w:name="_Toc47889855"/>
      <w:bookmarkStart w:id="13" w:name="_Toc243566509"/>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1.5 Определение целей развития банка</w:t>
      </w:r>
      <w:bookmarkEnd w:id="12"/>
      <w:bookmarkEnd w:id="13"/>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Стратегическая цель Банка — выйти на качественно новый уровень обслуживания клиентов, сохранить позиции современного первоклассного конкурентоспособного банка. Это предполагает создание системы, устойчивой к возможным экономическим потрясениям в России и за рубежом, путем оптимального распределения пропорций между тремя основными направлениями деятельности — работой с физическими лицами, юридическими лицами и государством.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Для достижения этой цели необходимо решить следующие задачи: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Внедрить новую идеологию работы с клиентом, основанную на сочетании стандартных технологий с индивидуальным подходом к каждому клиенту. Обеспечить внедрение эффективных методов работы с клиентами и повышение качества их обслуживания.</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Усилить работу с корпоративными клиентами. Привлечь в Банк и закрепить на долгосрочную перспективу максимальное количество первоклассных клиентов. Увеличить удельный вес средств корпоративных клиентов в привлеченных средствах до 25%, долю кредитов и долговых обязательств корпоративных клиентов в активах нетто до 45%.</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Опираясь на широкую клиентскую базу, обеспечить сбалансированное состояние структуры активов и пассивов, внедрить современные методы управления ими. Диверсифицировать ресурсную базу Банка, в том числе используя внешнее фондирование.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Повысить удельный вес непроцентных доходов в структуре общих доходов Банка за счет развития услуг, предоставляемых клиентам. Обеспечить долю комиссионных доходов в чистом операционном доходе не менее 15%.</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Достигнуть роста капитала, позволяющего расширить инвестиции Банка в экономику России. Обеспечить отношение прибыли к капиталу не менее 20%.</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Внедрить в Банке полнофункциональную систему управления рисками.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Создать гибкую, адекватную быстроменяющейся обстановке систему управления Банком, основанную на экономических рычагах управления и оптимальной системе распределения полномочий. Повысить управляемость Банком путем расширения самостоятельности территориальных банков и совершенствования технологии принятия решений.</w:t>
      </w:r>
    </w:p>
    <w:p w:rsidR="00F47E02" w:rsidRDefault="00F47E02" w:rsidP="009D3EC8">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Оптимизировать филиальную сеть Банка с учетом как экономических, так и социальных факторов.</w:t>
      </w:r>
      <w:bookmarkStart w:id="14" w:name="_Toc243566510"/>
    </w:p>
    <w:p w:rsidR="00F47E02"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9D3EC8">
      <w:pPr>
        <w:spacing w:after="0" w:line="360" w:lineRule="auto"/>
        <w:ind w:left="709" w:hanging="6"/>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2 Анализ деятельности коммерческого банка и его </w:t>
      </w:r>
      <w:r w:rsidRPr="00821D45">
        <w:rPr>
          <w:rFonts w:ascii="Times New Roman" w:hAnsi="Times New Roman" w:cs="Times New Roman"/>
          <w:color w:val="000000"/>
          <w:sz w:val="28"/>
          <w:szCs w:val="28"/>
        </w:rPr>
        <w:br/>
        <w:t>финансового состояния</w:t>
      </w:r>
      <w:bookmarkEnd w:id="14"/>
    </w:p>
    <w:p w:rsidR="00F47E02" w:rsidRPr="00821D45" w:rsidRDefault="00F47E02" w:rsidP="00D2054A">
      <w:pPr>
        <w:spacing w:after="0" w:line="360" w:lineRule="auto"/>
        <w:ind w:firstLine="703"/>
        <w:jc w:val="both"/>
        <w:rPr>
          <w:rFonts w:ascii="Times New Roman" w:hAnsi="Times New Roman" w:cs="Times New Roman"/>
          <w:color w:val="000000"/>
          <w:sz w:val="28"/>
          <w:szCs w:val="28"/>
        </w:rPr>
      </w:pPr>
      <w:bookmarkStart w:id="15" w:name="_Toc243566511"/>
      <w:r w:rsidRPr="00821D45">
        <w:rPr>
          <w:rFonts w:ascii="Times New Roman" w:hAnsi="Times New Roman" w:cs="Times New Roman"/>
          <w:color w:val="000000"/>
          <w:sz w:val="28"/>
          <w:szCs w:val="28"/>
        </w:rPr>
        <w:t>2.1 Структура агрегированного бухгалтерского баланса банка и отчета о прибылях и убытках</w:t>
      </w:r>
      <w:bookmarkEnd w:id="15"/>
    </w:p>
    <w:p w:rsidR="00F47E02"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E20E5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Баланс </w:t>
      </w:r>
      <w:r w:rsidRPr="00821D45">
        <w:rPr>
          <w:rFonts w:ascii="Times New Roman" w:hAnsi="Times New Roman" w:cs="Times New Roman"/>
          <w:color w:val="000000"/>
          <w:sz w:val="28"/>
          <w:szCs w:val="28"/>
        </w:rPr>
        <w:t>АКЦИОНЕРНОГО КОММЕРЧЕСКОГО БАНКА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 на 01 июля 2009 года</w:t>
      </w:r>
      <w:r>
        <w:rPr>
          <w:rFonts w:ascii="Times New Roman" w:hAnsi="Times New Roman" w:cs="Times New Roman"/>
          <w:color w:val="000000"/>
          <w:sz w:val="28"/>
          <w:szCs w:val="28"/>
        </w:rPr>
        <w:t xml:space="preserve"> представлен в Приложении А.</w:t>
      </w:r>
    </w:p>
    <w:p w:rsidR="00F47E02" w:rsidRDefault="00F47E02"/>
    <w:p w:rsidR="00F47E02" w:rsidRPr="00821D45" w:rsidRDefault="00F47E02" w:rsidP="00472623">
      <w:pPr>
        <w:spacing w:after="0" w:line="360" w:lineRule="auto"/>
        <w:ind w:firstLine="703"/>
        <w:jc w:val="both"/>
        <w:rPr>
          <w:rFonts w:ascii="Times New Roman" w:hAnsi="Times New Roman" w:cs="Times New Roman"/>
          <w:color w:val="000000"/>
          <w:sz w:val="28"/>
          <w:szCs w:val="28"/>
        </w:rPr>
      </w:pPr>
      <w:bookmarkStart w:id="16" w:name="_Toc47889857"/>
      <w:bookmarkStart w:id="17" w:name="_Toc243566512"/>
      <w:r w:rsidRPr="00821D45">
        <w:rPr>
          <w:rFonts w:ascii="Times New Roman" w:hAnsi="Times New Roman" w:cs="Times New Roman"/>
          <w:color w:val="000000"/>
          <w:sz w:val="28"/>
          <w:szCs w:val="28"/>
        </w:rPr>
        <w:t>2.2 Стратегическое и оперативное планирование в банке</w:t>
      </w:r>
      <w:bookmarkEnd w:id="16"/>
      <w:bookmarkEnd w:id="17"/>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Оперативное планирование в банке реализовывается в экономическом отделе, где в течение года осуществляется планирование на следующий период учитывая: текущую информация, данные за прошлые периоды, планы партнеров банка.</w:t>
      </w:r>
    </w:p>
    <w:p w:rsidR="00F47E02"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качестве стратегического планирования в банке служит “Концепция развития банка”. Концепция составляется на 5 лет и служит основой для развития банка.</w:t>
      </w:r>
    </w:p>
    <w:p w:rsidR="00F47E02" w:rsidRPr="00CD6D86" w:rsidRDefault="00F47E02" w:rsidP="00472623">
      <w:pPr>
        <w:spacing w:after="0" w:line="360" w:lineRule="auto"/>
        <w:ind w:firstLine="709"/>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2.3 Финансовая устойчивость</w:t>
      </w: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Финансовая устойчивость </w:t>
      </w:r>
      <w:r>
        <w:rPr>
          <w:rFonts w:ascii="Times New Roman" w:hAnsi="Times New Roman" w:cs="Times New Roman"/>
          <w:color w:val="000000"/>
          <w:sz w:val="28"/>
          <w:szCs w:val="28"/>
        </w:rPr>
        <w:t>ТрансКредитБанка</w:t>
      </w:r>
      <w:r w:rsidRPr="00821D45">
        <w:rPr>
          <w:rFonts w:ascii="Times New Roman" w:hAnsi="Times New Roman" w:cs="Times New Roman"/>
          <w:color w:val="000000"/>
          <w:sz w:val="28"/>
          <w:szCs w:val="28"/>
        </w:rPr>
        <w:t xml:space="preserve"> подтверждается ведущими международными рейтинговыми агентствами. По материалам авторитетных деловых изданий России, банк также лидирует по многим позициям в рейтингах крупнейших финансовых институтов страны.</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ТрансКредитБанка</w:t>
      </w:r>
      <w:r w:rsidRPr="00821D45">
        <w:rPr>
          <w:rFonts w:ascii="Times New Roman" w:hAnsi="Times New Roman" w:cs="Times New Roman"/>
          <w:color w:val="000000"/>
          <w:sz w:val="28"/>
          <w:szCs w:val="28"/>
        </w:rPr>
        <w:t xml:space="preserve"> также является участником Государственной Системы Страхования Вкладов России, что означает, что банк удовлетворяет соответствующим требованиям финансовой стабильности, а вклады в нашем банке гарантированы государством.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Финансовая устойчивость </w:t>
      </w:r>
      <w:r>
        <w:rPr>
          <w:rFonts w:ascii="Times New Roman" w:hAnsi="Times New Roman" w:cs="Times New Roman"/>
          <w:color w:val="000000"/>
          <w:sz w:val="28"/>
          <w:szCs w:val="28"/>
        </w:rPr>
        <w:t>ТрансКредитБанка</w:t>
      </w:r>
      <w:r w:rsidRPr="00821D45">
        <w:rPr>
          <w:rFonts w:ascii="Times New Roman" w:hAnsi="Times New Roman" w:cs="Times New Roman"/>
          <w:color w:val="000000"/>
          <w:sz w:val="28"/>
          <w:szCs w:val="28"/>
        </w:rPr>
        <w:t xml:space="preserve"> подтверждается также рейтингами ведущих рейтинговых агентств мира – Fitch Ratings и Moody’s: на сегодня ему присвоены рейтинги Moody’s Baa3/P-3, Moody’s Interfax Rating Agency Aaa.ru, Fitch ВВВ, Fitch AAA(rus).</w:t>
      </w:r>
    </w:p>
    <w:p w:rsidR="00F47E02" w:rsidRPr="00CD6D86" w:rsidRDefault="00F47E02" w:rsidP="00472623">
      <w:pPr>
        <w:spacing w:after="0" w:line="360" w:lineRule="auto"/>
        <w:jc w:val="both"/>
        <w:rPr>
          <w:rFonts w:ascii="Times New Roman" w:hAnsi="Times New Roman" w:cs="Times New Roman"/>
          <w:color w:val="000000"/>
          <w:sz w:val="28"/>
          <w:szCs w:val="28"/>
        </w:rPr>
      </w:pPr>
    </w:p>
    <w:p w:rsidR="00F47E02" w:rsidRPr="00CD6D86" w:rsidRDefault="00F47E02" w:rsidP="00472623">
      <w:pPr>
        <w:spacing w:after="0" w:line="360" w:lineRule="auto"/>
        <w:ind w:firstLine="703"/>
        <w:jc w:val="both"/>
        <w:rPr>
          <w:rFonts w:ascii="Times New Roman" w:hAnsi="Times New Roman" w:cs="Times New Roman"/>
          <w:color w:val="000000"/>
          <w:sz w:val="28"/>
          <w:szCs w:val="28"/>
        </w:rPr>
      </w:pPr>
    </w:p>
    <w:p w:rsidR="00F47E02" w:rsidRPr="00CD6D86"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p>
    <w:p w:rsidR="00F47E02" w:rsidRDefault="00F47E02" w:rsidP="00D2054A">
      <w:pPr>
        <w:spacing w:after="0" w:line="360" w:lineRule="auto"/>
        <w:jc w:val="both"/>
        <w:rPr>
          <w:rFonts w:ascii="Times New Roman" w:hAnsi="Times New Roman" w:cs="Times New Roman"/>
          <w:color w:val="000000"/>
          <w:sz w:val="28"/>
          <w:szCs w:val="28"/>
        </w:rPr>
      </w:pPr>
    </w:p>
    <w:p w:rsidR="00F47E02" w:rsidRPr="00821D45" w:rsidRDefault="00F47E02" w:rsidP="00D2054A">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 Структура управления предприятием</w:t>
      </w:r>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bookmarkStart w:id="18" w:name="_Toc47889825"/>
      <w:bookmarkStart w:id="19" w:name="_Toc243566513"/>
      <w:r w:rsidRPr="00821D45">
        <w:rPr>
          <w:rFonts w:ascii="Times New Roman" w:hAnsi="Times New Roman" w:cs="Times New Roman"/>
          <w:color w:val="000000"/>
          <w:sz w:val="28"/>
          <w:szCs w:val="28"/>
        </w:rPr>
        <w:t>3.1 Управление банком</w:t>
      </w:r>
      <w:bookmarkEnd w:id="18"/>
      <w:bookmarkEnd w:id="19"/>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Органами управления Банка являются:</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noBreakHyphen/>
        <w:t xml:space="preserve"> Общее собрание акционеров Банка </w:t>
      </w:r>
      <w:r w:rsidRPr="00821D45">
        <w:rPr>
          <w:rFonts w:ascii="Times New Roman" w:hAnsi="Times New Roman" w:cs="Times New Roman"/>
          <w:color w:val="000000"/>
          <w:sz w:val="28"/>
          <w:szCs w:val="28"/>
        </w:rPr>
        <w:noBreakHyphen/>
        <w:t xml:space="preserve"> высший орган управления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noBreakHyphen/>
        <w:t> Совет Директоров Банка;</w:t>
      </w:r>
      <w:r w:rsidRPr="00821D45">
        <w:rPr>
          <w:rFonts w:ascii="Times New Roman" w:hAnsi="Times New Roman" w:cs="Times New Roman"/>
          <w:color w:val="000000"/>
          <w:sz w:val="28"/>
          <w:szCs w:val="28"/>
        </w:rPr>
        <w:tab/>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noBreakHyphen/>
        <w:t xml:space="preserve"> единоличный исполнительный орган </w:t>
      </w:r>
      <w:r w:rsidRPr="00821D45">
        <w:rPr>
          <w:rFonts w:ascii="Times New Roman" w:hAnsi="Times New Roman" w:cs="Times New Roman"/>
          <w:color w:val="000000"/>
          <w:sz w:val="28"/>
          <w:szCs w:val="28"/>
        </w:rPr>
        <w:noBreakHyphen/>
        <w:t xml:space="preserve"> Председатель Правления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noBreakHyphen/>
        <w:t xml:space="preserve"> коллегиальный исполнительный орган </w:t>
      </w:r>
      <w:r w:rsidRPr="00821D45">
        <w:rPr>
          <w:rFonts w:ascii="Times New Roman" w:hAnsi="Times New Roman" w:cs="Times New Roman"/>
          <w:color w:val="000000"/>
          <w:sz w:val="28"/>
          <w:szCs w:val="28"/>
        </w:rPr>
        <w:noBreakHyphen/>
        <w:t xml:space="preserve"> Правление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Высший орган управления </w:t>
      </w:r>
      <w:r>
        <w:rPr>
          <w:rFonts w:ascii="Times New Roman" w:hAnsi="Times New Roman" w:cs="Times New Roman"/>
          <w:color w:val="000000"/>
          <w:sz w:val="28"/>
          <w:szCs w:val="28"/>
        </w:rPr>
        <w:t>ТрансКредитБанка</w:t>
      </w:r>
      <w:r w:rsidRPr="00821D45">
        <w:rPr>
          <w:rFonts w:ascii="Times New Roman" w:hAnsi="Times New Roman" w:cs="Times New Roman"/>
          <w:color w:val="000000"/>
          <w:sz w:val="28"/>
          <w:szCs w:val="28"/>
        </w:rPr>
        <w:t xml:space="preserve"> – Общее годовое собрание акционеров; проводится один раз в год.</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Общее собрание акционеров решает следующие вопросы: утверждение годового отчета, рассматривает отчет ревизионной комиссии, отчет руководства, порядок распределения прибыли и ее использования  (размер и порядок выплаты дивидендов), план развития на следующий год, определяет стратегию развития банка, избирает  Совет Директоров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Основные вопросы, решаемые Советом директоров – корректировка стратегии развития банка, контроль за деятельностью исполнительных органов.</w:t>
      </w:r>
    </w:p>
    <w:p w:rsidR="00F47E02"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Следующим органом управления банка является Председатель Правления Банка. В системе Сберегательного банка формируется на уровне головного и территориальных банков и возглавляется Председателем банка. В состав Правления входят, кроме Председателя, его заместители, главный бухгалтер, руководители структурных подразделений (директора основных управлений). В компетенцию Правления входят вопросы кредитной политики, текущего руководства банком, формирования активов и пассивов.</w:t>
      </w:r>
    </w:p>
    <w:p w:rsidR="00F47E02" w:rsidRPr="00CD6D86" w:rsidRDefault="00F47E02" w:rsidP="00472623">
      <w:pPr>
        <w:spacing w:after="0" w:line="360" w:lineRule="auto"/>
        <w:ind w:firstLine="709"/>
        <w:jc w:val="both"/>
        <w:rPr>
          <w:rFonts w:ascii="Times New Roman" w:hAnsi="Times New Roman" w:cs="Times New Roman"/>
          <w:color w:val="000000"/>
          <w:sz w:val="28"/>
          <w:szCs w:val="28"/>
        </w:rPr>
      </w:pPr>
    </w:p>
    <w:p w:rsidR="00F47E02" w:rsidRPr="00CD6D86" w:rsidRDefault="00F47E02" w:rsidP="00472623">
      <w:pPr>
        <w:spacing w:after="0" w:line="360" w:lineRule="auto"/>
        <w:ind w:firstLine="703"/>
        <w:jc w:val="both"/>
        <w:rPr>
          <w:rFonts w:ascii="Times New Roman" w:hAnsi="Times New Roman" w:cs="Times New Roman"/>
          <w:color w:val="000000"/>
          <w:sz w:val="28"/>
          <w:szCs w:val="28"/>
        </w:rPr>
      </w:pPr>
      <w:bookmarkStart w:id="20" w:name="_Toc47889826"/>
      <w:bookmarkStart w:id="21" w:name="_Toc243566514"/>
      <w:r w:rsidRPr="00821D45">
        <w:rPr>
          <w:rFonts w:ascii="Times New Roman" w:hAnsi="Times New Roman" w:cs="Times New Roman"/>
          <w:color w:val="000000"/>
          <w:sz w:val="28"/>
          <w:szCs w:val="28"/>
        </w:rPr>
        <w:t>3.2 Функции отдельных подразделений и подотделов</w:t>
      </w:r>
      <w:bookmarkEnd w:id="20"/>
      <w:bookmarkEnd w:id="21"/>
    </w:p>
    <w:p w:rsidR="00F47E02" w:rsidRPr="00CD6D86"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Структурными подразделениями Абсолют Банка являются территориальные банки,  в состав которых входят отделения, которые в свою очередь могут иметь филиалы. В основу структурной организации положен территориальный принцип.</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Функции их заключаются в следующем:</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бухгалтерского учета и отчетности, обеспечивает контроль за использованием собственных и привлеченных ресурсов и управление ими, контроль за наличием и движением имущества банка и прочих материальных ценностей, формирование полной и достоверной информации о состоянии расчетов, ценных бумаг, обязательств, финансовых результатов, резервов;</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территориальный расчетный центр, задачей которого является ведение счетов отделений и обеспечение проведения расчетных операций, в т.ч. внутрибанковских;</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экономическое управление,  выполняющее функции систематизации и обобщения экономической информации в целом по территориальному банку, анализа  экономических нормативов деятельности банка,  анализа финансово-хозяйственной деятельности, выявляет причины, влияющие на  прибыль, и разрабатывает предложения по ее увеличению, изучает эффективность совершаемых операций и оказываемых услуг;</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кредитования, собирает и обобщает информацию о выданных кредитах в целом по территориальному банку, готовит представление и осуществляет выдачу кредитов по решению Кредитного комитета, контролирует использование и возврат кредитов;</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контрольно-ревизионное управление, осуществляет внутренний контроль за  деятельностью других подразделений банка, путем проведения документарных ревизий;</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юридическое управление, обеспечивает правовое обеспечение деятельности банка в целом и каждого отдельного подразделения;</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вкладов и расчетов, проводит аналитическую работу по сбору, обобщению, систематизации и координации работы по обслуживанию клиентов банка, как юридических, так и физических лиц;</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ценных бумаг и инвестиций, проводит методологическую работу по операциям с ценными бумагами,  осуществляет сбор и анализ информации по осуществляемым операциям, непосредственно проводит операции по покупке, продаже, хранению ценных бумаг;</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валютное управление, собирает, систематизирует и организует работу по  операциям с иностранной валютой, осуществляет методологическую работу;</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информатики и автоматизации банковских работ, проводит работы по обеспечению средствами связи, автоматизации, электронно-вычислительной техникой, организует работу по программному обеспечению и расчетам по банковским операциям, внедрению новых технологий и услуг с использованием средств вычислительной техники;</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безопасности, обеспечивает внутреннюю, информационную и общую безопасность деятельности банка;</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инкассации и кассового хозяйства, занимается сбором, доставкой и сопровождением денежных средств при перемещении их  между различными подразделениями банка и вне банковских подразделений, осуществляет сбор и систематизацию информации о движении денежных средств в целом по банку, ведет методологическую работу;</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развития материально-технической базы;</w:t>
      </w:r>
    </w:p>
    <w:p w:rsidR="00F47E02" w:rsidRPr="00821D45" w:rsidRDefault="00F47E02" w:rsidP="00472623">
      <w:pPr>
        <w:numPr>
          <w:ilvl w:val="0"/>
          <w:numId w:val="17"/>
        </w:numPr>
        <w:spacing w:after="0" w:line="360" w:lineRule="auto"/>
        <w:ind w:left="0"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управление по работе с персоналом и организационно-административным вопросам;</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821D45">
        <w:rPr>
          <w:rFonts w:ascii="Times New Roman" w:hAnsi="Times New Roman" w:cs="Times New Roman"/>
          <w:color w:val="000000"/>
          <w:sz w:val="28"/>
          <w:szCs w:val="28"/>
        </w:rPr>
        <w:t>перационное управление, занимает особое место среди подразделений территориального банка, выполняя функции по предоставлению реальных банковских услуг юридическим и физическим лицам, в то же время является базовым для осуществления функций большинства ранее рассмотренных управлений и отработки методологии проведения банковских операций в системе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p>
    <w:p w:rsidR="00F47E02" w:rsidRDefault="00F47E02" w:rsidP="00472623">
      <w:pPr>
        <w:spacing w:after="0" w:line="360" w:lineRule="auto"/>
        <w:ind w:firstLine="703"/>
        <w:jc w:val="both"/>
        <w:rPr>
          <w:rFonts w:ascii="Times New Roman" w:hAnsi="Times New Roman" w:cs="Times New Roman"/>
          <w:color w:val="000000"/>
          <w:sz w:val="28"/>
          <w:szCs w:val="28"/>
        </w:rPr>
      </w:pPr>
      <w:bookmarkStart w:id="22" w:name="_Toc47889828"/>
      <w:bookmarkStart w:id="23" w:name="_Toc243566515"/>
    </w:p>
    <w:p w:rsidR="00F47E02"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3.3 Кадровая политика банка</w:t>
      </w:r>
      <w:bookmarkEnd w:id="22"/>
      <w:bookmarkEnd w:id="23"/>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Банк рассматривает развитие кадрового потенциала как основное условие для выполнения поставленных стратегических задач. Интенсификация труда банковских работников, массовое освоение новых продуктов и технологий, расширение полномочий и ответственности специалистов и руководителей среднего звена требуют постановки новых целей и приоритетов системы управления персоналом. Главной задачей кадровой политики Банка на ближайшие годы будет дальнейшее повышение квалификации персонала Банка, создание коллективов профессионалов, способных обеспечить решение задач стратегического развития Банка. В качестве приоритетных направлений кадровой политики Банк видит повышение эффективности системы подбора, подготовки и расстановки кадров, совершенствование системы мотивации персонала, развитие корпоративной культуры.</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Сложившаяся система отбора наиболее перспективных выпускников ведущих высших и средних учебных заведений, предоставления им целевых стипендий Сбербанка России будет сочетаться с практикой привлечения наиболее подготовленных специалистов с опытом работы в других кредитно-финансовых учреждениях. Станет правилом проведение открытых конкурсов на замещение вакантных руководящих должностей и отдельных категорий сотрудников.</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Предстоит найти оптимальное сочетание материальных и нематериальных стимулов мотивации работников к повышению производительности и качества труда, развитию инициативы, поиску новых технологических решений. Существенно изменится система формирования резерва руководящих кадров, особенно высшего звена управления, планирования должностного роста перспективных молодых специалистов, повышения квалификации кадров. Получит развитие система ротации и перемещения по горизонтали управления наиболее квалифицированных специалистов. Банк будет создавать условия, позволяющие каждому сотруднику реализовать творческие способности, получить возможность повышения уровня профессиональных знаний, понимать систему оценки результатов его труда и перспективу должностного роста.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 целью закрепления перспективных кадров Банк будет поддерживать соответствие уровня оплаты труда специалистов Банка уровню оплаты в ведущих российских банках и финансовых компаниях, внедрять системы дифференцированной оплаты труда по конечному результату работы.</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Развитие корпоративной культуры в Банке будет направлено на создание у каждого сотрудника чувства сопричастности к достижению Банком высоких результатов, воспитание командного духа, создание коллектива единомышленников, нацеленного на достижение поставленных стратегических целей.</w:t>
      </w:r>
    </w:p>
    <w:p w:rsidR="00F47E02" w:rsidRPr="00CD6D86" w:rsidRDefault="00F47E02" w:rsidP="00472623">
      <w:pPr>
        <w:spacing w:after="0" w:line="360" w:lineRule="auto"/>
        <w:ind w:firstLine="709"/>
        <w:jc w:val="both"/>
        <w:rPr>
          <w:rFonts w:ascii="Times New Roman" w:hAnsi="Times New Roman" w:cs="Times New Roman"/>
          <w:color w:val="000000"/>
          <w:sz w:val="28"/>
          <w:szCs w:val="28"/>
        </w:rPr>
      </w:pPr>
      <w:bookmarkStart w:id="24" w:name="_Toc47889829"/>
      <w:bookmarkStart w:id="25" w:name="_Toc243566516"/>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3.4 Положение о коммерческой тайне банка</w:t>
      </w:r>
      <w:bookmarkEnd w:id="24"/>
      <w:bookmarkEnd w:id="25"/>
    </w:p>
    <w:p w:rsidR="00F47E02" w:rsidRPr="00821D45" w:rsidRDefault="00F47E02" w:rsidP="00472623">
      <w:pPr>
        <w:spacing w:after="0" w:line="360" w:lineRule="auto"/>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Коммерческую тайну банка составляют не являющиеся государственными секретами сведенья, связанные с технологической информации, управлением, финансами, и другой деятельности Банка, имеющие коммерческую ценность в силу неизвестности их третьим лицам, разглашение (неправомерная передача, утечка) которых, в том числе среди сотрудников Банка, может нанести Банку ущерб любого характера (материальный, финансовый, деловой репутации, имиджу и прочие).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Такая информация может быть создана как сотрудниками Банка в процессе выполнения ими своих служебных обязанностей, так и полученная Банком от сторонних лиц либо организаций, как на бумажных носителях, так и в электронном виде в процессе электронного документооборота между ними.</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Коммерческая тайна определяется правом Банка на определенную свободу коммерческой деятельности и защиту своих интересов как самостоятельного субъекта рыночных отношений.</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Коммерческая тайна является собственностью Банка, не подлежит разглашению, несанкционированной передаче, опубликованию в открытой печати, передачах по радио и телевидению.</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Коммерческая тайна, являющаяся результатом совместной деятельности двух и более банков или иных организаций, может быть собственностью двух и более банков или иных организаций. Это обстоятельство должно найти отражение в договоре или ином документе (соглашении), предусматривающем ответственность за разглашение.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Коммерческая тайна, являющаяся результатом выполнения работником Банка своих служебных обязанностей, составляет собственность Банка и не подлежит копированию и использованию в личных целях.</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Обеспечение защиты коммерческой тайны предусмотрено действующим законодательством РФ и является обязательной неотъемлемой составной частью деятельности Банка.</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За разглашение сведений, составляющих коммерческую тайну Банка, и нарушение порядка защиты таких сведений сотрудники Банка, а так же лица, уволенные из системы Сбербанка, привлекаются к ответственности в соответствии с законодательством РФ (УГ РФ статья 183)</w:t>
      </w: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Default="00F47E02" w:rsidP="00472623">
      <w:pPr>
        <w:spacing w:after="0" w:line="360" w:lineRule="auto"/>
        <w:jc w:val="both"/>
        <w:rPr>
          <w:rFonts w:ascii="Times New Roman" w:hAnsi="Times New Roman" w:cs="Times New Roman"/>
          <w:color w:val="000000"/>
          <w:sz w:val="28"/>
          <w:szCs w:val="28"/>
        </w:rPr>
      </w:pPr>
    </w:p>
    <w:p w:rsidR="00F47E02" w:rsidRPr="00CD6D86" w:rsidRDefault="00F47E02" w:rsidP="00472623">
      <w:pPr>
        <w:spacing w:after="0" w:line="360" w:lineRule="auto"/>
        <w:jc w:val="both"/>
        <w:rPr>
          <w:rFonts w:ascii="Times New Roman" w:hAnsi="Times New Roman" w:cs="Times New Roman"/>
          <w:color w:val="000000"/>
          <w:sz w:val="28"/>
          <w:szCs w:val="28"/>
        </w:rPr>
      </w:pPr>
    </w:p>
    <w:p w:rsidR="00F47E02" w:rsidRPr="002379FB" w:rsidRDefault="00F47E02" w:rsidP="002379FB">
      <w:pPr>
        <w:spacing w:after="0" w:line="360" w:lineRule="auto"/>
        <w:ind w:left="709" w:hanging="6"/>
        <w:jc w:val="both"/>
        <w:rPr>
          <w:rFonts w:ascii="Times New Roman" w:hAnsi="Times New Roman" w:cs="Times New Roman"/>
          <w:color w:val="000000"/>
          <w:sz w:val="28"/>
          <w:szCs w:val="28"/>
        </w:rPr>
      </w:pPr>
      <w:bookmarkStart w:id="26" w:name="_Toc47889858"/>
      <w:bookmarkStart w:id="27" w:name="_Toc243566517"/>
      <w:r w:rsidRPr="002379FB">
        <w:rPr>
          <w:rFonts w:ascii="Times New Roman" w:hAnsi="Times New Roman" w:cs="Times New Roman"/>
          <w:color w:val="000000"/>
          <w:sz w:val="28"/>
          <w:szCs w:val="28"/>
        </w:rPr>
        <w:t>4 Информационное обеспечение банка</w:t>
      </w:r>
    </w:p>
    <w:p w:rsidR="00F47E02" w:rsidRPr="002379FB" w:rsidRDefault="00F47E02" w:rsidP="002379FB">
      <w:pPr>
        <w:spacing w:after="0" w:line="360" w:lineRule="auto"/>
        <w:ind w:left="709" w:hanging="6"/>
        <w:jc w:val="both"/>
        <w:rPr>
          <w:rFonts w:ascii="Times New Roman" w:hAnsi="Times New Roman" w:cs="Times New Roman"/>
          <w:color w:val="000000"/>
          <w:sz w:val="28"/>
          <w:szCs w:val="28"/>
        </w:rPr>
      </w:pPr>
    </w:p>
    <w:p w:rsidR="00F47E02" w:rsidRPr="002379FB" w:rsidRDefault="00F47E02" w:rsidP="002379FB">
      <w:pPr>
        <w:spacing w:after="0" w:line="360" w:lineRule="auto"/>
        <w:ind w:left="709"/>
        <w:jc w:val="both"/>
        <w:rPr>
          <w:rFonts w:ascii="Times New Roman" w:hAnsi="Times New Roman" w:cs="Times New Roman"/>
          <w:color w:val="000000"/>
          <w:sz w:val="28"/>
          <w:szCs w:val="28"/>
        </w:rPr>
      </w:pPr>
      <w:r w:rsidRPr="002379FB">
        <w:rPr>
          <w:rFonts w:ascii="Times New Roman" w:hAnsi="Times New Roman" w:cs="Times New Roman"/>
          <w:color w:val="000000"/>
          <w:sz w:val="28"/>
          <w:szCs w:val="28"/>
        </w:rPr>
        <w:t>В работе банка используется система CustIS Bank.</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000000"/>
          <w:sz w:val="28"/>
          <w:szCs w:val="28"/>
        </w:rPr>
        <w:t xml:space="preserve">CustIS Bank - </w:t>
      </w:r>
      <w:r w:rsidRPr="002379FB">
        <w:rPr>
          <w:rFonts w:ascii="Times New Roman" w:hAnsi="Times New Roman" w:cs="Times New Roman"/>
          <w:color w:val="231F20"/>
          <w:sz w:val="28"/>
          <w:szCs w:val="28"/>
          <w:lang w:eastAsia="ru-RU"/>
        </w:rPr>
        <w:t>уникальная система автоматизации для банка</w:t>
      </w:r>
    </w:p>
    <w:p w:rsidR="00F47E02" w:rsidRPr="002379FB" w:rsidRDefault="00F47E02" w:rsidP="002379FB">
      <w:pPr>
        <w:autoSpaceDE w:val="0"/>
        <w:autoSpaceDN w:val="0"/>
        <w:adjustRightInd w:val="0"/>
        <w:spacing w:after="0" w:line="360" w:lineRule="auto"/>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на основе технологий CustIS® от компании Заказные ИнформСистемы.</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iCs/>
          <w:color w:val="000000"/>
          <w:sz w:val="28"/>
          <w:szCs w:val="28"/>
          <w:lang w:eastAsia="ru-RU"/>
        </w:rPr>
      </w:pPr>
      <w:r w:rsidRPr="002379FB">
        <w:rPr>
          <w:rFonts w:ascii="Times New Roman" w:hAnsi="Times New Roman" w:cs="Times New Roman"/>
          <w:color w:val="000000"/>
          <w:sz w:val="28"/>
          <w:szCs w:val="28"/>
          <w:lang w:eastAsia="ru-RU"/>
        </w:rPr>
        <w:t xml:space="preserve">CustIS Bank </w:t>
      </w:r>
      <w:r w:rsidRPr="002379FB">
        <w:rPr>
          <w:rFonts w:ascii="Times New Roman" w:hAnsi="Times New Roman" w:cs="Times New Roman"/>
          <w:iCs/>
          <w:color w:val="000000"/>
          <w:sz w:val="28"/>
          <w:szCs w:val="28"/>
          <w:lang w:eastAsia="ru-RU"/>
        </w:rPr>
        <w:t>– это:</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Настраиваемый документооборот по всем видам банковских</w:t>
      </w:r>
    </w:p>
    <w:p w:rsidR="00F47E02" w:rsidRPr="002379FB" w:rsidRDefault="00F47E02" w:rsidP="002379FB">
      <w:pPr>
        <w:autoSpaceDE w:val="0"/>
        <w:autoSpaceDN w:val="0"/>
        <w:adjustRightInd w:val="0"/>
        <w:spacing w:after="0" w:line="360" w:lineRule="auto"/>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документов. Обширная база аналитических данных о клиентах, контрагентах и партнерах банка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Расчетно-кассовое обслуживание. Корреспондентские отношения. Кредиты. Депозиты. Дилинг на валютном и фондовом рынках. Вексельные операции, ценные бумаги. Депозитарный учет и отчетность. Учет имущества банка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Универсальная учетно-аналитическая система. Поддержка различных видов учета и множества планов счетов, оформление налоговой декларации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Вся регламентированная и аналитическая отчетность банка. Online финансовый анализ на основе встроенного хранилища данных. Контроль лимитов и управление рисками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Администрирование и система безопасности. Полный внутренний аудит и ведение истории по всем изменениям в системе</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Интеграция с другими программными продуктами. Встроенная подсистема импорта-экспорта. Возможность интеграции в единый информационный комплекс с различными прикладными системами банка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xml:space="preserve">Специализированный инструментарий CustIS Accounting®, составляющий ядро банковской системы </w:t>
      </w:r>
      <w:r w:rsidRPr="002379FB">
        <w:rPr>
          <w:rFonts w:ascii="Times New Roman" w:hAnsi="Times New Roman" w:cs="Times New Roman"/>
          <w:bCs/>
          <w:color w:val="000000"/>
          <w:sz w:val="28"/>
          <w:szCs w:val="28"/>
          <w:lang w:eastAsia="ru-RU"/>
        </w:rPr>
        <w:t>CustIS Bank</w:t>
      </w:r>
      <w:r w:rsidRPr="002379FB">
        <w:rPr>
          <w:rFonts w:ascii="Times New Roman" w:hAnsi="Times New Roman" w:cs="Times New Roman"/>
          <w:color w:val="231F20"/>
          <w:sz w:val="28"/>
          <w:szCs w:val="28"/>
          <w:lang w:eastAsia="ru-RU"/>
        </w:rPr>
        <w:t xml:space="preserve">, разработан на промышленной </w:t>
      </w:r>
      <w:r w:rsidRPr="002379FB">
        <w:rPr>
          <w:rFonts w:ascii="Times New Roman" w:hAnsi="Times New Roman" w:cs="Times New Roman"/>
          <w:color w:val="000000"/>
          <w:sz w:val="28"/>
          <w:szCs w:val="28"/>
          <w:lang w:eastAsia="ru-RU"/>
        </w:rPr>
        <w:t>СУБД Oracle в современной</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000000"/>
          <w:sz w:val="28"/>
          <w:szCs w:val="28"/>
          <w:lang w:eastAsia="ru-RU"/>
        </w:rPr>
        <w:t>технологии экстремального программирования.</w:t>
      </w:r>
    </w:p>
    <w:p w:rsidR="00F47E02" w:rsidRPr="002379FB" w:rsidRDefault="00F47E02" w:rsidP="002379FB">
      <w:pPr>
        <w:autoSpaceDE w:val="0"/>
        <w:autoSpaceDN w:val="0"/>
        <w:adjustRightInd w:val="0"/>
        <w:spacing w:after="0" w:line="360" w:lineRule="auto"/>
        <w:jc w:val="both"/>
        <w:rPr>
          <w:rFonts w:ascii="Times New Roman" w:hAnsi="Times New Roman" w:cs="Times New Roman"/>
          <w:color w:val="231F20"/>
          <w:sz w:val="28"/>
          <w:szCs w:val="28"/>
          <w:lang w:eastAsia="ru-RU"/>
        </w:rPr>
      </w:pPr>
      <w:r w:rsidRPr="002379FB">
        <w:rPr>
          <w:rFonts w:ascii="Times New Roman" w:hAnsi="Times New Roman" w:cs="Times New Roman"/>
          <w:color w:val="000000"/>
          <w:sz w:val="28"/>
          <w:szCs w:val="28"/>
          <w:lang w:eastAsia="ru-RU"/>
        </w:rPr>
        <w:t>Именно это наше «ноу-хау» обеспечивает</w:t>
      </w:r>
      <w:r w:rsidRPr="002379FB">
        <w:rPr>
          <w:rFonts w:ascii="Times New Roman" w:hAnsi="Times New Roman" w:cs="Times New Roman"/>
          <w:color w:val="231F20"/>
          <w:sz w:val="28"/>
          <w:szCs w:val="28"/>
          <w:lang w:eastAsia="ru-RU"/>
        </w:rPr>
        <w:t xml:space="preserve"> быстроту и экономичность проектов создания на его основе индивидуальных банковских систем, способных к целенаправленному развитию.</w:t>
      </w:r>
    </w:p>
    <w:p w:rsidR="00F47E02" w:rsidRPr="002379FB" w:rsidRDefault="00F47E02" w:rsidP="002379FB">
      <w:pPr>
        <w:spacing w:after="0" w:line="360" w:lineRule="auto"/>
        <w:ind w:firstLine="703"/>
        <w:jc w:val="both"/>
        <w:rPr>
          <w:rFonts w:ascii="Times New Roman" w:hAnsi="Times New Roman" w:cs="Times New Roman"/>
          <w:iCs/>
          <w:color w:val="000000"/>
          <w:sz w:val="28"/>
          <w:szCs w:val="28"/>
          <w:lang w:eastAsia="ru-RU"/>
        </w:rPr>
      </w:pPr>
      <w:r w:rsidRPr="002379FB">
        <w:rPr>
          <w:rFonts w:ascii="Times New Roman" w:hAnsi="Times New Roman" w:cs="Times New Roman"/>
          <w:iCs/>
          <w:color w:val="000000"/>
          <w:sz w:val="28"/>
          <w:szCs w:val="28"/>
          <w:lang w:eastAsia="ru-RU"/>
        </w:rPr>
        <w:t>Инструментарий разработки</w:t>
      </w:r>
      <w:r w:rsidRPr="00B45127">
        <w:rPr>
          <w:rFonts w:ascii="Times New Roman" w:hAnsi="Times New Roman" w:cs="Times New Roman"/>
          <w:iCs/>
          <w:color w:val="000000"/>
          <w:sz w:val="28"/>
          <w:szCs w:val="28"/>
          <w:lang w:eastAsia="ru-RU"/>
        </w:rPr>
        <w:t>:</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СУБД Oracle9i – обеспечение неограниченной масштабируемости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ERwin (Logic Works) – проектирование схемы базы данных</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CVS</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Concurrent</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Versions</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System</w:t>
      </w:r>
      <w:r w:rsidRPr="002379FB">
        <w:rPr>
          <w:rFonts w:ascii="Times New Roman" w:hAnsi="Times New Roman" w:cs="Times New Roman"/>
          <w:color w:val="231F20"/>
          <w:sz w:val="28"/>
          <w:szCs w:val="28"/>
          <w:lang w:eastAsia="ru-RU"/>
        </w:rPr>
        <w:t>) – коллективная разработка текстов серверной части приложения и документации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Sybase PowerBuilder – разработка клиентской части приложения</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SGML</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Standard</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Generalized</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Markup</w:t>
      </w:r>
      <w:r w:rsidRPr="002379FB">
        <w:rPr>
          <w:rFonts w:ascii="Times New Roman" w:hAnsi="Times New Roman" w:cs="Times New Roman"/>
          <w:color w:val="231F20"/>
          <w:sz w:val="28"/>
          <w:szCs w:val="28"/>
          <w:lang w:eastAsia="ru-RU"/>
        </w:rPr>
        <w:t xml:space="preserve"> </w:t>
      </w:r>
      <w:r w:rsidRPr="002379FB">
        <w:rPr>
          <w:rFonts w:ascii="Times New Roman" w:hAnsi="Times New Roman" w:cs="Times New Roman"/>
          <w:color w:val="231F20"/>
          <w:sz w:val="28"/>
          <w:szCs w:val="28"/>
          <w:lang w:val="en-US" w:eastAsia="ru-RU"/>
        </w:rPr>
        <w:t>Language</w:t>
      </w:r>
      <w:r w:rsidRPr="002379FB">
        <w:rPr>
          <w:rFonts w:ascii="Times New Roman" w:hAnsi="Times New Roman" w:cs="Times New Roman"/>
          <w:color w:val="231F20"/>
          <w:sz w:val="28"/>
          <w:szCs w:val="28"/>
          <w:lang w:eastAsia="ru-RU"/>
        </w:rPr>
        <w:t>) – описание документации с возможностью ее публикации в различных текстовых и гипертекстовых форматах по стандартам ГОСТ и ISO</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Bugzilla – контроль качества процесса разработки</w:t>
      </w:r>
    </w:p>
    <w:p w:rsidR="00F47E02" w:rsidRPr="002379FB" w:rsidRDefault="00F47E02" w:rsidP="002379FB">
      <w:pPr>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Microsoft Excel – генерация отчетов</w:t>
      </w:r>
    </w:p>
    <w:p w:rsidR="00F47E02" w:rsidRPr="002379FB" w:rsidRDefault="00F47E02" w:rsidP="002379FB">
      <w:pPr>
        <w:spacing w:after="0" w:line="360" w:lineRule="auto"/>
        <w:ind w:firstLine="709"/>
        <w:jc w:val="both"/>
        <w:rPr>
          <w:rFonts w:ascii="Times New Roman" w:hAnsi="Times New Roman" w:cs="Times New Roman"/>
          <w:bCs/>
          <w:color w:val="000000"/>
          <w:sz w:val="28"/>
          <w:szCs w:val="28"/>
          <w:lang w:eastAsia="ru-RU"/>
        </w:rPr>
      </w:pPr>
      <w:r w:rsidRPr="002379FB">
        <w:rPr>
          <w:rFonts w:ascii="Times New Roman" w:hAnsi="Times New Roman" w:cs="Times New Roman"/>
          <w:bCs/>
          <w:color w:val="231F20"/>
          <w:sz w:val="28"/>
          <w:szCs w:val="28"/>
          <w:lang w:eastAsia="ru-RU"/>
        </w:rPr>
        <w:t>Функции</w:t>
      </w:r>
      <w:r w:rsidRPr="002379FB">
        <w:rPr>
          <w:rFonts w:ascii="Times New Roman" w:hAnsi="Times New Roman" w:cs="Times New Roman"/>
          <w:b/>
          <w:bCs/>
          <w:color w:val="231F20"/>
          <w:sz w:val="28"/>
          <w:szCs w:val="28"/>
          <w:lang w:eastAsia="ru-RU"/>
        </w:rPr>
        <w:t xml:space="preserve"> </w:t>
      </w:r>
      <w:r w:rsidRPr="002379FB">
        <w:rPr>
          <w:rFonts w:ascii="Times New Roman" w:hAnsi="Times New Roman" w:cs="Times New Roman"/>
          <w:bCs/>
          <w:color w:val="000000"/>
          <w:sz w:val="28"/>
          <w:szCs w:val="28"/>
          <w:lang w:eastAsia="ru-RU"/>
        </w:rPr>
        <w:t>CustIS Bank:</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Настраиваемый документооборот по всем видам банковских документов</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Визовый контроль документов (валютный, финансовый, блокировка операций)</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Многофункциональная база данных клиентов, контрагентов и партнеров банка, поддерживающая большие объемы аналитической информации (CRM)</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Нормативно-справочная информация. Возможность динамического добавления новых справочников</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Поддержка различных видов учета и множества планов счетов бухгалтерских (российского и международного), управленческого, налогового и др.</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Отчетность для ЦБ РФ, включая консолидированную, МСФО</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Операционная и аналитическая отчетность банка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Online финансовый анализ на основе встроенного хранилища данных</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Контроль лимитов и управление рисками в режиме online</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Расчетно-кассовое обслуживание (включая все виды картотек)</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Корреспондентские отношения (маршрутизация платежей через корреспондентские счета, включая планирование и контроль текущих платежей и остатков на корсчетах, SWIFT)</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Кредиты (коммерческие, кредитные линии, овердрафты)</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Депозиты</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Вексельные операции, ценные бумаги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Депозитарный учет и отчетность</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Налоговый учет и отчетность, оформление налоговой декларации</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Учет имущества банка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Система администрирования и информационной безопасности входит в состав базового ПО CustIS Accounting®</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Ролевой механизм распределения прав пользователей и настройки документооборота</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Полный внутренний аудит и ведение истории по всем изменениям в системе</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Система аутентификации и авторизации (реализована мощными средствами СУБД Oracle)</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Встроенная подсистема импорта-экспорта данных</w:t>
      </w:r>
    </w:p>
    <w:p w:rsidR="00F47E02" w:rsidRPr="002379FB" w:rsidRDefault="00F47E02" w:rsidP="002379FB">
      <w:pPr>
        <w:autoSpaceDE w:val="0"/>
        <w:autoSpaceDN w:val="0"/>
        <w:adjustRightInd w:val="0"/>
        <w:spacing w:after="0" w:line="360" w:lineRule="auto"/>
        <w:ind w:firstLine="709"/>
        <w:jc w:val="both"/>
        <w:rPr>
          <w:rFonts w:ascii="Times New Roman" w:hAnsi="Times New Roman" w:cs="Times New Roman"/>
          <w:color w:val="231F20"/>
          <w:sz w:val="28"/>
          <w:szCs w:val="28"/>
          <w:lang w:eastAsia="ru-RU"/>
        </w:rPr>
      </w:pPr>
      <w:r w:rsidRPr="002379FB">
        <w:rPr>
          <w:rFonts w:ascii="Times New Roman" w:hAnsi="Times New Roman" w:cs="Times New Roman"/>
          <w:color w:val="231F20"/>
          <w:sz w:val="28"/>
          <w:szCs w:val="28"/>
          <w:lang w:eastAsia="ru-RU"/>
        </w:rPr>
        <w:t xml:space="preserve">• Открытость системы обеспечивает возможность интеграции </w:t>
      </w:r>
      <w:r w:rsidRPr="002379FB">
        <w:rPr>
          <w:rFonts w:ascii="Times New Roman" w:hAnsi="Times New Roman" w:cs="Times New Roman"/>
          <w:bCs/>
          <w:color w:val="000000"/>
          <w:sz w:val="28"/>
          <w:szCs w:val="28"/>
          <w:lang w:eastAsia="ru-RU"/>
        </w:rPr>
        <w:t>CustIS Bank</w:t>
      </w:r>
      <w:r w:rsidRPr="002379FB">
        <w:rPr>
          <w:rFonts w:ascii="Times New Roman" w:hAnsi="Times New Roman" w:cs="Times New Roman"/>
          <w:b/>
          <w:bCs/>
          <w:color w:val="007A31"/>
          <w:sz w:val="28"/>
          <w:szCs w:val="28"/>
          <w:lang w:eastAsia="ru-RU"/>
        </w:rPr>
        <w:t xml:space="preserve"> </w:t>
      </w:r>
      <w:r w:rsidRPr="002379FB">
        <w:rPr>
          <w:rFonts w:ascii="Times New Roman" w:hAnsi="Times New Roman" w:cs="Times New Roman"/>
          <w:color w:val="231F20"/>
          <w:sz w:val="28"/>
          <w:szCs w:val="28"/>
          <w:lang w:eastAsia="ru-RU"/>
        </w:rPr>
        <w:t>в единый информационный комплекс с различными прикладными системами банка</w:t>
      </w:r>
    </w:p>
    <w:p w:rsidR="00F47E02" w:rsidRDefault="00F47E02" w:rsidP="00316B71">
      <w:pPr>
        <w:spacing w:after="0" w:line="360" w:lineRule="auto"/>
        <w:ind w:firstLine="703"/>
        <w:jc w:val="center"/>
        <w:rPr>
          <w:rFonts w:ascii="Times New Roman" w:hAnsi="Times New Roman" w:cs="Times New Roman"/>
          <w:color w:val="000000"/>
          <w:sz w:val="28"/>
          <w:szCs w:val="28"/>
        </w:rPr>
      </w:pPr>
      <w:r w:rsidRPr="002379FB">
        <w:rPr>
          <w:rFonts w:ascii="Times New Roman" w:hAnsi="Times New Roman" w:cs="Times New Roman"/>
          <w:color w:val="000000"/>
          <w:sz w:val="28"/>
          <w:szCs w:val="28"/>
        </w:rPr>
        <w:br w:type="page"/>
      </w:r>
      <w:r w:rsidRPr="00821D45">
        <w:rPr>
          <w:rFonts w:ascii="Times New Roman" w:hAnsi="Times New Roman" w:cs="Times New Roman"/>
          <w:color w:val="000000"/>
          <w:sz w:val="28"/>
          <w:szCs w:val="28"/>
        </w:rPr>
        <w:t>З</w:t>
      </w:r>
      <w:bookmarkEnd w:id="26"/>
      <w:r w:rsidRPr="00821D45">
        <w:rPr>
          <w:rFonts w:ascii="Times New Roman" w:hAnsi="Times New Roman" w:cs="Times New Roman"/>
          <w:color w:val="000000"/>
          <w:sz w:val="28"/>
          <w:szCs w:val="28"/>
        </w:rPr>
        <w:t>АКЛЮЧЕНИЕ</w:t>
      </w:r>
      <w:bookmarkEnd w:id="27"/>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p>
    <w:p w:rsidR="00F47E02" w:rsidRPr="00821D45" w:rsidRDefault="00F47E02" w:rsidP="00472623">
      <w:pPr>
        <w:spacing w:after="0" w:line="360" w:lineRule="auto"/>
        <w:ind w:firstLine="703"/>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Я проходил практику в отделе расчетно-кассового обслуживания юридических и физических лиц. Здесь я мог наблюдать за работой банковских служащих изнутри, что, несомненно, поможет мне в будущем. </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Также я беседовал с служащими других подразделов банка, что дало мне много новых знаний о банковской системе.</w:t>
      </w:r>
    </w:p>
    <w:p w:rsidR="00F47E02" w:rsidRPr="00821D45" w:rsidRDefault="00F47E02" w:rsidP="00472623">
      <w:pPr>
        <w:spacing w:after="0" w:line="360" w:lineRule="auto"/>
        <w:ind w:firstLine="709"/>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Особенно хотелось бы отметить в конце моей работы то радушие, которое проявили ко мне работники банка, несмотря на свою занятость, они всегда уделяли мне внимание и помогали в решении наших проблем, как текущих, так и связанных с предоставлением информации для отчета.</w:t>
      </w:r>
    </w:p>
    <w:p w:rsidR="00F47E02" w:rsidRDefault="00F47E02" w:rsidP="00550C81">
      <w:pPr>
        <w:spacing w:after="0" w:line="360" w:lineRule="auto"/>
        <w:ind w:firstLine="703"/>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br w:type="page"/>
      </w:r>
      <w:bookmarkStart w:id="28" w:name="_Toc243566518"/>
      <w:r w:rsidRPr="00821D45">
        <w:rPr>
          <w:rFonts w:ascii="Times New Roman" w:hAnsi="Times New Roman" w:cs="Times New Roman"/>
          <w:color w:val="000000"/>
          <w:sz w:val="28"/>
          <w:szCs w:val="28"/>
        </w:rPr>
        <w:t>СПИСОК ИСПОЛЬЗОВАННЫХ ИСТОЧНИКОВ</w:t>
      </w:r>
      <w:bookmarkEnd w:id="28"/>
    </w:p>
    <w:p w:rsidR="00F47E02" w:rsidRPr="00CD6D86" w:rsidRDefault="00F47E02" w:rsidP="00191F1B">
      <w:pPr>
        <w:spacing w:after="0" w:line="360" w:lineRule="auto"/>
        <w:ind w:firstLine="703"/>
        <w:rPr>
          <w:rFonts w:ascii="Times New Roman" w:hAnsi="Times New Roman" w:cs="Times New Roman"/>
          <w:color w:val="000000"/>
          <w:sz w:val="28"/>
          <w:szCs w:val="28"/>
        </w:rPr>
      </w:pPr>
    </w:p>
    <w:p w:rsidR="00F47E02" w:rsidRPr="00821D45" w:rsidRDefault="00F47E02" w:rsidP="00191F1B">
      <w:pPr>
        <w:numPr>
          <w:ilvl w:val="0"/>
          <w:numId w:val="18"/>
        </w:numPr>
        <w:spacing w:after="0" w:line="360" w:lineRule="auto"/>
        <w:ind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821D45">
        <w:rPr>
          <w:rFonts w:ascii="Times New Roman" w:hAnsi="Times New Roman" w:cs="Times New Roman"/>
          <w:color w:val="000000"/>
          <w:sz w:val="28"/>
          <w:szCs w:val="28"/>
        </w:rPr>
        <w:t>айт банка</w:t>
      </w:r>
      <w:r>
        <w:t xml:space="preserve"> </w:t>
      </w:r>
      <w:r w:rsidRPr="00191F1B">
        <w:rPr>
          <w:rFonts w:ascii="Times New Roman" w:hAnsi="Times New Roman" w:cs="Times New Roman"/>
          <w:sz w:val="28"/>
          <w:szCs w:val="28"/>
        </w:rPr>
        <w:t>-</w:t>
      </w:r>
      <w:r>
        <w:t xml:space="preserve"> </w:t>
      </w:r>
      <w:r w:rsidRPr="00134C1D">
        <w:rPr>
          <w:rFonts w:ascii="Times New Roman" w:hAnsi="Times New Roman" w:cs="Times New Roman"/>
          <w:sz w:val="28"/>
          <w:szCs w:val="28"/>
        </w:rPr>
        <w:t>http://www.absolutbank.ru</w:t>
      </w:r>
    </w:p>
    <w:p w:rsidR="00F47E02" w:rsidRPr="00191F1B" w:rsidRDefault="00F47E02" w:rsidP="00F23762">
      <w:pPr>
        <w:numPr>
          <w:ilvl w:val="0"/>
          <w:numId w:val="18"/>
        </w:numPr>
        <w:spacing w:after="0" w:line="360" w:lineRule="auto"/>
        <w:ind w:left="0" w:firstLine="709"/>
        <w:jc w:val="both"/>
        <w:rPr>
          <w:rFonts w:ascii="Times New Roman" w:hAnsi="Times New Roman" w:cs="Times New Roman"/>
          <w:color w:val="000000"/>
          <w:sz w:val="28"/>
          <w:szCs w:val="28"/>
        </w:rPr>
      </w:pPr>
      <w:r w:rsidRPr="00BF52AA">
        <w:rPr>
          <w:rFonts w:ascii="Times New Roman" w:hAnsi="Times New Roman" w:cs="Times New Roman"/>
          <w:color w:val="000000"/>
          <w:sz w:val="28"/>
          <w:szCs w:val="28"/>
        </w:rPr>
        <w:t>Ф</w:t>
      </w:r>
      <w:r>
        <w:rPr>
          <w:rFonts w:ascii="Times New Roman" w:hAnsi="Times New Roman" w:cs="Times New Roman"/>
          <w:color w:val="000000"/>
          <w:sz w:val="28"/>
          <w:szCs w:val="28"/>
        </w:rPr>
        <w:t>едеральный</w:t>
      </w:r>
      <w:r w:rsidRPr="00BF52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закон </w:t>
      </w:r>
      <w:r w:rsidRPr="00191F1B">
        <w:rPr>
          <w:rFonts w:ascii="Times New Roman" w:hAnsi="Times New Roman" w:cs="Times New Roman"/>
          <w:color w:val="000000"/>
          <w:sz w:val="28"/>
          <w:szCs w:val="28"/>
        </w:rPr>
        <w:t>"О БАНКАХ И БАНКОВСКОЙ ДЕЯТЕЛЬНОСТИ"</w:t>
      </w:r>
      <w:r>
        <w:rPr>
          <w:rFonts w:ascii="Times New Roman" w:hAnsi="Times New Roman" w:cs="Times New Roman"/>
          <w:color w:val="000000"/>
          <w:sz w:val="28"/>
          <w:szCs w:val="28"/>
        </w:rPr>
        <w:t xml:space="preserve"> - </w:t>
      </w:r>
      <w:r w:rsidRPr="00134C1D">
        <w:rPr>
          <w:rFonts w:ascii="Times New Roman" w:hAnsi="Times New Roman" w:cs="Times New Roman"/>
          <w:sz w:val="28"/>
          <w:szCs w:val="28"/>
        </w:rPr>
        <w:t>http://www.consultant.ru/popular/bank/</w:t>
      </w:r>
    </w:p>
    <w:p w:rsidR="00F47E02" w:rsidRPr="00A07ACF" w:rsidRDefault="00F47E02" w:rsidP="00191F1B">
      <w:pPr>
        <w:numPr>
          <w:ilvl w:val="0"/>
          <w:numId w:val="18"/>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Банковское </w:t>
      </w:r>
      <w:r w:rsidRPr="00BF52AA">
        <w:rPr>
          <w:rFonts w:ascii="Times New Roman" w:hAnsi="Times New Roman" w:cs="Times New Roman"/>
          <w:color w:val="000000"/>
          <w:sz w:val="28"/>
          <w:szCs w:val="28"/>
        </w:rPr>
        <w:t>законодательство</w:t>
      </w:r>
      <w:r>
        <w:rPr>
          <w:rFonts w:ascii="Times New Roman" w:hAnsi="Times New Roman" w:cs="Times New Roman"/>
          <w:color w:val="000000"/>
          <w:sz w:val="28"/>
          <w:szCs w:val="28"/>
        </w:rPr>
        <w:t xml:space="preserve"> - </w:t>
      </w:r>
      <w:r w:rsidRPr="00134C1D">
        <w:rPr>
          <w:rFonts w:ascii="Times New Roman" w:hAnsi="Times New Roman" w:cs="Times New Roman"/>
          <w:sz w:val="28"/>
          <w:szCs w:val="28"/>
        </w:rPr>
        <w:t>http://www.cbr.ru/analytics/bank_system/print.asp?file=bank_laws.htm</w:t>
      </w:r>
    </w:p>
    <w:p w:rsidR="00F47E02" w:rsidRDefault="00F47E02" w:rsidP="00191F1B">
      <w:pPr>
        <w:numPr>
          <w:ilvl w:val="0"/>
          <w:numId w:val="18"/>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Сайт разработчиков программы </w:t>
      </w:r>
      <w:r w:rsidRPr="00A07ACF">
        <w:rPr>
          <w:rFonts w:ascii="Times New Roman" w:hAnsi="Times New Roman" w:cs="Times New Roman"/>
          <w:color w:val="000000"/>
          <w:sz w:val="28"/>
          <w:szCs w:val="28"/>
        </w:rPr>
        <w:t>CustIS Bank</w:t>
      </w:r>
      <w:r>
        <w:rPr>
          <w:rFonts w:ascii="Times New Roman" w:hAnsi="Times New Roman" w:cs="Times New Roman"/>
          <w:color w:val="000000"/>
          <w:sz w:val="28"/>
          <w:szCs w:val="28"/>
        </w:rPr>
        <w:t xml:space="preserve"> - </w:t>
      </w:r>
      <w:r w:rsidRPr="00134C1D">
        <w:rPr>
          <w:rFonts w:ascii="Times New Roman" w:hAnsi="Times New Roman" w:cs="Times New Roman"/>
          <w:sz w:val="28"/>
          <w:szCs w:val="28"/>
        </w:rPr>
        <w:t>http://www.custis.ru/html/gross.htm</w:t>
      </w: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16695F">
      <w:pPr>
        <w:spacing w:after="0" w:line="360" w:lineRule="auto"/>
        <w:ind w:left="1069"/>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ПРИЛОЖЕНИЯ</w:t>
      </w: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16695F">
      <w:pPr>
        <w:spacing w:after="0" w:line="360" w:lineRule="auto"/>
        <w:ind w:left="1069"/>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А</w:t>
      </w:r>
    </w:p>
    <w:p w:rsidR="00F47E02" w:rsidRDefault="00F47E02" w:rsidP="0016695F">
      <w:pPr>
        <w:spacing w:after="0" w:line="360" w:lineRule="auto"/>
        <w:ind w:left="106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Баланс </w:t>
      </w:r>
      <w:r w:rsidRPr="00821D45">
        <w:rPr>
          <w:rFonts w:ascii="Times New Roman" w:hAnsi="Times New Roman" w:cs="Times New Roman"/>
          <w:color w:val="000000"/>
          <w:sz w:val="28"/>
          <w:szCs w:val="28"/>
        </w:rPr>
        <w:t>АКЦИОНЕРНОГО КОММЕРЧЕСКОГО БАНКА “</w:t>
      </w:r>
      <w:r w:rsidRPr="00D205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ТрансКредитБанк</w:t>
      </w:r>
      <w:r w:rsidRPr="00821D45">
        <w:rPr>
          <w:rFonts w:ascii="Times New Roman" w:hAnsi="Times New Roman" w:cs="Times New Roman"/>
          <w:color w:val="000000"/>
          <w:sz w:val="28"/>
          <w:szCs w:val="28"/>
        </w:rPr>
        <w:t xml:space="preserve"> ” на 01 июля 2009 года</w:t>
      </w:r>
    </w:p>
    <w:p w:rsidR="00F47E02" w:rsidRDefault="00F47E02" w:rsidP="0016695F">
      <w:pPr>
        <w:spacing w:after="0" w:line="360" w:lineRule="auto"/>
        <w:ind w:left="1069"/>
        <w:jc w:val="center"/>
        <w:rPr>
          <w:rFonts w:ascii="Times New Roman" w:hAnsi="Times New Roman" w:cs="Times New Roman"/>
          <w:color w:val="000000"/>
          <w:sz w:val="28"/>
          <w:szCs w:val="28"/>
        </w:rPr>
      </w:pPr>
    </w:p>
    <w:tbl>
      <w:tblPr>
        <w:tblW w:w="96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5"/>
        <w:gridCol w:w="3992"/>
        <w:gridCol w:w="2117"/>
        <w:gridCol w:w="1926"/>
      </w:tblGrid>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п/п</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Статьи балансового отчета</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Итого, тыс. руб.</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 том числе в иностр. валюте, тыс. руб.</w:t>
            </w:r>
          </w:p>
        </w:tc>
      </w:tr>
      <w:tr w:rsidR="00F47E02" w:rsidRPr="00821D45" w:rsidTr="0016695F">
        <w:tc>
          <w:tcPr>
            <w:tcW w:w="9680" w:type="dxa"/>
            <w:gridSpan w:val="4"/>
          </w:tcPr>
          <w:p w:rsidR="00F47E02" w:rsidRPr="00821D45" w:rsidRDefault="00F47E02" w:rsidP="0016695F">
            <w:pPr>
              <w:spacing w:after="0" w:line="360" w:lineRule="auto"/>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t>АКТИВЫ</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Денежные средства</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2 584 889</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1 214 472</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Средства кредитных организаций в Центральном банке Российской Федерации</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6 988 580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4 208 601</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Обязательные резервы</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237 809</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Средства в кредитных организациях</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1 238 114</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845 778</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Чистые вложения в ценные бумаги, оцениваемые по справедливой стоимости через прибыль или убыток</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1 687</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321</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5</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Чистая ссудная задолженность</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134 954 141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56 226 024</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6</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Чистые вложения в ценные бумаги и другие финансовые активы, имеющиеся в наличии для продажи  </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5 452 366</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879 625</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6.1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 xml:space="preserve">Инвестиции в дочерние и зависимые организации  </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205</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75</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7</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Чистые вложения в ценные бумаги, удерживаемые до погашения</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bl>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16695F">
      <w:pPr>
        <w:spacing w:after="0" w:line="360" w:lineRule="auto"/>
        <w:ind w:left="1069"/>
        <w:jc w:val="center"/>
        <w:rPr>
          <w:rFonts w:ascii="Times New Roman" w:hAnsi="Times New Roman" w:cs="Times New Roman"/>
          <w:color w:val="000000"/>
          <w:sz w:val="28"/>
          <w:szCs w:val="28"/>
        </w:rPr>
      </w:pPr>
      <w:r>
        <w:rPr>
          <w:rFonts w:ascii="Times New Roman" w:hAnsi="Times New Roman" w:cs="Times New Roman"/>
          <w:color w:val="000000"/>
          <w:sz w:val="28"/>
          <w:szCs w:val="28"/>
        </w:rPr>
        <w:t>Продолжение Приложения А</w:t>
      </w:r>
    </w:p>
    <w:tbl>
      <w:tblPr>
        <w:tblW w:w="96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5"/>
        <w:gridCol w:w="3992"/>
        <w:gridCol w:w="2117"/>
        <w:gridCol w:w="1926"/>
      </w:tblGrid>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8</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Основные средства, нематериальные активы и материальные запасы</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5 083 638</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9</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Прочие активы</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3 042 411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1 776 125</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10</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Всего активов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159 345 826</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w:t>
            </w:r>
          </w:p>
        </w:tc>
      </w:tr>
      <w:tr w:rsidR="00F47E02" w:rsidRPr="00821D45" w:rsidTr="0016695F">
        <w:tc>
          <w:tcPr>
            <w:tcW w:w="9680" w:type="dxa"/>
            <w:gridSpan w:val="4"/>
          </w:tcPr>
          <w:p w:rsidR="00F47E02" w:rsidRPr="00821D45" w:rsidRDefault="00F47E02" w:rsidP="0016695F">
            <w:pPr>
              <w:spacing w:after="0" w:line="360" w:lineRule="auto"/>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t>ПАССИВЫ</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Кредиты, депозиты и прочие средства Центрального банка Российской Федерации</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1 760 000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12</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Средства кредитных организаций</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85 763 451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45 575 325</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13</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Средства клиентов (некредитных организаций)</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47 044 433</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17 917 720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13.1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Вклады физических лиц</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27 465 974</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9 731 286</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14</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Финансовые обязательства, оцениваемые по справедливой стоимости через прибыль или убыток</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15</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Выпущенные долговые обязательства</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1 881 007</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478 930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16</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Прочие обязательства</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3 823 069</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1 573 379</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17</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Резервы на возможные потери по условным обязательствам кредитного характера, прочим возможным потерям и по операциям с резидентами офшорных зон</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265 457</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18</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Всего обязательств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140 537 417</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w:t>
            </w:r>
          </w:p>
        </w:tc>
      </w:tr>
    </w:tbl>
    <w:p w:rsidR="00F47E02" w:rsidRDefault="00F47E02" w:rsidP="00A07ACF">
      <w:pPr>
        <w:spacing w:after="0" w:line="360" w:lineRule="auto"/>
        <w:ind w:left="1069"/>
        <w:jc w:val="both"/>
        <w:rPr>
          <w:rFonts w:ascii="Times New Roman" w:hAnsi="Times New Roman" w:cs="Times New Roman"/>
          <w:color w:val="000000"/>
          <w:sz w:val="28"/>
          <w:szCs w:val="28"/>
        </w:rPr>
      </w:pPr>
    </w:p>
    <w:p w:rsidR="00F47E02" w:rsidRDefault="00F47E02" w:rsidP="0016695F">
      <w:pPr>
        <w:spacing w:after="0" w:line="360" w:lineRule="auto"/>
        <w:ind w:left="1069"/>
        <w:jc w:val="center"/>
        <w:rPr>
          <w:rFonts w:ascii="Times New Roman" w:hAnsi="Times New Roman" w:cs="Times New Roman"/>
          <w:color w:val="000000"/>
          <w:sz w:val="28"/>
          <w:szCs w:val="28"/>
        </w:rPr>
      </w:pPr>
      <w:r>
        <w:rPr>
          <w:rFonts w:ascii="Times New Roman" w:hAnsi="Times New Roman" w:cs="Times New Roman"/>
          <w:color w:val="000000"/>
          <w:sz w:val="28"/>
          <w:szCs w:val="28"/>
        </w:rPr>
        <w:t>Продолжение Приложения А</w:t>
      </w:r>
    </w:p>
    <w:tbl>
      <w:tblPr>
        <w:tblW w:w="96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5"/>
        <w:gridCol w:w="3992"/>
        <w:gridCol w:w="2117"/>
        <w:gridCol w:w="1926"/>
      </w:tblGrid>
      <w:tr w:rsidR="00F47E02" w:rsidRPr="00821D45" w:rsidTr="0016695F">
        <w:tc>
          <w:tcPr>
            <w:tcW w:w="9680" w:type="dxa"/>
            <w:gridSpan w:val="4"/>
          </w:tcPr>
          <w:p w:rsidR="00F47E02" w:rsidRPr="00821D45" w:rsidRDefault="00F47E02" w:rsidP="0016695F">
            <w:pPr>
              <w:spacing w:after="0" w:line="360" w:lineRule="auto"/>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t>ИСТОЧНИКИ СОБСТВЕННЫХ СРЕДСТВ</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19</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Средства акционеров (участников)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1 844 840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20</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Собственные акции (доли), выкупленные у акционеров (участников)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p w:rsidR="00F47E02" w:rsidRPr="00821D45" w:rsidRDefault="00F47E02" w:rsidP="0016695F">
            <w:pPr>
              <w:spacing w:after="0" w:line="360" w:lineRule="auto"/>
              <w:jc w:val="both"/>
              <w:rPr>
                <w:rFonts w:ascii="Times New Roman" w:hAnsi="Times New Roman" w:cs="Times New Roman"/>
                <w:color w:val="000000"/>
                <w:sz w:val="28"/>
                <w:szCs w:val="28"/>
              </w:rPr>
            </w:pP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21</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Эмиссионный доход</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12 639 731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22</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Резервный фонд</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2 683 633</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23</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Переоценка по справедливой стоимости ценных бумаг, имеющихся в наличии для продажи</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-475 232</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24</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Переоценка основных средств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634 290</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25</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Нераспределенная прибыль прошлых лет (непокрытые убытки прошлых лет)</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1 189 271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26</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Прибыль (убыток) за отчетный период</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291 876</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0</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27</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Всего источников собственных средств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18 808 409</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28</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Всего пассивов</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159 345 826</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w:t>
            </w:r>
          </w:p>
        </w:tc>
      </w:tr>
      <w:tr w:rsidR="00F47E02" w:rsidRPr="00821D45" w:rsidTr="0016695F">
        <w:tc>
          <w:tcPr>
            <w:tcW w:w="9680" w:type="dxa"/>
            <w:gridSpan w:val="4"/>
          </w:tcPr>
          <w:p w:rsidR="00F47E02" w:rsidRPr="00821D45" w:rsidRDefault="00F47E02" w:rsidP="0016695F">
            <w:pPr>
              <w:spacing w:after="0" w:line="360" w:lineRule="auto"/>
              <w:jc w:val="center"/>
              <w:rPr>
                <w:rFonts w:ascii="Times New Roman" w:hAnsi="Times New Roman" w:cs="Times New Roman"/>
                <w:color w:val="000000"/>
                <w:sz w:val="28"/>
                <w:szCs w:val="28"/>
              </w:rPr>
            </w:pPr>
            <w:r w:rsidRPr="00821D45">
              <w:rPr>
                <w:rFonts w:ascii="Times New Roman" w:hAnsi="Times New Roman" w:cs="Times New Roman"/>
                <w:color w:val="000000"/>
                <w:sz w:val="28"/>
                <w:szCs w:val="28"/>
              </w:rPr>
              <w:t>ВНЕБАЛАНСОВЫЕ ОБЯЗАТЕЛЬСТВА</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29</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Безотзывные обязательства кредитной организации</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28 484 681</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15 439 737</w:t>
            </w:r>
          </w:p>
        </w:tc>
      </w:tr>
      <w:tr w:rsidR="00F47E02" w:rsidRPr="00821D45" w:rsidTr="0016695F">
        <w:tc>
          <w:tcPr>
            <w:tcW w:w="1645"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30</w:t>
            </w:r>
          </w:p>
        </w:tc>
        <w:tc>
          <w:tcPr>
            <w:tcW w:w="3992"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Выданные кредитной организацией гарантии и поручительства</w:t>
            </w:r>
          </w:p>
        </w:tc>
        <w:tc>
          <w:tcPr>
            <w:tcW w:w="2117"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2 828 823</w:t>
            </w:r>
          </w:p>
        </w:tc>
        <w:tc>
          <w:tcPr>
            <w:tcW w:w="1926" w:type="dxa"/>
          </w:tcPr>
          <w:p w:rsidR="00F47E02" w:rsidRPr="00821D45" w:rsidRDefault="00F47E02" w:rsidP="0016695F">
            <w:pPr>
              <w:spacing w:after="0" w:line="360" w:lineRule="auto"/>
              <w:jc w:val="both"/>
              <w:rPr>
                <w:rFonts w:ascii="Times New Roman" w:hAnsi="Times New Roman" w:cs="Times New Roman"/>
                <w:color w:val="000000"/>
                <w:sz w:val="28"/>
                <w:szCs w:val="28"/>
              </w:rPr>
            </w:pPr>
            <w:r w:rsidRPr="00821D45">
              <w:rPr>
                <w:rFonts w:ascii="Times New Roman" w:hAnsi="Times New Roman" w:cs="Times New Roman"/>
                <w:color w:val="000000"/>
                <w:sz w:val="28"/>
                <w:szCs w:val="28"/>
              </w:rPr>
              <w:t>1 797 392</w:t>
            </w:r>
          </w:p>
        </w:tc>
      </w:tr>
    </w:tbl>
    <w:p w:rsidR="00F47E02" w:rsidRPr="00821D45" w:rsidRDefault="00F47E02" w:rsidP="0016695F">
      <w:pPr>
        <w:spacing w:after="0" w:line="360" w:lineRule="auto"/>
        <w:ind w:left="1069"/>
        <w:jc w:val="center"/>
        <w:rPr>
          <w:rFonts w:ascii="Times New Roman" w:hAnsi="Times New Roman" w:cs="Times New Roman"/>
          <w:color w:val="000000"/>
          <w:sz w:val="28"/>
          <w:szCs w:val="28"/>
        </w:rPr>
      </w:pPr>
      <w:bookmarkStart w:id="29" w:name="_GoBack"/>
      <w:bookmarkEnd w:id="29"/>
    </w:p>
    <w:sectPr w:rsidR="00F47E02" w:rsidRPr="00821D45" w:rsidSect="006E0851">
      <w:footerReference w:type="default" r:id="rId7"/>
      <w:pgSz w:w="11906" w:h="16838"/>
      <w:pgMar w:top="1134" w:right="567" w:bottom="1134" w:left="1701" w:header="709"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02" w:rsidRDefault="00F47E02" w:rsidP="00470699">
      <w:pPr>
        <w:spacing w:after="0" w:line="240" w:lineRule="auto"/>
      </w:pPr>
      <w:r>
        <w:separator/>
      </w:r>
    </w:p>
  </w:endnote>
  <w:endnote w:type="continuationSeparator" w:id="0">
    <w:p w:rsidR="00F47E02" w:rsidRDefault="00F47E02" w:rsidP="0047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02" w:rsidRPr="00D526FA" w:rsidRDefault="00F47E02">
    <w:pPr>
      <w:pStyle w:val="a8"/>
      <w:jc w:val="center"/>
      <w:rPr>
        <w:rFonts w:ascii="Times New Roman" w:hAnsi="Times New Roman" w:cs="Times New Roman"/>
        <w:sz w:val="28"/>
        <w:szCs w:val="28"/>
      </w:rPr>
    </w:pPr>
    <w:r w:rsidRPr="00D526FA">
      <w:rPr>
        <w:rFonts w:ascii="Times New Roman" w:hAnsi="Times New Roman" w:cs="Times New Roman"/>
        <w:sz w:val="28"/>
        <w:szCs w:val="28"/>
      </w:rPr>
      <w:fldChar w:fldCharType="begin"/>
    </w:r>
    <w:r w:rsidRPr="00D526FA">
      <w:rPr>
        <w:rFonts w:ascii="Times New Roman" w:hAnsi="Times New Roman" w:cs="Times New Roman"/>
        <w:sz w:val="28"/>
        <w:szCs w:val="28"/>
      </w:rPr>
      <w:instrText xml:space="preserve"> PAGE   \* MERGEFORMAT </w:instrText>
    </w:r>
    <w:r w:rsidRPr="00D526FA">
      <w:rPr>
        <w:rFonts w:ascii="Times New Roman" w:hAnsi="Times New Roman" w:cs="Times New Roman"/>
        <w:sz w:val="28"/>
        <w:szCs w:val="28"/>
      </w:rPr>
      <w:fldChar w:fldCharType="separate"/>
    </w:r>
    <w:r w:rsidR="0075697C">
      <w:rPr>
        <w:rFonts w:ascii="Times New Roman" w:hAnsi="Times New Roman" w:cs="Times New Roman"/>
        <w:noProof/>
        <w:sz w:val="28"/>
        <w:szCs w:val="28"/>
      </w:rPr>
      <w:t>2</w:t>
    </w:r>
    <w:r w:rsidRPr="00D526FA">
      <w:rPr>
        <w:rFonts w:ascii="Times New Roman" w:hAnsi="Times New Roman" w:cs="Times New Roman"/>
        <w:sz w:val="28"/>
        <w:szCs w:val="28"/>
      </w:rPr>
      <w:fldChar w:fldCharType="end"/>
    </w:r>
  </w:p>
  <w:p w:rsidR="00F47E02" w:rsidRDefault="00F47E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02" w:rsidRDefault="00F47E02" w:rsidP="00470699">
      <w:pPr>
        <w:spacing w:after="0" w:line="240" w:lineRule="auto"/>
      </w:pPr>
      <w:r>
        <w:separator/>
      </w:r>
    </w:p>
  </w:footnote>
  <w:footnote w:type="continuationSeparator" w:id="0">
    <w:p w:rsidR="00F47E02" w:rsidRDefault="00F47E02" w:rsidP="00470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54D1"/>
    <w:multiLevelType w:val="hybridMultilevel"/>
    <w:tmpl w:val="510C8B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576DFF"/>
    <w:multiLevelType w:val="multilevel"/>
    <w:tmpl w:val="5CCEC562"/>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3525D54"/>
    <w:multiLevelType w:val="hybridMultilevel"/>
    <w:tmpl w:val="4F3E848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14C162FD"/>
    <w:multiLevelType w:val="hybridMultilevel"/>
    <w:tmpl w:val="92843730"/>
    <w:lvl w:ilvl="0" w:tplc="04190001">
      <w:start w:val="1"/>
      <w:numFmt w:val="bullet"/>
      <w:lvlText w:val=""/>
      <w:lvlJc w:val="left"/>
      <w:pPr>
        <w:tabs>
          <w:tab w:val="num" w:pos="4140"/>
        </w:tabs>
        <w:ind w:left="4140" w:hanging="360"/>
      </w:pPr>
      <w:rPr>
        <w:rFonts w:ascii="Symbol" w:hAnsi="Symbol" w:hint="default"/>
      </w:rPr>
    </w:lvl>
    <w:lvl w:ilvl="1" w:tplc="04190003">
      <w:start w:val="1"/>
      <w:numFmt w:val="bullet"/>
      <w:lvlText w:val="o"/>
      <w:lvlJc w:val="left"/>
      <w:pPr>
        <w:tabs>
          <w:tab w:val="num" w:pos="4860"/>
        </w:tabs>
        <w:ind w:left="4860" w:hanging="360"/>
      </w:pPr>
      <w:rPr>
        <w:rFonts w:ascii="Courier New" w:hAnsi="Courier New" w:hint="default"/>
      </w:rPr>
    </w:lvl>
    <w:lvl w:ilvl="2" w:tplc="04190005">
      <w:start w:val="1"/>
      <w:numFmt w:val="bullet"/>
      <w:lvlText w:val=""/>
      <w:lvlJc w:val="left"/>
      <w:pPr>
        <w:tabs>
          <w:tab w:val="num" w:pos="5580"/>
        </w:tabs>
        <w:ind w:left="5580" w:hanging="360"/>
      </w:pPr>
      <w:rPr>
        <w:rFonts w:ascii="Wingdings" w:hAnsi="Wingdings" w:hint="default"/>
      </w:rPr>
    </w:lvl>
    <w:lvl w:ilvl="3" w:tplc="04190001">
      <w:start w:val="1"/>
      <w:numFmt w:val="bullet"/>
      <w:lvlText w:val=""/>
      <w:lvlJc w:val="left"/>
      <w:pPr>
        <w:tabs>
          <w:tab w:val="num" w:pos="6300"/>
        </w:tabs>
        <w:ind w:left="6300" w:hanging="360"/>
      </w:pPr>
      <w:rPr>
        <w:rFonts w:ascii="Symbol" w:hAnsi="Symbol" w:hint="default"/>
      </w:rPr>
    </w:lvl>
    <w:lvl w:ilvl="4" w:tplc="04190003">
      <w:start w:val="1"/>
      <w:numFmt w:val="bullet"/>
      <w:lvlText w:val="o"/>
      <w:lvlJc w:val="left"/>
      <w:pPr>
        <w:tabs>
          <w:tab w:val="num" w:pos="7020"/>
        </w:tabs>
        <w:ind w:left="7020" w:hanging="360"/>
      </w:pPr>
      <w:rPr>
        <w:rFonts w:ascii="Courier New" w:hAnsi="Courier New" w:hint="default"/>
      </w:rPr>
    </w:lvl>
    <w:lvl w:ilvl="5" w:tplc="04190005">
      <w:start w:val="1"/>
      <w:numFmt w:val="bullet"/>
      <w:lvlText w:val=""/>
      <w:lvlJc w:val="left"/>
      <w:pPr>
        <w:tabs>
          <w:tab w:val="num" w:pos="7740"/>
        </w:tabs>
        <w:ind w:left="7740" w:hanging="360"/>
      </w:pPr>
      <w:rPr>
        <w:rFonts w:ascii="Wingdings" w:hAnsi="Wingdings" w:hint="default"/>
      </w:rPr>
    </w:lvl>
    <w:lvl w:ilvl="6" w:tplc="04190001">
      <w:start w:val="1"/>
      <w:numFmt w:val="bullet"/>
      <w:lvlText w:val=""/>
      <w:lvlJc w:val="left"/>
      <w:pPr>
        <w:tabs>
          <w:tab w:val="num" w:pos="8460"/>
        </w:tabs>
        <w:ind w:left="8460" w:hanging="360"/>
      </w:pPr>
      <w:rPr>
        <w:rFonts w:ascii="Symbol" w:hAnsi="Symbol" w:hint="default"/>
      </w:rPr>
    </w:lvl>
    <w:lvl w:ilvl="7" w:tplc="04190003">
      <w:start w:val="1"/>
      <w:numFmt w:val="bullet"/>
      <w:lvlText w:val="o"/>
      <w:lvlJc w:val="left"/>
      <w:pPr>
        <w:tabs>
          <w:tab w:val="num" w:pos="9180"/>
        </w:tabs>
        <w:ind w:left="9180" w:hanging="360"/>
      </w:pPr>
      <w:rPr>
        <w:rFonts w:ascii="Courier New" w:hAnsi="Courier New" w:hint="default"/>
      </w:rPr>
    </w:lvl>
    <w:lvl w:ilvl="8" w:tplc="04190005">
      <w:start w:val="1"/>
      <w:numFmt w:val="bullet"/>
      <w:lvlText w:val=""/>
      <w:lvlJc w:val="left"/>
      <w:pPr>
        <w:tabs>
          <w:tab w:val="num" w:pos="9900"/>
        </w:tabs>
        <w:ind w:left="9900" w:hanging="360"/>
      </w:pPr>
      <w:rPr>
        <w:rFonts w:ascii="Wingdings" w:hAnsi="Wingdings" w:hint="default"/>
      </w:rPr>
    </w:lvl>
  </w:abstractNum>
  <w:abstractNum w:abstractNumId="4">
    <w:nsid w:val="19603092"/>
    <w:multiLevelType w:val="hybridMultilevel"/>
    <w:tmpl w:val="32B6E9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0353C1F"/>
    <w:multiLevelType w:val="hybridMultilevel"/>
    <w:tmpl w:val="3EDCF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06364B"/>
    <w:multiLevelType w:val="hybridMultilevel"/>
    <w:tmpl w:val="27C2BF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3F5250"/>
    <w:multiLevelType w:val="hybridMultilevel"/>
    <w:tmpl w:val="1266560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41B03D32"/>
    <w:multiLevelType w:val="hybridMultilevel"/>
    <w:tmpl w:val="D632C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0776D4"/>
    <w:multiLevelType w:val="hybridMultilevel"/>
    <w:tmpl w:val="CF88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DF411B"/>
    <w:multiLevelType w:val="hybridMultilevel"/>
    <w:tmpl w:val="70D2A06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1">
    <w:nsid w:val="653E480A"/>
    <w:multiLevelType w:val="hybridMultilevel"/>
    <w:tmpl w:val="DCEE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541923"/>
    <w:multiLevelType w:val="hybridMultilevel"/>
    <w:tmpl w:val="303A7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240CCD"/>
    <w:multiLevelType w:val="hybridMultilevel"/>
    <w:tmpl w:val="74B0ED5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6E1748B3"/>
    <w:multiLevelType w:val="hybridMultilevel"/>
    <w:tmpl w:val="A3D25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2C186F"/>
    <w:multiLevelType w:val="hybridMultilevel"/>
    <w:tmpl w:val="2812B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FF3A1B"/>
    <w:multiLevelType w:val="hybridMultilevel"/>
    <w:tmpl w:val="E11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1B7BF2"/>
    <w:multiLevelType w:val="hybridMultilevel"/>
    <w:tmpl w:val="3B36FD32"/>
    <w:lvl w:ilvl="0" w:tplc="04190001">
      <w:start w:val="1"/>
      <w:numFmt w:val="bullet"/>
      <w:lvlText w:val=""/>
      <w:lvlJc w:val="left"/>
      <w:pPr>
        <w:tabs>
          <w:tab w:val="num" w:pos="4140"/>
        </w:tabs>
        <w:ind w:left="4140" w:hanging="360"/>
      </w:pPr>
      <w:rPr>
        <w:rFonts w:ascii="Symbol" w:hAnsi="Symbol" w:hint="default"/>
      </w:rPr>
    </w:lvl>
    <w:lvl w:ilvl="1" w:tplc="04190003">
      <w:start w:val="1"/>
      <w:numFmt w:val="bullet"/>
      <w:lvlText w:val="o"/>
      <w:lvlJc w:val="left"/>
      <w:pPr>
        <w:tabs>
          <w:tab w:val="num" w:pos="4860"/>
        </w:tabs>
        <w:ind w:left="4860" w:hanging="360"/>
      </w:pPr>
      <w:rPr>
        <w:rFonts w:ascii="Courier New" w:hAnsi="Courier New" w:hint="default"/>
      </w:rPr>
    </w:lvl>
    <w:lvl w:ilvl="2" w:tplc="04190005">
      <w:start w:val="1"/>
      <w:numFmt w:val="bullet"/>
      <w:lvlText w:val=""/>
      <w:lvlJc w:val="left"/>
      <w:pPr>
        <w:tabs>
          <w:tab w:val="num" w:pos="5580"/>
        </w:tabs>
        <w:ind w:left="5580" w:hanging="360"/>
      </w:pPr>
      <w:rPr>
        <w:rFonts w:ascii="Wingdings" w:hAnsi="Wingdings" w:hint="default"/>
      </w:rPr>
    </w:lvl>
    <w:lvl w:ilvl="3" w:tplc="04190001">
      <w:start w:val="1"/>
      <w:numFmt w:val="bullet"/>
      <w:lvlText w:val=""/>
      <w:lvlJc w:val="left"/>
      <w:pPr>
        <w:tabs>
          <w:tab w:val="num" w:pos="6300"/>
        </w:tabs>
        <w:ind w:left="6300" w:hanging="360"/>
      </w:pPr>
      <w:rPr>
        <w:rFonts w:ascii="Symbol" w:hAnsi="Symbol" w:hint="default"/>
      </w:rPr>
    </w:lvl>
    <w:lvl w:ilvl="4" w:tplc="04190003">
      <w:start w:val="1"/>
      <w:numFmt w:val="bullet"/>
      <w:lvlText w:val="o"/>
      <w:lvlJc w:val="left"/>
      <w:pPr>
        <w:tabs>
          <w:tab w:val="num" w:pos="7020"/>
        </w:tabs>
        <w:ind w:left="7020" w:hanging="360"/>
      </w:pPr>
      <w:rPr>
        <w:rFonts w:ascii="Courier New" w:hAnsi="Courier New" w:hint="default"/>
      </w:rPr>
    </w:lvl>
    <w:lvl w:ilvl="5" w:tplc="04190005">
      <w:start w:val="1"/>
      <w:numFmt w:val="bullet"/>
      <w:lvlText w:val=""/>
      <w:lvlJc w:val="left"/>
      <w:pPr>
        <w:tabs>
          <w:tab w:val="num" w:pos="7740"/>
        </w:tabs>
        <w:ind w:left="7740" w:hanging="360"/>
      </w:pPr>
      <w:rPr>
        <w:rFonts w:ascii="Wingdings" w:hAnsi="Wingdings" w:hint="default"/>
      </w:rPr>
    </w:lvl>
    <w:lvl w:ilvl="6" w:tplc="04190001">
      <w:start w:val="1"/>
      <w:numFmt w:val="bullet"/>
      <w:lvlText w:val=""/>
      <w:lvlJc w:val="left"/>
      <w:pPr>
        <w:tabs>
          <w:tab w:val="num" w:pos="8460"/>
        </w:tabs>
        <w:ind w:left="8460" w:hanging="360"/>
      </w:pPr>
      <w:rPr>
        <w:rFonts w:ascii="Symbol" w:hAnsi="Symbol" w:hint="default"/>
      </w:rPr>
    </w:lvl>
    <w:lvl w:ilvl="7" w:tplc="04190003">
      <w:start w:val="1"/>
      <w:numFmt w:val="bullet"/>
      <w:lvlText w:val="o"/>
      <w:lvlJc w:val="left"/>
      <w:pPr>
        <w:tabs>
          <w:tab w:val="num" w:pos="9180"/>
        </w:tabs>
        <w:ind w:left="9180" w:hanging="360"/>
      </w:pPr>
      <w:rPr>
        <w:rFonts w:ascii="Courier New" w:hAnsi="Courier New" w:hint="default"/>
      </w:rPr>
    </w:lvl>
    <w:lvl w:ilvl="8" w:tplc="04190005">
      <w:start w:val="1"/>
      <w:numFmt w:val="bullet"/>
      <w:lvlText w:val=""/>
      <w:lvlJc w:val="left"/>
      <w:pPr>
        <w:tabs>
          <w:tab w:val="num" w:pos="9900"/>
        </w:tabs>
        <w:ind w:left="9900" w:hanging="360"/>
      </w:pPr>
      <w:rPr>
        <w:rFonts w:ascii="Wingdings" w:hAnsi="Wingdings" w:hint="default"/>
      </w:rPr>
    </w:lvl>
  </w:abstractNum>
  <w:num w:numId="1">
    <w:abstractNumId w:val="7"/>
  </w:num>
  <w:num w:numId="2">
    <w:abstractNumId w:val="3"/>
  </w:num>
  <w:num w:numId="3">
    <w:abstractNumId w:val="13"/>
  </w:num>
  <w:num w:numId="4">
    <w:abstractNumId w:val="17"/>
  </w:num>
  <w:num w:numId="5">
    <w:abstractNumId w:val="1"/>
  </w:num>
  <w:num w:numId="6">
    <w:abstractNumId w:val="2"/>
  </w:num>
  <w:num w:numId="7">
    <w:abstractNumId w:val="10"/>
  </w:num>
  <w:num w:numId="8">
    <w:abstractNumId w:val="6"/>
  </w:num>
  <w:num w:numId="9">
    <w:abstractNumId w:val="5"/>
  </w:num>
  <w:num w:numId="10">
    <w:abstractNumId w:val="14"/>
  </w:num>
  <w:num w:numId="11">
    <w:abstractNumId w:val="9"/>
  </w:num>
  <w:num w:numId="12">
    <w:abstractNumId w:val="0"/>
  </w:num>
  <w:num w:numId="13">
    <w:abstractNumId w:val="16"/>
  </w:num>
  <w:num w:numId="14">
    <w:abstractNumId w:val="15"/>
  </w:num>
  <w:num w:numId="15">
    <w:abstractNumId w:val="8"/>
  </w:num>
  <w:num w:numId="16">
    <w:abstractNumId w:val="1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7FA"/>
    <w:rsid w:val="0003140A"/>
    <w:rsid w:val="00043B03"/>
    <w:rsid w:val="000D0354"/>
    <w:rsid w:val="000D0698"/>
    <w:rsid w:val="000D6024"/>
    <w:rsid w:val="00133095"/>
    <w:rsid w:val="00134C1D"/>
    <w:rsid w:val="0016695F"/>
    <w:rsid w:val="00191F1B"/>
    <w:rsid w:val="001C308B"/>
    <w:rsid w:val="001D251A"/>
    <w:rsid w:val="00235C24"/>
    <w:rsid w:val="002379FB"/>
    <w:rsid w:val="002403D3"/>
    <w:rsid w:val="002667FA"/>
    <w:rsid w:val="00274E4B"/>
    <w:rsid w:val="00277C92"/>
    <w:rsid w:val="00294DD1"/>
    <w:rsid w:val="002A36AA"/>
    <w:rsid w:val="002C5CF8"/>
    <w:rsid w:val="002C7E7E"/>
    <w:rsid w:val="00301258"/>
    <w:rsid w:val="00316B71"/>
    <w:rsid w:val="003565DF"/>
    <w:rsid w:val="003763E1"/>
    <w:rsid w:val="00380FE6"/>
    <w:rsid w:val="003A7D18"/>
    <w:rsid w:val="003C51B5"/>
    <w:rsid w:val="003D0C26"/>
    <w:rsid w:val="003D3E40"/>
    <w:rsid w:val="003E5531"/>
    <w:rsid w:val="003F1CE5"/>
    <w:rsid w:val="00401B64"/>
    <w:rsid w:val="00424E8D"/>
    <w:rsid w:val="00470699"/>
    <w:rsid w:val="00472623"/>
    <w:rsid w:val="004B61BA"/>
    <w:rsid w:val="0053710E"/>
    <w:rsid w:val="00550C81"/>
    <w:rsid w:val="005549F8"/>
    <w:rsid w:val="00566335"/>
    <w:rsid w:val="005C4587"/>
    <w:rsid w:val="005E6394"/>
    <w:rsid w:val="00695CE8"/>
    <w:rsid w:val="006D0903"/>
    <w:rsid w:val="006E0851"/>
    <w:rsid w:val="007218C3"/>
    <w:rsid w:val="00753606"/>
    <w:rsid w:val="0075697C"/>
    <w:rsid w:val="007E0791"/>
    <w:rsid w:val="007E2E7D"/>
    <w:rsid w:val="00807F43"/>
    <w:rsid w:val="00810630"/>
    <w:rsid w:val="00821D45"/>
    <w:rsid w:val="00845C73"/>
    <w:rsid w:val="00891AC8"/>
    <w:rsid w:val="008B42D5"/>
    <w:rsid w:val="008E5D51"/>
    <w:rsid w:val="00952E95"/>
    <w:rsid w:val="009B2FD7"/>
    <w:rsid w:val="009D047E"/>
    <w:rsid w:val="009D270D"/>
    <w:rsid w:val="009D3EC8"/>
    <w:rsid w:val="00A06C50"/>
    <w:rsid w:val="00A07ACF"/>
    <w:rsid w:val="00A50FC4"/>
    <w:rsid w:val="00A7109A"/>
    <w:rsid w:val="00A953D7"/>
    <w:rsid w:val="00AA2BAD"/>
    <w:rsid w:val="00AA3AD5"/>
    <w:rsid w:val="00AB5B18"/>
    <w:rsid w:val="00AF49A5"/>
    <w:rsid w:val="00AF7763"/>
    <w:rsid w:val="00B10255"/>
    <w:rsid w:val="00B25B0E"/>
    <w:rsid w:val="00B45127"/>
    <w:rsid w:val="00B66334"/>
    <w:rsid w:val="00B779EB"/>
    <w:rsid w:val="00BC4702"/>
    <w:rsid w:val="00BC7C58"/>
    <w:rsid w:val="00BE4ECC"/>
    <w:rsid w:val="00BF52AA"/>
    <w:rsid w:val="00BF6DD7"/>
    <w:rsid w:val="00C03101"/>
    <w:rsid w:val="00C640FC"/>
    <w:rsid w:val="00C661A7"/>
    <w:rsid w:val="00C73CEF"/>
    <w:rsid w:val="00CD6D86"/>
    <w:rsid w:val="00CF7733"/>
    <w:rsid w:val="00D03534"/>
    <w:rsid w:val="00D2054A"/>
    <w:rsid w:val="00D526FA"/>
    <w:rsid w:val="00DD17D2"/>
    <w:rsid w:val="00E1723B"/>
    <w:rsid w:val="00E20E5F"/>
    <w:rsid w:val="00E440C7"/>
    <w:rsid w:val="00E55454"/>
    <w:rsid w:val="00E70C1D"/>
    <w:rsid w:val="00E84067"/>
    <w:rsid w:val="00E923B3"/>
    <w:rsid w:val="00E93D7A"/>
    <w:rsid w:val="00EB689C"/>
    <w:rsid w:val="00EC771B"/>
    <w:rsid w:val="00EE2232"/>
    <w:rsid w:val="00EF1856"/>
    <w:rsid w:val="00F003F7"/>
    <w:rsid w:val="00F05018"/>
    <w:rsid w:val="00F05380"/>
    <w:rsid w:val="00F23762"/>
    <w:rsid w:val="00F34376"/>
    <w:rsid w:val="00F47E02"/>
    <w:rsid w:val="00F83EDF"/>
    <w:rsid w:val="00FD6DFE"/>
    <w:rsid w:val="00FF3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8884C-2C1D-43DC-8F9B-CA74EFBF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101"/>
    <w:pPr>
      <w:spacing w:after="200" w:line="276" w:lineRule="auto"/>
    </w:pPr>
    <w:rPr>
      <w:rFonts w:eastAsia="Times New Roman" w:cs="Calibri"/>
      <w:sz w:val="22"/>
      <w:szCs w:val="22"/>
      <w:lang w:eastAsia="en-US"/>
    </w:rPr>
  </w:style>
  <w:style w:type="paragraph" w:styleId="1">
    <w:name w:val="heading 1"/>
    <w:basedOn w:val="a"/>
    <w:next w:val="a"/>
    <w:link w:val="10"/>
    <w:qFormat/>
    <w:rsid w:val="002667FA"/>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7218C3"/>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667FA"/>
    <w:rPr>
      <w:rFonts w:ascii="Arial" w:hAnsi="Arial" w:cs="Arial"/>
      <w:b/>
      <w:bCs/>
      <w:kern w:val="32"/>
      <w:sz w:val="32"/>
      <w:szCs w:val="32"/>
      <w:lang w:val="x-none" w:eastAsia="ru-RU"/>
    </w:rPr>
  </w:style>
  <w:style w:type="character" w:customStyle="1" w:styleId="20">
    <w:name w:val="Заголовок 2 Знак"/>
    <w:basedOn w:val="a0"/>
    <w:link w:val="2"/>
    <w:locked/>
    <w:rsid w:val="007218C3"/>
    <w:rPr>
      <w:rFonts w:ascii="Arial" w:hAnsi="Arial" w:cs="Arial"/>
      <w:b/>
      <w:bCs/>
      <w:i/>
      <w:iCs/>
      <w:sz w:val="28"/>
      <w:szCs w:val="28"/>
      <w:lang w:val="x-none" w:eastAsia="ru-RU"/>
    </w:rPr>
  </w:style>
  <w:style w:type="paragraph" w:styleId="21">
    <w:name w:val="Body Text Indent 2"/>
    <w:basedOn w:val="a"/>
    <w:link w:val="22"/>
    <w:rsid w:val="002667FA"/>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ий текст з відступом 2 Знак"/>
    <w:basedOn w:val="a0"/>
    <w:link w:val="21"/>
    <w:locked/>
    <w:rsid w:val="002667FA"/>
    <w:rPr>
      <w:rFonts w:ascii="Times New Roman" w:hAnsi="Times New Roman" w:cs="Times New Roman"/>
      <w:sz w:val="24"/>
      <w:szCs w:val="24"/>
      <w:lang w:val="x-none" w:eastAsia="ru-RU"/>
    </w:rPr>
  </w:style>
  <w:style w:type="paragraph" w:styleId="a3">
    <w:name w:val="Body Text Indent"/>
    <w:basedOn w:val="a"/>
    <w:link w:val="a4"/>
    <w:semiHidden/>
    <w:rsid w:val="007218C3"/>
    <w:pPr>
      <w:spacing w:after="120"/>
      <w:ind w:left="283"/>
    </w:pPr>
  </w:style>
  <w:style w:type="character" w:customStyle="1" w:styleId="a4">
    <w:name w:val="Основний текст з відступом Знак"/>
    <w:basedOn w:val="a0"/>
    <w:link w:val="a3"/>
    <w:semiHidden/>
    <w:locked/>
    <w:rsid w:val="007218C3"/>
    <w:rPr>
      <w:rFonts w:cs="Times New Roman"/>
    </w:rPr>
  </w:style>
  <w:style w:type="paragraph" w:customStyle="1" w:styleId="ConsNonformat">
    <w:name w:val="ConsNonformat"/>
    <w:rsid w:val="007218C3"/>
    <w:rPr>
      <w:rFonts w:ascii="Consultant" w:hAnsi="Consultant" w:cs="Consultant"/>
    </w:rPr>
  </w:style>
  <w:style w:type="paragraph" w:customStyle="1" w:styleId="11">
    <w:name w:val="Абзац списку1"/>
    <w:basedOn w:val="a"/>
    <w:rsid w:val="00E923B3"/>
    <w:pPr>
      <w:ind w:left="720"/>
    </w:pPr>
  </w:style>
  <w:style w:type="paragraph" w:customStyle="1" w:styleId="ConsTitle">
    <w:name w:val="ConsTitle"/>
    <w:rsid w:val="001D251A"/>
    <w:pPr>
      <w:widowControl w:val="0"/>
      <w:autoSpaceDE w:val="0"/>
      <w:autoSpaceDN w:val="0"/>
      <w:adjustRightInd w:val="0"/>
    </w:pPr>
    <w:rPr>
      <w:rFonts w:ascii="Arial" w:hAnsi="Arial" w:cs="Arial"/>
      <w:b/>
      <w:bCs/>
      <w:sz w:val="16"/>
      <w:szCs w:val="16"/>
    </w:rPr>
  </w:style>
  <w:style w:type="character" w:styleId="a5">
    <w:name w:val="Hyperlink"/>
    <w:basedOn w:val="a0"/>
    <w:rsid w:val="001D251A"/>
    <w:rPr>
      <w:rFonts w:cs="Times New Roman"/>
      <w:color w:val="0000FF"/>
      <w:u w:val="single"/>
    </w:rPr>
  </w:style>
  <w:style w:type="paragraph" w:styleId="a6">
    <w:name w:val="header"/>
    <w:basedOn w:val="a"/>
    <w:link w:val="a7"/>
    <w:semiHidden/>
    <w:rsid w:val="00470699"/>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470699"/>
    <w:rPr>
      <w:rFonts w:cs="Times New Roman"/>
    </w:rPr>
  </w:style>
  <w:style w:type="paragraph" w:styleId="a8">
    <w:name w:val="footer"/>
    <w:basedOn w:val="a"/>
    <w:link w:val="a9"/>
    <w:rsid w:val="00470699"/>
    <w:pPr>
      <w:tabs>
        <w:tab w:val="center" w:pos="4677"/>
        <w:tab w:val="right" w:pos="9355"/>
      </w:tabs>
      <w:spacing w:after="0" w:line="240" w:lineRule="auto"/>
    </w:pPr>
  </w:style>
  <w:style w:type="character" w:customStyle="1" w:styleId="a9">
    <w:name w:val="Нижній колонтитул Знак"/>
    <w:basedOn w:val="a0"/>
    <w:link w:val="a8"/>
    <w:locked/>
    <w:rsid w:val="00470699"/>
    <w:rPr>
      <w:rFonts w:cs="Times New Roman"/>
    </w:rPr>
  </w:style>
  <w:style w:type="paragraph" w:customStyle="1" w:styleId="12">
    <w:name w:val="Заголовок змісту1"/>
    <w:basedOn w:val="1"/>
    <w:next w:val="a"/>
    <w:rsid w:val="00294DD1"/>
    <w:pPr>
      <w:keepLines/>
      <w:spacing w:before="480" w:after="0" w:line="276" w:lineRule="auto"/>
      <w:outlineLvl w:val="9"/>
    </w:pPr>
    <w:rPr>
      <w:rFonts w:ascii="Cambria" w:hAnsi="Cambria" w:cs="Cambria"/>
      <w:color w:val="365F91"/>
      <w:kern w:val="0"/>
      <w:sz w:val="28"/>
      <w:szCs w:val="28"/>
      <w:lang w:eastAsia="en-US"/>
    </w:rPr>
  </w:style>
  <w:style w:type="paragraph" w:styleId="13">
    <w:name w:val="toc 1"/>
    <w:basedOn w:val="a"/>
    <w:next w:val="a"/>
    <w:autoRedefine/>
    <w:semiHidden/>
    <w:rsid w:val="00294DD1"/>
    <w:pPr>
      <w:spacing w:after="100"/>
    </w:pPr>
  </w:style>
  <w:style w:type="paragraph" w:styleId="23">
    <w:name w:val="toc 2"/>
    <w:basedOn w:val="a"/>
    <w:next w:val="a"/>
    <w:autoRedefine/>
    <w:semiHidden/>
    <w:rsid w:val="00294DD1"/>
    <w:pPr>
      <w:spacing w:after="100"/>
      <w:ind w:left="220"/>
    </w:pPr>
  </w:style>
  <w:style w:type="paragraph" w:styleId="aa">
    <w:name w:val="Balloon Text"/>
    <w:basedOn w:val="a"/>
    <w:link w:val="ab"/>
    <w:semiHidden/>
    <w:rsid w:val="00294DD1"/>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294DD1"/>
    <w:rPr>
      <w:rFonts w:ascii="Tahoma" w:hAnsi="Tahoma" w:cs="Tahoma"/>
      <w:sz w:val="16"/>
      <w:szCs w:val="16"/>
    </w:rPr>
  </w:style>
  <w:style w:type="paragraph" w:styleId="3">
    <w:name w:val="toc 3"/>
    <w:basedOn w:val="a"/>
    <w:next w:val="a"/>
    <w:autoRedefine/>
    <w:semiHidden/>
    <w:rsid w:val="00294DD1"/>
    <w:pPr>
      <w:spacing w:after="100"/>
      <w:ind w:left="440"/>
    </w:pPr>
    <w:rPr>
      <w:rFonts w:eastAsia="Calibri"/>
    </w:rPr>
  </w:style>
  <w:style w:type="character" w:styleId="ac">
    <w:name w:val="FollowedHyperlink"/>
    <w:basedOn w:val="a0"/>
    <w:semiHidden/>
    <w:rsid w:val="00E20E5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36498</CharactersWithSpaces>
  <SharedDoc>false</SharedDoc>
  <HLinks>
    <vt:vector size="24" baseType="variant">
      <vt:variant>
        <vt:i4>7864436</vt:i4>
      </vt:variant>
      <vt:variant>
        <vt:i4>24</vt:i4>
      </vt:variant>
      <vt:variant>
        <vt:i4>0</vt:i4>
      </vt:variant>
      <vt:variant>
        <vt:i4>5</vt:i4>
      </vt:variant>
      <vt:variant>
        <vt:lpwstr>http://www.custis.ru/html/gross.htm</vt:lpwstr>
      </vt:variant>
      <vt:variant>
        <vt:lpwstr/>
      </vt:variant>
      <vt:variant>
        <vt:i4>2818105</vt:i4>
      </vt:variant>
      <vt:variant>
        <vt:i4>21</vt:i4>
      </vt:variant>
      <vt:variant>
        <vt:i4>0</vt:i4>
      </vt:variant>
      <vt:variant>
        <vt:i4>5</vt:i4>
      </vt:variant>
      <vt:variant>
        <vt:lpwstr>http://www.cbr.ru/analytics/bank_system/print.asp?file=bank_laws.htm</vt:lpwstr>
      </vt:variant>
      <vt:variant>
        <vt:lpwstr/>
      </vt:variant>
      <vt:variant>
        <vt:i4>3080246</vt:i4>
      </vt:variant>
      <vt:variant>
        <vt:i4>18</vt:i4>
      </vt:variant>
      <vt:variant>
        <vt:i4>0</vt:i4>
      </vt:variant>
      <vt:variant>
        <vt:i4>5</vt:i4>
      </vt:variant>
      <vt:variant>
        <vt:lpwstr>http://www.consultant.ru/popular/bank/</vt:lpwstr>
      </vt:variant>
      <vt:variant>
        <vt:lpwstr/>
      </vt:variant>
      <vt:variant>
        <vt:i4>7733375</vt:i4>
      </vt:variant>
      <vt:variant>
        <vt:i4>15</vt:i4>
      </vt:variant>
      <vt:variant>
        <vt:i4>0</vt:i4>
      </vt:variant>
      <vt:variant>
        <vt:i4>5</vt:i4>
      </vt:variant>
      <vt:variant>
        <vt:lpwstr>http://www.absolutbank.ru/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Евгений</dc:creator>
  <cp:keywords/>
  <dc:description/>
  <cp:lastModifiedBy>Irina</cp:lastModifiedBy>
  <cp:revision>2</cp:revision>
  <dcterms:created xsi:type="dcterms:W3CDTF">2014-08-16T18:04:00Z</dcterms:created>
  <dcterms:modified xsi:type="dcterms:W3CDTF">2014-08-16T18:04:00Z</dcterms:modified>
</cp:coreProperties>
</file>