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000DD1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</w:p>
    <w:p w:rsidR="00000DD1" w:rsidRDefault="009740EC">
      <w:pPr>
        <w:pStyle w:val="5"/>
        <w:spacing w:before="0" w:after="0" w:line="360" w:lineRule="auto"/>
        <w:ind w:left="0" w:right="0" w:firstLine="709"/>
        <w:jc w:val="center"/>
        <w:rPr>
          <w:i/>
          <w:iCs/>
          <w:color w:val="auto"/>
          <w:sz w:val="40"/>
          <w:lang w:val="uk-UA"/>
        </w:rPr>
      </w:pPr>
      <w:r>
        <w:rPr>
          <w:i/>
          <w:iCs/>
          <w:color w:val="auto"/>
          <w:sz w:val="40"/>
          <w:lang w:val="uk-UA"/>
        </w:rPr>
        <w:t>Реферат на тему:</w:t>
      </w:r>
    </w:p>
    <w:p w:rsidR="00000DD1" w:rsidRDefault="009740EC">
      <w:pPr>
        <w:pStyle w:val="5"/>
        <w:spacing w:before="0" w:after="0" w:line="360" w:lineRule="auto"/>
        <w:ind w:left="0" w:right="0" w:firstLine="709"/>
        <w:jc w:val="center"/>
        <w:rPr>
          <w:color w:val="auto"/>
          <w:sz w:val="52"/>
          <w:lang w:val="uk-UA"/>
        </w:rPr>
      </w:pPr>
      <w:r>
        <w:rPr>
          <w:color w:val="auto"/>
          <w:sz w:val="52"/>
          <w:lang w:val="uk-UA"/>
        </w:rPr>
        <w:t xml:space="preserve">“Судові витрати. </w:t>
      </w:r>
    </w:p>
    <w:p w:rsidR="00000DD1" w:rsidRDefault="009740EC">
      <w:pPr>
        <w:pStyle w:val="5"/>
        <w:spacing w:before="0" w:after="0" w:line="432" w:lineRule="auto"/>
        <w:ind w:left="0" w:right="0" w:firstLine="709"/>
        <w:jc w:val="center"/>
        <w:rPr>
          <w:color w:val="auto"/>
          <w:sz w:val="28"/>
          <w:lang w:val="uk-UA"/>
        </w:rPr>
      </w:pPr>
      <w:r>
        <w:rPr>
          <w:color w:val="auto"/>
          <w:sz w:val="52"/>
          <w:lang w:val="uk-UA"/>
        </w:rPr>
        <w:t>судові штрафи”</w:t>
      </w:r>
      <w:r>
        <w:rPr>
          <w:color w:val="auto"/>
          <w:sz w:val="52"/>
          <w:lang w:val="uk-UA"/>
        </w:rPr>
        <w:br w:type="page"/>
      </w:r>
      <w:r>
        <w:rPr>
          <w:color w:val="auto"/>
          <w:sz w:val="28"/>
          <w:lang w:val="uk-UA"/>
        </w:rPr>
        <w:t>Судові витрати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Судові витрати складаються: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1) із сум, що видані і мають бути видані свідкам, потерпілим, експертам, спеціалістам, перекладачам і понятим;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2) із сум, витрачених на зберігання, пересилання і дослідження речових доказів;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3) з інших витрат, що їх зробили органи дізнання, попереднього слідства і суд при провадженні у даній справі.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b/>
          <w:bCs/>
          <w:i/>
          <w:iCs/>
          <w:color w:val="auto"/>
          <w:sz w:val="28"/>
          <w:lang w:val="uk-UA"/>
        </w:rPr>
      </w:pPr>
      <w:r>
        <w:rPr>
          <w:b/>
          <w:bCs/>
          <w:i/>
          <w:iCs/>
          <w:color w:val="auto"/>
          <w:sz w:val="28"/>
          <w:lang w:val="uk-UA"/>
        </w:rPr>
        <w:t>Відшкодування витрат свідкам, потерпілим, законним представникам потерпілих, експертам, спеціалістам, перекладачам і понятим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Свідки, потерпілі, законні представники потерпілих, перекладачі, експерти, спеціалісти і поняті мають право на відшкодування їм витрат по явці за викликом в органи дізнання, попереднього слідства, прокуратури і до суду.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За переліченими вище особами зберігається середній заробіток по місцю роботи за час, витрачений у зв'язку з явкою за викликом. Особам, які не є робітниками чи службовцями, виплачується винагорода за відрив їх від занять.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Експерти, спеціалісти і перекладачі, крім того, мають право на винагороду за виконання своїх обов'язків, якщо виконання дорученої їм роботи не входить в їх обов'язок по службі.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Зазначені виплати провадяться з коштів органів дізнання, попереднього слідства і суду. Порядок виплати і розмір сум, що підлягають виплаті, визначаються відповідною інструкцією.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b/>
          <w:bCs/>
          <w:i/>
          <w:iCs/>
          <w:color w:val="auto"/>
          <w:sz w:val="28"/>
          <w:lang w:val="uk-UA"/>
        </w:rPr>
      </w:pPr>
      <w:r>
        <w:rPr>
          <w:b/>
          <w:bCs/>
          <w:i/>
          <w:iCs/>
          <w:color w:val="auto"/>
          <w:sz w:val="28"/>
          <w:lang w:val="uk-UA"/>
        </w:rPr>
        <w:t>Відшкодування судових витрат та оплата праці адвокатів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Судові витрати покладаються на засуджених, крім сум, що видані і мають бути видані перекладачам, або приймаються на рахунок держави.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При визнанні підсудного винним суд постановляє стягти з нього судові витрати. В тому разі, якщо винними буде визнано декількох осіб, суд постановляє, в якому розмірі повинні бути стягнені витрати з кожного з них, ураховуючи при цьому ступінь вини та майновий стан засуджених.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Якщо підсудний буде визнаний винним, але звільнений від покарання, суд має право покласти на нього судові витрати.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При закритті справи у зв'язку з примиренням потерпілого з обвинуваченим у справах про злочини, зазначені в частині 1 статті 27 Кримінально-процесуального Кодексу, суд може покласти судові витрати на одного з них або на обох.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Судові витрати в разі неспроможності особи, з якої вони мають бути стягнуті, а також судові витрати, пов'язані з виплатою сум перекладачеві, приймаються на рахунок держави. </w:t>
      </w:r>
    </w:p>
    <w:p w:rsidR="00000DD1" w:rsidRDefault="009740EC">
      <w:pPr>
        <w:pStyle w:val="2"/>
        <w:spacing w:line="432" w:lineRule="auto"/>
      </w:pPr>
      <w:r>
        <w:t xml:space="preserve">Якщо у випадку, передбаченому частиною четвертою статті 47 Кримінально-процесуального Кодексу, оплата праці захисника по поданню юридичної допомоги була проведена за рахунок держави, відшкодування витрат державі може бути покладено на засудженого. </w:t>
      </w:r>
    </w:p>
    <w:p w:rsidR="00000DD1" w:rsidRDefault="009740EC">
      <w:pPr>
        <w:pStyle w:val="a4"/>
        <w:spacing w:line="432" w:lineRule="auto"/>
        <w:jc w:val="both"/>
        <w:rPr>
          <w:b w:val="0"/>
          <w:bCs w:val="0"/>
          <w:i w:val="0"/>
          <w:iCs w:val="0"/>
        </w:rPr>
      </w:pPr>
      <w:r>
        <w:t xml:space="preserve">Відшкодування витрат на стаціонарне лікування особи, яка потерпіла від злочину. </w:t>
      </w:r>
      <w:r>
        <w:rPr>
          <w:b w:val="0"/>
          <w:bCs w:val="0"/>
          <w:i w:val="0"/>
          <w:iCs w:val="0"/>
        </w:rPr>
        <w:t>Кошти, витрачені закладом охорони здоров'я на стаціонарне лікування особи, потерпілої від злочину за винятком випадку завдання такої шкоди при перевищенні меж необхідної оборони або в стані сильного душевного хвилювання, що раптово виникло внаслідок протизаконного насильства чи тяжкої образи з боку потерпілого, стягуються судом при поставленні вироку за позовом закладу охорони здоров'я, органу Міністерства фінансів України або прокурора в порядку, передбаченому статтею 28 та частинами другою і третьою статті 93 Кримінально-процесуального</w:t>
      </w:r>
      <w:r>
        <w:t xml:space="preserve"> </w:t>
      </w:r>
      <w:r>
        <w:rPr>
          <w:b w:val="0"/>
          <w:bCs w:val="0"/>
          <w:i w:val="0"/>
          <w:iCs w:val="0"/>
        </w:rPr>
        <w:t xml:space="preserve">Кодексу.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Якщо позов не було пред'явлено, суд при постановлені вироку вправі з власної ініціативи вирішити питання про відшкодування цих витрат.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У разі, коли при постановлені вироку рішення про відшкодування коштів, витрачених на стаціонарне лікування потерпілого, не було прийнято, стягнення їх провадиться в порядку цивільного судочинства за позовом осіб, зазначених у частині першій цієї статті.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У такому ж порядку відшкодовуються витрати на стаціонарне лікування особи, яка постраждала від злочинного діяння, в разі закриття кримінальної справи чи відмови у порушенні справи за обставин, передбачених спеціальними пунктами Кримінально-процесуального Кодексу. </w:t>
      </w:r>
    </w:p>
    <w:p w:rsidR="00000DD1" w:rsidRDefault="00000DD1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</w:p>
    <w:p w:rsidR="00000DD1" w:rsidRDefault="009740EC">
      <w:pPr>
        <w:pStyle w:val="4"/>
        <w:spacing w:before="0" w:after="0" w:line="432" w:lineRule="auto"/>
        <w:ind w:left="0" w:right="0" w:firstLine="709"/>
        <w:rPr>
          <w:caps/>
          <w:color w:val="auto"/>
          <w:sz w:val="28"/>
          <w:szCs w:val="22"/>
          <w:lang w:val="uk-UA"/>
        </w:rPr>
      </w:pPr>
      <w:r>
        <w:rPr>
          <w:caps/>
          <w:color w:val="auto"/>
          <w:sz w:val="28"/>
          <w:szCs w:val="22"/>
          <w:lang w:val="uk-UA"/>
        </w:rPr>
        <w:t>СУДОВІ ШТРАФИ</w:t>
      </w:r>
    </w:p>
    <w:p w:rsidR="00000DD1" w:rsidRDefault="009740EC">
      <w:pPr>
        <w:pStyle w:val="5"/>
        <w:spacing w:before="0" w:after="0" w:line="432" w:lineRule="auto"/>
        <w:ind w:left="0" w:right="0" w:firstLine="709"/>
        <w:rPr>
          <w:rFonts w:ascii="Times New Roman" w:hAnsi="Times New Roman" w:cs="Times New Roman"/>
          <w:i/>
          <w:iCs/>
          <w:caps w:val="0"/>
          <w:color w:val="auto"/>
          <w:sz w:val="28"/>
          <w:szCs w:val="20"/>
          <w:lang w:val="uk-UA"/>
        </w:rPr>
      </w:pPr>
      <w:r>
        <w:rPr>
          <w:rFonts w:ascii="Times New Roman" w:hAnsi="Times New Roman" w:cs="Times New Roman"/>
          <w:i/>
          <w:iCs/>
          <w:caps w:val="0"/>
          <w:color w:val="auto"/>
          <w:sz w:val="28"/>
          <w:szCs w:val="20"/>
          <w:lang w:val="uk-UA"/>
        </w:rPr>
        <w:t>Підстави накладення штрафів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За порушення правил Кримінально-процесуального Кодексу суд або суддя накладає штрафи у випадках і розмірах, передбачених статтями 44, 48, 95, 153, 172, 173, 174 Кримінально-процесуального Кодексу.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Штрафи, накладені судом на службових осіб державних підприємств, установ, організацій, колгоспів, інших кооперативних організацій, їх об'єднань, інших громадських організацій, стягуються з їх особистих коштів.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Копія ухвали про накладення штрафу надсилається особі, на яку накладено штраф. </w:t>
      </w:r>
    </w:p>
    <w:p w:rsidR="00000DD1" w:rsidRDefault="00000DD1">
      <w:pPr>
        <w:pStyle w:val="a3"/>
        <w:spacing w:before="0" w:after="0" w:line="432" w:lineRule="auto"/>
        <w:ind w:left="0" w:right="0" w:firstLine="709"/>
        <w:rPr>
          <w:b/>
          <w:bCs/>
          <w:i/>
          <w:iCs/>
          <w:color w:val="auto"/>
          <w:sz w:val="28"/>
          <w:lang w:val="uk-UA"/>
        </w:rPr>
      </w:pPr>
    </w:p>
    <w:p w:rsidR="00000DD1" w:rsidRDefault="009740EC">
      <w:pPr>
        <w:pStyle w:val="a3"/>
        <w:spacing w:before="0" w:after="0" w:line="432" w:lineRule="auto"/>
        <w:ind w:left="0" w:right="0" w:firstLine="709"/>
        <w:rPr>
          <w:b/>
          <w:bCs/>
          <w:i/>
          <w:iCs/>
          <w:color w:val="auto"/>
          <w:sz w:val="28"/>
          <w:lang w:val="uk-UA"/>
        </w:rPr>
      </w:pPr>
      <w:r>
        <w:rPr>
          <w:b/>
          <w:bCs/>
          <w:i/>
          <w:iCs/>
          <w:color w:val="auto"/>
          <w:sz w:val="28"/>
          <w:lang w:val="uk-UA"/>
        </w:rPr>
        <w:t>Зняття або зменшення штрафу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Протягом десяти днів по одержанні копії ухвали особа, на яку накладено штраф, може просити суд, що наклав штраф, про зняття або зменшення розміру штрафу. Ця заява розглядається в судовому засіданні з повідомленням особи, на яку накладено штраф. Однак неявка цієї особи не є перешкодою для розгляду заяви. </w:t>
      </w:r>
    </w:p>
    <w:p w:rsidR="00000DD1" w:rsidRDefault="009740EC">
      <w:pPr>
        <w:pStyle w:val="a3"/>
        <w:spacing w:before="0" w:after="0" w:line="432" w:lineRule="auto"/>
        <w:ind w:left="0" w:right="0" w:firstLine="709"/>
        <w:rPr>
          <w:color w:val="auto"/>
          <w:sz w:val="28"/>
          <w:lang w:val="uk-UA"/>
        </w:rPr>
      </w:pPr>
      <w:r>
        <w:rPr>
          <w:color w:val="auto"/>
          <w:sz w:val="28"/>
          <w:lang w:val="uk-UA"/>
        </w:rPr>
        <w:t xml:space="preserve">На ухвалу про відмову суду або судді зняти штраф або зменшити його розмір може бути подано скаргу, внесено окреме подання. </w:t>
      </w:r>
      <w:bookmarkStart w:id="0" w:name="_GoBack"/>
      <w:bookmarkEnd w:id="0"/>
    </w:p>
    <w:sectPr w:rsidR="00000D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0EC"/>
    <w:rsid w:val="00000DD1"/>
    <w:rsid w:val="004661CD"/>
    <w:rsid w:val="0097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E1D2A-AC2C-4691-B6CB-E4C0D3D5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pPr>
      <w:spacing w:before="48" w:after="20" w:line="264" w:lineRule="atLeast"/>
      <w:ind w:left="856" w:right="856"/>
      <w:jc w:val="center"/>
      <w:outlineLvl w:val="3"/>
    </w:pPr>
    <w:rPr>
      <w:rFonts w:ascii="Times New Roman CYR" w:hAnsi="Times New Roman CYR" w:cs="Times New Roman CYR"/>
      <w:b/>
      <w:bCs/>
      <w:color w:val="000000"/>
    </w:rPr>
  </w:style>
  <w:style w:type="paragraph" w:styleId="5">
    <w:name w:val="heading 5"/>
    <w:basedOn w:val="a"/>
    <w:qFormat/>
    <w:pPr>
      <w:spacing w:before="300" w:after="150" w:line="264" w:lineRule="atLeast"/>
      <w:ind w:left="856" w:right="856"/>
      <w:outlineLvl w:val="4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48" w:after="20" w:line="270" w:lineRule="atLeast"/>
      <w:ind w:left="856" w:right="856" w:firstLine="284"/>
      <w:jc w:val="both"/>
    </w:pPr>
    <w:rPr>
      <w:color w:val="212520"/>
      <w:sz w:val="20"/>
      <w:szCs w:val="20"/>
    </w:rPr>
  </w:style>
  <w:style w:type="paragraph" w:styleId="a4">
    <w:name w:val="Body Text Indent"/>
    <w:basedOn w:val="a"/>
    <w:semiHidden/>
    <w:pPr>
      <w:spacing w:line="360" w:lineRule="auto"/>
      <w:ind w:firstLine="709"/>
    </w:pPr>
    <w:rPr>
      <w:b/>
      <w:bCs/>
      <w:i/>
      <w:iCs/>
      <w:sz w:val="28"/>
      <w:szCs w:val="20"/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09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СТАТТЯ 91</vt:lpstr>
    </vt:vector>
  </TitlesOfParts>
  <Manager>Право. Міжнародні відносини</Manager>
  <Company> Право. Міжнародні відносини</Company>
  <LinksUpToDate>false</LinksUpToDate>
  <CharactersWithSpaces>4833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СТАТТЯ 91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Irina</cp:lastModifiedBy>
  <cp:revision>2</cp:revision>
  <dcterms:created xsi:type="dcterms:W3CDTF">2014-08-15T05:26:00Z</dcterms:created>
  <dcterms:modified xsi:type="dcterms:W3CDTF">2014-08-15T05:26:00Z</dcterms:modified>
  <cp:category>Право. Міжнародні відносини</cp:category>
</cp:coreProperties>
</file>