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852" w:rsidRPr="001661EA" w:rsidRDefault="003E3852" w:rsidP="003E3852">
      <w:pPr>
        <w:pStyle w:val="a7"/>
        <w:spacing w:line="360" w:lineRule="auto"/>
        <w:ind w:firstLine="709"/>
        <w:jc w:val="both"/>
        <w:rPr>
          <w:rFonts w:ascii="Times New Roman" w:hAnsi="Times New Roman"/>
          <w:sz w:val="28"/>
          <w:szCs w:val="28"/>
        </w:rPr>
      </w:pPr>
      <w:r w:rsidRPr="001661EA">
        <w:rPr>
          <w:rFonts w:ascii="Times New Roman" w:hAnsi="Times New Roman"/>
          <w:sz w:val="28"/>
          <w:szCs w:val="28"/>
        </w:rPr>
        <w:t xml:space="preserve">Денежно-кредитное регулирование, осуществляемое Центральным банком, является одним из элементов экономической политики государства и представляет собой совокупность мероприятий, направленных на изменение денежной массы в обращении, объема кредитов, уровня процентных ставок и других показателей денежного обращения и рынка ссудных капиталов. Осуществляя денежно-кредитную политику, Центральный Банк, воздействуя на кредитную деятельность коммерческих банков и направляя регулирование на расширение или сокращение кредитования экономики, достигает стабильного развития внутренней экономики, укрепления денежного обращения, сбалансированности внутренних экономических процессов. </w:t>
      </w:r>
    </w:p>
    <w:p w:rsidR="003E3852" w:rsidRPr="001661EA" w:rsidRDefault="003E3852" w:rsidP="003E3852">
      <w:pPr>
        <w:spacing w:line="360" w:lineRule="auto"/>
        <w:ind w:firstLine="709"/>
        <w:jc w:val="both"/>
        <w:rPr>
          <w:sz w:val="28"/>
          <w:szCs w:val="28"/>
        </w:rPr>
      </w:pPr>
      <w:r w:rsidRPr="001661EA">
        <w:rPr>
          <w:sz w:val="28"/>
          <w:szCs w:val="28"/>
        </w:rPr>
        <w:t xml:space="preserve">Традиционной функцией Центрального банка является предоставление ссуд коммерческим банкам. Ставка процента, по которой выдаются эти ссуды, называется учетной ставкой или ставкой рефинансирования. Изменяя эту ставку, Центральный банк может воздействовать на резервы банков, расширяя или сокращая их возможности в предоставлении кредита населению или предприятиям. В зависимости от величины учетного процента строится система процентных ставок коммерческих банков, происходит удорожание или удешевление кредита вообще и тем самым создаются условия ограничения или расширения денежной массы в обращении. </w:t>
      </w:r>
    </w:p>
    <w:p w:rsidR="003E3852" w:rsidRPr="001661EA" w:rsidRDefault="003E3852" w:rsidP="003E3852">
      <w:pPr>
        <w:pStyle w:val="a3"/>
        <w:spacing w:before="0" w:beforeAutospacing="0" w:after="0" w:afterAutospacing="0" w:line="360" w:lineRule="auto"/>
        <w:ind w:firstLine="540"/>
        <w:jc w:val="both"/>
        <w:rPr>
          <w:sz w:val="28"/>
          <w:szCs w:val="28"/>
        </w:rPr>
      </w:pPr>
      <w:r w:rsidRPr="001661EA">
        <w:rPr>
          <w:sz w:val="28"/>
          <w:szCs w:val="28"/>
        </w:rPr>
        <w:t>ЦБ РФ разработаны и в настоящее время действуют механизмы рефинансирования (кредитования) банков, которые можно разделить на 2 группы, различающиеся по степени оперативности принятия ЦБ РФ решения о предоставлении кредита. Один из них – кредитование под залог ценных бумаг из Ломбардного списка Банка России. Другой – кредитование под залог векселей, прав требования по кредитным договорам организаций сферы материального производства и (или) поручительства кредитных организаций.</w:t>
      </w:r>
    </w:p>
    <w:p w:rsidR="003E3852" w:rsidRPr="001661EA" w:rsidRDefault="003E3852" w:rsidP="003E3852">
      <w:pPr>
        <w:pStyle w:val="a3"/>
        <w:spacing w:before="0" w:beforeAutospacing="0" w:after="0" w:afterAutospacing="0" w:line="360" w:lineRule="auto"/>
        <w:ind w:firstLine="540"/>
        <w:jc w:val="both"/>
        <w:rPr>
          <w:sz w:val="28"/>
          <w:szCs w:val="28"/>
        </w:rPr>
      </w:pPr>
      <w:r w:rsidRPr="001661EA">
        <w:rPr>
          <w:sz w:val="28"/>
          <w:szCs w:val="28"/>
        </w:rPr>
        <w:t>В первом случае обеспечение по кредитам стандартизировано (ЦБ РФ определен конкретный перечень ценных бумаг – Ломбардный список Банка России), учет прав собственности на залоговое обеспечение осуществляется уполномоченными депозитариями (НП "Национальный депозитарный центр" и Дилерами на рынке ГКО - ОФЗ), оценка стоимости обеспечения производится на основании информации об итогах торгов ценными бумагами на организованном рынке ценных бумаг (уполномоченными Биржами являются ЗАО "Московская межбанковская валютная биржа" и ЗАО "Фондовая биржа ММВБ"). Время принятия решения колеблется от нескольких секунд до одного часа.</w:t>
      </w:r>
    </w:p>
    <w:p w:rsidR="003E3852" w:rsidRDefault="003E3852" w:rsidP="001661EA">
      <w:pPr>
        <w:pStyle w:val="a3"/>
        <w:spacing w:before="0" w:beforeAutospacing="0" w:after="0" w:afterAutospacing="0" w:line="360" w:lineRule="auto"/>
        <w:ind w:firstLine="540"/>
        <w:jc w:val="both"/>
        <w:rPr>
          <w:sz w:val="28"/>
          <w:szCs w:val="28"/>
        </w:rPr>
      </w:pPr>
      <w:r w:rsidRPr="001661EA">
        <w:rPr>
          <w:sz w:val="28"/>
          <w:szCs w:val="28"/>
        </w:rPr>
        <w:t>Во втором случае процесс принятия решения о выдаче кредита, а также процесс оценки качества и стоимости обеспечения более длителен и колеблется от 8 до 20 дней, которые необходимы для проверки ЦБ РФ подлинности передаваемого в залог векселя, наличия прав собственности на вексель либо наличия прав требования по кредитному договору, а также в некоторых случаях вызваны необходимостью оценки уровня платежеспособности и финансового состояния организации, чьи обязательства предлагаются банком в залог по кредиту ЦБ РФ.</w:t>
      </w:r>
    </w:p>
    <w:tbl>
      <w:tblPr>
        <w:tblStyle w:val="a8"/>
        <w:tblpPr w:leftFromText="180" w:rightFromText="180" w:vertAnchor="text" w:horzAnchor="margin" w:tblpY="331"/>
        <w:tblOverlap w:val="never"/>
        <w:tblW w:w="0" w:type="auto"/>
        <w:tblLayout w:type="fixed"/>
        <w:tblLook w:val="01E0" w:firstRow="1" w:lastRow="1" w:firstColumn="1" w:lastColumn="1" w:noHBand="0" w:noVBand="0"/>
      </w:tblPr>
      <w:tblGrid>
        <w:gridCol w:w="1368"/>
        <w:gridCol w:w="1440"/>
        <w:gridCol w:w="1440"/>
        <w:gridCol w:w="1800"/>
        <w:gridCol w:w="1980"/>
        <w:gridCol w:w="1440"/>
      </w:tblGrid>
      <w:tr w:rsidR="00425BBB" w:rsidRPr="00F62D9B">
        <w:tc>
          <w:tcPr>
            <w:tcW w:w="1368" w:type="dxa"/>
          </w:tcPr>
          <w:p w:rsidR="001661EA" w:rsidRPr="00F62D9B" w:rsidRDefault="001661EA" w:rsidP="001661EA">
            <w:pPr>
              <w:jc w:val="center"/>
              <w:rPr>
                <w:color w:val="000000"/>
              </w:rPr>
            </w:pPr>
            <w:r w:rsidRPr="00F62D9B">
              <w:rPr>
                <w:color w:val="000000"/>
              </w:rPr>
              <w:t>Вид кредита</w:t>
            </w:r>
          </w:p>
        </w:tc>
        <w:tc>
          <w:tcPr>
            <w:tcW w:w="1440" w:type="dxa"/>
          </w:tcPr>
          <w:p w:rsidR="00425BBB" w:rsidRPr="00F62D9B" w:rsidRDefault="001661EA" w:rsidP="001661EA">
            <w:pPr>
              <w:jc w:val="center"/>
              <w:rPr>
                <w:color w:val="000000"/>
              </w:rPr>
            </w:pPr>
            <w:r w:rsidRPr="00F62D9B">
              <w:rPr>
                <w:color w:val="000000"/>
              </w:rPr>
              <w:t>Срок в днях (раб/</w:t>
            </w:r>
          </w:p>
          <w:p w:rsidR="001661EA" w:rsidRPr="00F62D9B" w:rsidRDefault="001661EA" w:rsidP="001661EA">
            <w:pPr>
              <w:jc w:val="center"/>
              <w:rPr>
                <w:color w:val="000000"/>
              </w:rPr>
            </w:pPr>
            <w:r w:rsidRPr="00F62D9B">
              <w:rPr>
                <w:color w:val="000000"/>
              </w:rPr>
              <w:t>календ)</w:t>
            </w:r>
          </w:p>
        </w:tc>
        <w:tc>
          <w:tcPr>
            <w:tcW w:w="1440" w:type="dxa"/>
          </w:tcPr>
          <w:p w:rsidR="001661EA" w:rsidRPr="00F62D9B" w:rsidRDefault="001661EA" w:rsidP="001661EA">
            <w:pPr>
              <w:jc w:val="center"/>
              <w:rPr>
                <w:color w:val="000000"/>
              </w:rPr>
            </w:pPr>
            <w:r w:rsidRPr="00F62D9B">
              <w:rPr>
                <w:color w:val="000000"/>
              </w:rPr>
              <w:t>Возможность досрочного погашения</w:t>
            </w:r>
          </w:p>
        </w:tc>
        <w:tc>
          <w:tcPr>
            <w:tcW w:w="1800" w:type="dxa"/>
          </w:tcPr>
          <w:p w:rsidR="001661EA" w:rsidRPr="00F62D9B" w:rsidRDefault="001661EA" w:rsidP="001661EA">
            <w:pPr>
              <w:jc w:val="center"/>
              <w:rPr>
                <w:color w:val="000000"/>
              </w:rPr>
            </w:pPr>
            <w:r w:rsidRPr="00F62D9B">
              <w:rPr>
                <w:color w:val="000000"/>
              </w:rPr>
              <w:t>Ставка</w:t>
            </w:r>
            <w:r w:rsidRPr="00F62D9B">
              <w:rPr>
                <w:color w:val="000000"/>
              </w:rPr>
              <w:br/>
              <w:t>(в % годовых)</w:t>
            </w:r>
          </w:p>
        </w:tc>
        <w:tc>
          <w:tcPr>
            <w:tcW w:w="1980" w:type="dxa"/>
          </w:tcPr>
          <w:p w:rsidR="001661EA" w:rsidRPr="00F62D9B" w:rsidRDefault="001661EA" w:rsidP="001661EA">
            <w:pPr>
              <w:jc w:val="center"/>
              <w:rPr>
                <w:color w:val="000000"/>
              </w:rPr>
            </w:pPr>
            <w:r w:rsidRPr="00F62D9B">
              <w:rPr>
                <w:color w:val="000000"/>
              </w:rPr>
              <w:t>Вид обеспечения</w:t>
            </w:r>
          </w:p>
        </w:tc>
        <w:tc>
          <w:tcPr>
            <w:tcW w:w="1440" w:type="dxa"/>
          </w:tcPr>
          <w:p w:rsidR="00425BBB" w:rsidRPr="00F62D9B" w:rsidRDefault="001661EA" w:rsidP="001661EA">
            <w:pPr>
              <w:jc w:val="center"/>
              <w:rPr>
                <w:color w:val="000000"/>
              </w:rPr>
            </w:pPr>
            <w:r w:rsidRPr="00F62D9B">
              <w:rPr>
                <w:color w:val="000000"/>
              </w:rPr>
              <w:t>Норма</w:t>
            </w:r>
            <w:r w:rsidR="00425BBB" w:rsidRPr="00F62D9B">
              <w:rPr>
                <w:color w:val="000000"/>
              </w:rPr>
              <w:t>-</w:t>
            </w:r>
          </w:p>
          <w:p w:rsidR="00425BBB" w:rsidRPr="00F62D9B" w:rsidRDefault="001661EA" w:rsidP="001661EA">
            <w:pPr>
              <w:jc w:val="center"/>
              <w:rPr>
                <w:color w:val="000000"/>
              </w:rPr>
            </w:pPr>
            <w:r w:rsidRPr="00F62D9B">
              <w:rPr>
                <w:color w:val="000000"/>
              </w:rPr>
              <w:t>тивный доку</w:t>
            </w:r>
            <w:r w:rsidR="00425BBB" w:rsidRPr="00F62D9B">
              <w:rPr>
                <w:color w:val="000000"/>
              </w:rPr>
              <w:t>-</w:t>
            </w:r>
          </w:p>
          <w:p w:rsidR="001661EA" w:rsidRPr="00F62D9B" w:rsidRDefault="001661EA" w:rsidP="001661EA">
            <w:pPr>
              <w:jc w:val="center"/>
              <w:rPr>
                <w:color w:val="000000"/>
              </w:rPr>
            </w:pPr>
            <w:r w:rsidRPr="00F62D9B">
              <w:rPr>
                <w:color w:val="000000"/>
              </w:rPr>
              <w:t>мент</w:t>
            </w:r>
          </w:p>
        </w:tc>
      </w:tr>
      <w:tr w:rsidR="00425BBB" w:rsidRPr="00F62D9B">
        <w:tc>
          <w:tcPr>
            <w:tcW w:w="1368" w:type="dxa"/>
          </w:tcPr>
          <w:p w:rsidR="001661EA" w:rsidRPr="00F62D9B" w:rsidRDefault="001661EA" w:rsidP="001661EA">
            <w:pPr>
              <w:jc w:val="center"/>
              <w:rPr>
                <w:color w:val="000000"/>
              </w:rPr>
            </w:pPr>
            <w:r w:rsidRPr="00F62D9B">
              <w:rPr>
                <w:color w:val="000000"/>
              </w:rPr>
              <w:t>Внутридневной</w:t>
            </w:r>
          </w:p>
        </w:tc>
        <w:tc>
          <w:tcPr>
            <w:tcW w:w="1440" w:type="dxa"/>
          </w:tcPr>
          <w:p w:rsidR="006804C6" w:rsidRPr="00F62D9B" w:rsidRDefault="006804C6" w:rsidP="001661EA">
            <w:pPr>
              <w:jc w:val="center"/>
              <w:rPr>
                <w:color w:val="000000"/>
              </w:rPr>
            </w:pPr>
          </w:p>
          <w:p w:rsidR="001661EA" w:rsidRPr="00F62D9B" w:rsidRDefault="00425BBB" w:rsidP="001661EA">
            <w:pPr>
              <w:jc w:val="center"/>
              <w:rPr>
                <w:color w:val="000000"/>
              </w:rPr>
            </w:pPr>
            <w:r w:rsidRPr="00F62D9B">
              <w:rPr>
                <w:color w:val="000000"/>
              </w:rPr>
              <w:t>0</w:t>
            </w:r>
          </w:p>
        </w:tc>
        <w:tc>
          <w:tcPr>
            <w:tcW w:w="1440" w:type="dxa"/>
          </w:tcPr>
          <w:p w:rsidR="006804C6" w:rsidRPr="00F62D9B" w:rsidRDefault="006804C6" w:rsidP="001661EA">
            <w:pPr>
              <w:jc w:val="center"/>
              <w:rPr>
                <w:color w:val="000000"/>
              </w:rPr>
            </w:pPr>
          </w:p>
          <w:p w:rsidR="001661EA" w:rsidRPr="00F62D9B" w:rsidRDefault="00425BBB" w:rsidP="001661EA">
            <w:pPr>
              <w:jc w:val="center"/>
              <w:rPr>
                <w:color w:val="000000"/>
              </w:rPr>
            </w:pPr>
            <w:r w:rsidRPr="00F62D9B">
              <w:rPr>
                <w:color w:val="000000"/>
              </w:rPr>
              <w:t>-</w:t>
            </w:r>
          </w:p>
        </w:tc>
        <w:tc>
          <w:tcPr>
            <w:tcW w:w="1800" w:type="dxa"/>
          </w:tcPr>
          <w:p w:rsidR="006804C6" w:rsidRPr="00F62D9B" w:rsidRDefault="006804C6" w:rsidP="001661EA">
            <w:pPr>
              <w:jc w:val="center"/>
              <w:rPr>
                <w:color w:val="000000"/>
              </w:rPr>
            </w:pPr>
          </w:p>
          <w:p w:rsidR="001661EA" w:rsidRPr="00F62D9B" w:rsidRDefault="00425BBB" w:rsidP="001661EA">
            <w:pPr>
              <w:jc w:val="center"/>
              <w:rPr>
                <w:color w:val="000000"/>
              </w:rPr>
            </w:pPr>
            <w:r w:rsidRPr="00F62D9B">
              <w:rPr>
                <w:color w:val="000000"/>
              </w:rPr>
              <w:t>0</w:t>
            </w:r>
          </w:p>
        </w:tc>
        <w:tc>
          <w:tcPr>
            <w:tcW w:w="1980" w:type="dxa"/>
          </w:tcPr>
          <w:p w:rsidR="00425BBB" w:rsidRPr="00F62D9B" w:rsidRDefault="00425BBB" w:rsidP="001661EA">
            <w:pPr>
              <w:jc w:val="center"/>
              <w:rPr>
                <w:color w:val="000000"/>
              </w:rPr>
            </w:pPr>
            <w:r w:rsidRPr="00F62D9B">
              <w:rPr>
                <w:color w:val="000000"/>
              </w:rPr>
              <w:t xml:space="preserve">Блокировка ценных бумаг из Ломбардного </w:t>
            </w:r>
          </w:p>
          <w:p w:rsidR="001661EA" w:rsidRPr="00F62D9B" w:rsidRDefault="00425BBB" w:rsidP="001661EA">
            <w:pPr>
              <w:jc w:val="center"/>
              <w:rPr>
                <w:color w:val="000000"/>
              </w:rPr>
            </w:pPr>
            <w:r w:rsidRPr="00F62D9B">
              <w:rPr>
                <w:color w:val="000000"/>
              </w:rPr>
              <w:t>списка БР</w:t>
            </w:r>
          </w:p>
        </w:tc>
        <w:tc>
          <w:tcPr>
            <w:tcW w:w="1440" w:type="dxa"/>
          </w:tcPr>
          <w:p w:rsidR="006804C6" w:rsidRPr="00F62D9B" w:rsidRDefault="006804C6" w:rsidP="001661EA">
            <w:pPr>
              <w:jc w:val="center"/>
              <w:rPr>
                <w:color w:val="000000"/>
              </w:rPr>
            </w:pPr>
          </w:p>
          <w:p w:rsidR="001661EA" w:rsidRPr="00F62D9B" w:rsidRDefault="00425BBB" w:rsidP="001661EA">
            <w:pPr>
              <w:jc w:val="center"/>
              <w:rPr>
                <w:color w:val="000000"/>
              </w:rPr>
            </w:pPr>
            <w:r w:rsidRPr="00657DC4">
              <w:t>Положение 236-П</w:t>
            </w:r>
          </w:p>
        </w:tc>
      </w:tr>
      <w:tr w:rsidR="00425BBB" w:rsidRPr="00F62D9B">
        <w:tc>
          <w:tcPr>
            <w:tcW w:w="1368" w:type="dxa"/>
          </w:tcPr>
          <w:p w:rsidR="006804C6" w:rsidRPr="00F62D9B" w:rsidRDefault="006804C6" w:rsidP="001661EA">
            <w:pPr>
              <w:jc w:val="center"/>
              <w:rPr>
                <w:color w:val="000000"/>
              </w:rPr>
            </w:pPr>
          </w:p>
          <w:p w:rsidR="001661EA" w:rsidRPr="00F62D9B" w:rsidRDefault="001661EA" w:rsidP="001661EA">
            <w:pPr>
              <w:jc w:val="center"/>
              <w:rPr>
                <w:color w:val="000000"/>
              </w:rPr>
            </w:pPr>
            <w:r w:rsidRPr="00F62D9B">
              <w:rPr>
                <w:color w:val="000000"/>
              </w:rPr>
              <w:t>Овернайт</w:t>
            </w:r>
          </w:p>
        </w:tc>
        <w:tc>
          <w:tcPr>
            <w:tcW w:w="1440" w:type="dxa"/>
          </w:tcPr>
          <w:p w:rsidR="006804C6" w:rsidRPr="00F62D9B" w:rsidRDefault="006804C6" w:rsidP="001661EA">
            <w:pPr>
              <w:jc w:val="center"/>
              <w:rPr>
                <w:color w:val="000000"/>
              </w:rPr>
            </w:pPr>
          </w:p>
          <w:p w:rsidR="001661EA" w:rsidRPr="00F62D9B" w:rsidRDefault="00425BBB" w:rsidP="001661EA">
            <w:pPr>
              <w:jc w:val="center"/>
              <w:rPr>
                <w:color w:val="000000"/>
              </w:rPr>
            </w:pPr>
            <w:r w:rsidRPr="00F62D9B">
              <w:rPr>
                <w:color w:val="000000"/>
              </w:rPr>
              <w:t>1 (раб.)</w:t>
            </w:r>
          </w:p>
        </w:tc>
        <w:tc>
          <w:tcPr>
            <w:tcW w:w="1440" w:type="dxa"/>
          </w:tcPr>
          <w:p w:rsidR="006804C6" w:rsidRPr="00F62D9B" w:rsidRDefault="006804C6" w:rsidP="001661EA">
            <w:pPr>
              <w:jc w:val="center"/>
              <w:rPr>
                <w:color w:val="000000"/>
              </w:rPr>
            </w:pPr>
          </w:p>
          <w:p w:rsidR="001661EA" w:rsidRPr="00F62D9B" w:rsidRDefault="00425BBB" w:rsidP="001661EA">
            <w:pPr>
              <w:jc w:val="center"/>
              <w:rPr>
                <w:color w:val="000000"/>
              </w:rPr>
            </w:pPr>
            <w:r w:rsidRPr="00F62D9B">
              <w:rPr>
                <w:color w:val="000000"/>
              </w:rPr>
              <w:t>-</w:t>
            </w:r>
          </w:p>
        </w:tc>
        <w:tc>
          <w:tcPr>
            <w:tcW w:w="1800" w:type="dxa"/>
          </w:tcPr>
          <w:p w:rsidR="006804C6" w:rsidRPr="00F62D9B" w:rsidRDefault="006804C6" w:rsidP="001661EA">
            <w:pPr>
              <w:jc w:val="center"/>
              <w:rPr>
                <w:color w:val="000000"/>
              </w:rPr>
            </w:pPr>
          </w:p>
          <w:p w:rsidR="001661EA" w:rsidRPr="00F62D9B" w:rsidRDefault="00425BBB" w:rsidP="001661EA">
            <w:pPr>
              <w:jc w:val="center"/>
              <w:rPr>
                <w:color w:val="000000"/>
              </w:rPr>
            </w:pPr>
            <w:r w:rsidRPr="00F62D9B">
              <w:rPr>
                <w:color w:val="000000"/>
              </w:rPr>
              <w:t>13</w:t>
            </w:r>
          </w:p>
        </w:tc>
        <w:tc>
          <w:tcPr>
            <w:tcW w:w="1980" w:type="dxa"/>
          </w:tcPr>
          <w:p w:rsidR="001661EA" w:rsidRPr="00F62D9B" w:rsidRDefault="00425BBB" w:rsidP="001661EA">
            <w:pPr>
              <w:jc w:val="center"/>
              <w:rPr>
                <w:color w:val="000000"/>
              </w:rPr>
            </w:pPr>
            <w:r w:rsidRPr="00F62D9B">
              <w:rPr>
                <w:color w:val="000000"/>
              </w:rPr>
              <w:t>Залог ценных бумаг из Ломбардного списка БР</w:t>
            </w:r>
          </w:p>
        </w:tc>
        <w:tc>
          <w:tcPr>
            <w:tcW w:w="1440" w:type="dxa"/>
          </w:tcPr>
          <w:p w:rsidR="006804C6" w:rsidRPr="00F62D9B" w:rsidRDefault="006804C6" w:rsidP="001661EA">
            <w:pPr>
              <w:jc w:val="center"/>
              <w:rPr>
                <w:color w:val="000000"/>
              </w:rPr>
            </w:pPr>
          </w:p>
          <w:p w:rsidR="001661EA" w:rsidRPr="00F62D9B" w:rsidRDefault="00425BBB" w:rsidP="001661EA">
            <w:pPr>
              <w:jc w:val="center"/>
              <w:rPr>
                <w:color w:val="000000"/>
              </w:rPr>
            </w:pPr>
            <w:r w:rsidRPr="00657DC4">
              <w:t>Положение 236-П</w:t>
            </w:r>
          </w:p>
        </w:tc>
      </w:tr>
      <w:tr w:rsidR="00425BBB" w:rsidRPr="00F62D9B">
        <w:trPr>
          <w:trHeight w:val="626"/>
        </w:trPr>
        <w:tc>
          <w:tcPr>
            <w:tcW w:w="1368" w:type="dxa"/>
          </w:tcPr>
          <w:p w:rsidR="006804C6" w:rsidRPr="00F62D9B" w:rsidRDefault="006804C6" w:rsidP="001661EA">
            <w:pPr>
              <w:jc w:val="center"/>
              <w:rPr>
                <w:color w:val="000000"/>
              </w:rPr>
            </w:pPr>
          </w:p>
          <w:p w:rsidR="006804C6" w:rsidRPr="00F62D9B" w:rsidRDefault="006804C6" w:rsidP="001661EA">
            <w:pPr>
              <w:jc w:val="center"/>
              <w:rPr>
                <w:color w:val="000000"/>
              </w:rPr>
            </w:pPr>
          </w:p>
          <w:p w:rsidR="00425BBB" w:rsidRPr="00F62D9B" w:rsidRDefault="001661EA" w:rsidP="001661EA">
            <w:pPr>
              <w:jc w:val="center"/>
              <w:rPr>
                <w:color w:val="000000"/>
              </w:rPr>
            </w:pPr>
            <w:r w:rsidRPr="00F62D9B">
              <w:rPr>
                <w:color w:val="000000"/>
              </w:rPr>
              <w:t>Ломбард</w:t>
            </w:r>
          </w:p>
          <w:p w:rsidR="001661EA" w:rsidRPr="00F62D9B" w:rsidRDefault="001661EA" w:rsidP="001661EA">
            <w:pPr>
              <w:jc w:val="center"/>
              <w:rPr>
                <w:color w:val="000000"/>
              </w:rPr>
            </w:pPr>
            <w:r w:rsidRPr="00F62D9B">
              <w:rPr>
                <w:color w:val="000000"/>
              </w:rPr>
              <w:t>ный</w:t>
            </w:r>
          </w:p>
        </w:tc>
        <w:tc>
          <w:tcPr>
            <w:tcW w:w="1440" w:type="dxa"/>
          </w:tcPr>
          <w:p w:rsidR="006804C6" w:rsidRPr="00F62D9B" w:rsidRDefault="006804C6" w:rsidP="001661EA">
            <w:pPr>
              <w:jc w:val="center"/>
              <w:rPr>
                <w:color w:val="000000"/>
              </w:rPr>
            </w:pPr>
          </w:p>
          <w:p w:rsidR="006804C6" w:rsidRPr="00F62D9B" w:rsidRDefault="006804C6" w:rsidP="001661EA">
            <w:pPr>
              <w:jc w:val="center"/>
              <w:rPr>
                <w:color w:val="000000"/>
              </w:rPr>
            </w:pPr>
          </w:p>
          <w:p w:rsidR="001661EA" w:rsidRPr="00F62D9B" w:rsidRDefault="00425BBB" w:rsidP="001661EA">
            <w:pPr>
              <w:jc w:val="center"/>
              <w:rPr>
                <w:color w:val="000000"/>
              </w:rPr>
            </w:pPr>
            <w:r w:rsidRPr="00F62D9B">
              <w:rPr>
                <w:color w:val="000000"/>
              </w:rPr>
              <w:t>7 или 14 (календ.)</w:t>
            </w:r>
          </w:p>
        </w:tc>
        <w:tc>
          <w:tcPr>
            <w:tcW w:w="1440" w:type="dxa"/>
          </w:tcPr>
          <w:p w:rsidR="006804C6" w:rsidRPr="00F62D9B" w:rsidRDefault="006804C6" w:rsidP="001661EA">
            <w:pPr>
              <w:jc w:val="center"/>
              <w:rPr>
                <w:color w:val="000000"/>
              </w:rPr>
            </w:pPr>
          </w:p>
          <w:p w:rsidR="006804C6" w:rsidRPr="00F62D9B" w:rsidRDefault="006804C6" w:rsidP="001661EA">
            <w:pPr>
              <w:jc w:val="center"/>
              <w:rPr>
                <w:color w:val="000000"/>
              </w:rPr>
            </w:pPr>
          </w:p>
          <w:p w:rsidR="006804C6" w:rsidRPr="00F62D9B" w:rsidRDefault="006804C6" w:rsidP="001661EA">
            <w:pPr>
              <w:jc w:val="center"/>
              <w:rPr>
                <w:color w:val="000000"/>
              </w:rPr>
            </w:pPr>
          </w:p>
          <w:p w:rsidR="001661EA" w:rsidRPr="00F62D9B" w:rsidRDefault="00425BBB" w:rsidP="001661EA">
            <w:pPr>
              <w:jc w:val="center"/>
              <w:rPr>
                <w:color w:val="000000"/>
              </w:rPr>
            </w:pPr>
            <w:r w:rsidRPr="00F62D9B">
              <w:rPr>
                <w:color w:val="000000"/>
              </w:rPr>
              <w:t>нет</w:t>
            </w:r>
          </w:p>
        </w:tc>
        <w:tc>
          <w:tcPr>
            <w:tcW w:w="1800" w:type="dxa"/>
          </w:tcPr>
          <w:p w:rsidR="001661EA" w:rsidRPr="00F62D9B" w:rsidRDefault="00425BBB" w:rsidP="001661EA">
            <w:pPr>
              <w:jc w:val="center"/>
              <w:rPr>
                <w:color w:val="000000"/>
              </w:rPr>
            </w:pPr>
            <w:r w:rsidRPr="00F62D9B">
              <w:rPr>
                <w:color w:val="000000"/>
              </w:rPr>
              <w:t>Определяется по итогам аукциона, либо устанавливается Банком России для операций на фикс. условиях</w:t>
            </w:r>
          </w:p>
        </w:tc>
        <w:tc>
          <w:tcPr>
            <w:tcW w:w="1980" w:type="dxa"/>
          </w:tcPr>
          <w:p w:rsidR="001661EA" w:rsidRPr="00F62D9B" w:rsidRDefault="00425BBB" w:rsidP="001661EA">
            <w:pPr>
              <w:jc w:val="center"/>
              <w:rPr>
                <w:color w:val="000000"/>
              </w:rPr>
            </w:pPr>
            <w:r w:rsidRPr="00F62D9B">
              <w:rPr>
                <w:color w:val="000000"/>
              </w:rPr>
              <w:t>Залог ценных бумаг из Ломбардного списка БР</w:t>
            </w:r>
          </w:p>
        </w:tc>
        <w:tc>
          <w:tcPr>
            <w:tcW w:w="1440" w:type="dxa"/>
          </w:tcPr>
          <w:p w:rsidR="006804C6" w:rsidRPr="00F62D9B" w:rsidRDefault="006804C6" w:rsidP="001661EA">
            <w:pPr>
              <w:jc w:val="center"/>
              <w:rPr>
                <w:color w:val="000000"/>
              </w:rPr>
            </w:pPr>
          </w:p>
          <w:p w:rsidR="006804C6" w:rsidRPr="00F62D9B" w:rsidRDefault="006804C6" w:rsidP="001661EA">
            <w:pPr>
              <w:jc w:val="center"/>
              <w:rPr>
                <w:color w:val="000000"/>
              </w:rPr>
            </w:pPr>
          </w:p>
          <w:p w:rsidR="001661EA" w:rsidRPr="00F62D9B" w:rsidRDefault="00425BBB" w:rsidP="001661EA">
            <w:pPr>
              <w:jc w:val="center"/>
              <w:rPr>
                <w:color w:val="000000"/>
              </w:rPr>
            </w:pPr>
            <w:r w:rsidRPr="00657DC4">
              <w:t>Положение 236-П</w:t>
            </w:r>
          </w:p>
        </w:tc>
      </w:tr>
      <w:tr w:rsidR="00425BBB" w:rsidRPr="00F62D9B">
        <w:tc>
          <w:tcPr>
            <w:tcW w:w="1368" w:type="dxa"/>
          </w:tcPr>
          <w:p w:rsidR="00425BBB" w:rsidRPr="00F62D9B" w:rsidRDefault="001661EA" w:rsidP="001661EA">
            <w:pPr>
              <w:jc w:val="center"/>
              <w:rPr>
                <w:color w:val="000000"/>
              </w:rPr>
            </w:pPr>
            <w:r w:rsidRPr="00F62D9B">
              <w:rPr>
                <w:color w:val="000000"/>
              </w:rPr>
              <w:t>Кредит под залог и поручи</w:t>
            </w:r>
          </w:p>
          <w:p w:rsidR="001661EA" w:rsidRPr="00F62D9B" w:rsidRDefault="001661EA" w:rsidP="001661EA">
            <w:pPr>
              <w:jc w:val="center"/>
              <w:rPr>
                <w:color w:val="000000"/>
              </w:rPr>
            </w:pPr>
            <w:r w:rsidRPr="00F62D9B">
              <w:rPr>
                <w:color w:val="000000"/>
              </w:rPr>
              <w:t>тельства</w:t>
            </w:r>
          </w:p>
        </w:tc>
        <w:tc>
          <w:tcPr>
            <w:tcW w:w="1440" w:type="dxa"/>
          </w:tcPr>
          <w:p w:rsidR="006804C6" w:rsidRPr="00F62D9B" w:rsidRDefault="006804C6" w:rsidP="001661EA">
            <w:pPr>
              <w:jc w:val="center"/>
              <w:rPr>
                <w:color w:val="000000"/>
              </w:rPr>
            </w:pPr>
          </w:p>
          <w:p w:rsidR="001661EA" w:rsidRPr="00F62D9B" w:rsidRDefault="00425BBB" w:rsidP="001661EA">
            <w:pPr>
              <w:jc w:val="center"/>
              <w:rPr>
                <w:color w:val="000000"/>
              </w:rPr>
            </w:pPr>
            <w:r w:rsidRPr="00F62D9B">
              <w:rPr>
                <w:color w:val="000000"/>
              </w:rPr>
              <w:t>до 180 (календ.)</w:t>
            </w:r>
          </w:p>
        </w:tc>
        <w:tc>
          <w:tcPr>
            <w:tcW w:w="1440" w:type="dxa"/>
          </w:tcPr>
          <w:p w:rsidR="006804C6" w:rsidRPr="00F62D9B" w:rsidRDefault="006804C6" w:rsidP="001661EA">
            <w:pPr>
              <w:jc w:val="center"/>
              <w:rPr>
                <w:color w:val="000000"/>
              </w:rPr>
            </w:pPr>
          </w:p>
          <w:p w:rsidR="001661EA" w:rsidRPr="00F62D9B" w:rsidRDefault="00425BBB" w:rsidP="001661EA">
            <w:pPr>
              <w:jc w:val="center"/>
              <w:rPr>
                <w:color w:val="000000"/>
              </w:rPr>
            </w:pPr>
            <w:r w:rsidRPr="00F62D9B">
              <w:rPr>
                <w:color w:val="000000"/>
              </w:rPr>
              <w:t>да</w:t>
            </w:r>
          </w:p>
        </w:tc>
        <w:tc>
          <w:tcPr>
            <w:tcW w:w="1800" w:type="dxa"/>
          </w:tcPr>
          <w:p w:rsidR="006804C6" w:rsidRPr="00F62D9B" w:rsidRDefault="006804C6" w:rsidP="001661EA">
            <w:pPr>
              <w:jc w:val="center"/>
              <w:rPr>
                <w:color w:val="000000"/>
              </w:rPr>
            </w:pPr>
          </w:p>
          <w:p w:rsidR="001661EA" w:rsidRPr="00F62D9B" w:rsidRDefault="00425BBB" w:rsidP="001661EA">
            <w:pPr>
              <w:jc w:val="center"/>
              <w:rPr>
                <w:color w:val="000000"/>
              </w:rPr>
            </w:pPr>
            <w:r w:rsidRPr="00F62D9B">
              <w:rPr>
                <w:color w:val="000000"/>
              </w:rPr>
              <w:t>10</w:t>
            </w:r>
          </w:p>
        </w:tc>
        <w:tc>
          <w:tcPr>
            <w:tcW w:w="1980" w:type="dxa"/>
          </w:tcPr>
          <w:p w:rsidR="001661EA" w:rsidRPr="00F62D9B" w:rsidRDefault="00425BBB" w:rsidP="001661EA">
            <w:pPr>
              <w:jc w:val="center"/>
              <w:rPr>
                <w:color w:val="000000"/>
              </w:rPr>
            </w:pPr>
            <w:r w:rsidRPr="00F62D9B">
              <w:rPr>
                <w:color w:val="000000"/>
              </w:rPr>
              <w:t>Залог векселей и прав требования по кредитным договорам и поручительства </w:t>
            </w:r>
          </w:p>
        </w:tc>
        <w:tc>
          <w:tcPr>
            <w:tcW w:w="1440" w:type="dxa"/>
          </w:tcPr>
          <w:p w:rsidR="006804C6" w:rsidRPr="00F62D9B" w:rsidRDefault="006804C6" w:rsidP="001661EA">
            <w:pPr>
              <w:jc w:val="center"/>
              <w:rPr>
                <w:color w:val="000000"/>
              </w:rPr>
            </w:pPr>
          </w:p>
          <w:p w:rsidR="001661EA" w:rsidRPr="00F62D9B" w:rsidRDefault="00425BBB" w:rsidP="001661EA">
            <w:pPr>
              <w:jc w:val="center"/>
              <w:rPr>
                <w:color w:val="000000"/>
              </w:rPr>
            </w:pPr>
            <w:r w:rsidRPr="00657DC4">
              <w:t>Положение 122-П</w:t>
            </w:r>
          </w:p>
        </w:tc>
      </w:tr>
    </w:tbl>
    <w:p w:rsidR="001661EA" w:rsidRPr="001661EA" w:rsidRDefault="001661EA" w:rsidP="00425BBB">
      <w:pPr>
        <w:pStyle w:val="a3"/>
        <w:spacing w:before="0" w:beforeAutospacing="0" w:after="0" w:afterAutospacing="0" w:line="360" w:lineRule="auto"/>
        <w:jc w:val="both"/>
        <w:rPr>
          <w:sz w:val="28"/>
          <w:szCs w:val="28"/>
        </w:rPr>
      </w:pPr>
    </w:p>
    <w:p w:rsidR="003E3852" w:rsidRPr="003E3852" w:rsidRDefault="003E3852" w:rsidP="003E3852">
      <w:pPr>
        <w:spacing w:line="360" w:lineRule="auto"/>
        <w:ind w:firstLine="539"/>
        <w:jc w:val="both"/>
        <w:rPr>
          <w:sz w:val="28"/>
          <w:szCs w:val="28"/>
        </w:rPr>
      </w:pPr>
      <w:r w:rsidRPr="003E3852">
        <w:rPr>
          <w:sz w:val="28"/>
          <w:szCs w:val="28"/>
        </w:rPr>
        <w:t>Кредитование под залог (блокировку) ценных бумаг осуществляется в соответствии с Положением Банка России от 4 августа 2003 года №236-П "О порядке предоставления Банком России кредитным организациям кредитов, обеспеченных залогом (блокировкой) ценных бумаг" (с учетом изменений).</w:t>
      </w:r>
    </w:p>
    <w:p w:rsidR="003E3852" w:rsidRPr="003E3852" w:rsidRDefault="003E3852" w:rsidP="003E3852">
      <w:pPr>
        <w:spacing w:line="360" w:lineRule="auto"/>
        <w:ind w:firstLine="539"/>
        <w:jc w:val="both"/>
        <w:rPr>
          <w:sz w:val="28"/>
          <w:szCs w:val="28"/>
        </w:rPr>
      </w:pPr>
      <w:bookmarkStart w:id="0" w:name="BM3_1"/>
      <w:bookmarkEnd w:id="0"/>
      <w:r w:rsidRPr="003E3852">
        <w:rPr>
          <w:sz w:val="28"/>
          <w:szCs w:val="28"/>
        </w:rPr>
        <w:t xml:space="preserve">ЦБ РФ предоставляет кредитным организациям в автоматическом режиме </w:t>
      </w:r>
      <w:r w:rsidRPr="003E3852">
        <w:rPr>
          <w:bCs/>
          <w:sz w:val="28"/>
          <w:szCs w:val="28"/>
        </w:rPr>
        <w:t>внутридневные кредиты</w:t>
      </w:r>
      <w:r w:rsidRPr="003E3852">
        <w:rPr>
          <w:sz w:val="28"/>
          <w:szCs w:val="28"/>
        </w:rPr>
        <w:t xml:space="preserve"> и </w:t>
      </w:r>
      <w:r w:rsidRPr="003E3852">
        <w:rPr>
          <w:bCs/>
          <w:sz w:val="28"/>
          <w:szCs w:val="28"/>
        </w:rPr>
        <w:t>кредиты овернайт</w:t>
      </w:r>
      <w:r w:rsidRPr="003E3852">
        <w:rPr>
          <w:sz w:val="28"/>
          <w:szCs w:val="28"/>
        </w:rPr>
        <w:t xml:space="preserve"> и в режиме запроса (заявления на получение кредита по фиксированной процентной ставке /заявки на участие в ломбардном кредитном аукционе) -</w:t>
      </w:r>
      <w:r w:rsidRPr="003E3852">
        <w:rPr>
          <w:bCs/>
          <w:sz w:val="28"/>
          <w:szCs w:val="28"/>
        </w:rPr>
        <w:t xml:space="preserve"> ломбардные кредиты.</w:t>
      </w:r>
    </w:p>
    <w:p w:rsidR="003E3852" w:rsidRPr="005C37F3" w:rsidRDefault="003E3852" w:rsidP="003E3852">
      <w:pPr>
        <w:spacing w:line="360" w:lineRule="auto"/>
        <w:ind w:firstLine="539"/>
        <w:jc w:val="both"/>
        <w:rPr>
          <w:sz w:val="28"/>
          <w:szCs w:val="28"/>
        </w:rPr>
      </w:pPr>
      <w:r w:rsidRPr="005C37F3">
        <w:rPr>
          <w:sz w:val="28"/>
          <w:szCs w:val="28"/>
        </w:rPr>
        <w:t>Внутридневные кредиты бесплатны для кредитных организаций, кредиты овернайт предоставляются на погашение оставшейся непогашенной к концу дня задолженности по внутридневному кредиту по ставке овернайт ЦБ РФ. Внутридневные кредиты и кредиты овернайт могут быть получены кредитной организацией на любые банковские счета, открытые в 64 территориальных учреждениях ЦБ РФ.</w:t>
      </w:r>
    </w:p>
    <w:p w:rsidR="003E3852" w:rsidRPr="005C37F3" w:rsidRDefault="003E3852" w:rsidP="003E3852">
      <w:pPr>
        <w:spacing w:line="360" w:lineRule="auto"/>
        <w:ind w:firstLine="539"/>
        <w:jc w:val="both"/>
        <w:rPr>
          <w:sz w:val="28"/>
          <w:szCs w:val="28"/>
        </w:rPr>
      </w:pPr>
      <w:bookmarkStart w:id="1" w:name="BM3_2"/>
      <w:bookmarkEnd w:id="1"/>
      <w:r w:rsidRPr="005C37F3">
        <w:rPr>
          <w:sz w:val="28"/>
          <w:szCs w:val="28"/>
        </w:rPr>
        <w:t>Ломбардные кредиты ЦБ РФ могут предоставляться на фиксированных условиях и на аукционной основе на любые банковские счета (корреспондентский счет и (или) корреспондентские субсчета) кредитной организации, открытые во всех территориальных учреждениях ЦБ РФ.</w:t>
      </w:r>
    </w:p>
    <w:p w:rsidR="003E3852" w:rsidRPr="005C37F3" w:rsidRDefault="003E3852" w:rsidP="003E3852">
      <w:pPr>
        <w:spacing w:line="360" w:lineRule="auto"/>
        <w:ind w:firstLine="540"/>
        <w:jc w:val="both"/>
        <w:rPr>
          <w:sz w:val="28"/>
          <w:szCs w:val="28"/>
        </w:rPr>
      </w:pPr>
      <w:bookmarkStart w:id="2" w:name="BM3_4"/>
      <w:bookmarkEnd w:id="2"/>
      <w:r w:rsidRPr="005C37F3">
        <w:rPr>
          <w:sz w:val="28"/>
          <w:szCs w:val="28"/>
        </w:rPr>
        <w:t>К кредитным организациям - контрагентам ЦБ РФ предъявляют следующие требования:</w:t>
      </w:r>
    </w:p>
    <w:p w:rsidR="003E3852" w:rsidRPr="005C37F3" w:rsidRDefault="003E3852" w:rsidP="003E3852">
      <w:pPr>
        <w:numPr>
          <w:ilvl w:val="0"/>
          <w:numId w:val="1"/>
        </w:numPr>
        <w:tabs>
          <w:tab w:val="clear" w:pos="1260"/>
          <w:tab w:val="num" w:pos="900"/>
        </w:tabs>
        <w:spacing w:line="360" w:lineRule="auto"/>
        <w:ind w:left="0" w:firstLine="539"/>
        <w:jc w:val="both"/>
        <w:rPr>
          <w:sz w:val="28"/>
          <w:szCs w:val="28"/>
        </w:rPr>
      </w:pPr>
      <w:r w:rsidRPr="005C37F3">
        <w:rPr>
          <w:sz w:val="28"/>
          <w:szCs w:val="28"/>
        </w:rPr>
        <w:t xml:space="preserve">она отнесена к категории "Финансово стабильные кредитные организации" (в соответствии с Указанием Банка России от 31.03.2000 № 766-У с изменениями); </w:t>
      </w:r>
    </w:p>
    <w:p w:rsidR="003E3852" w:rsidRPr="005C37F3" w:rsidRDefault="003E3852" w:rsidP="003E3852">
      <w:pPr>
        <w:numPr>
          <w:ilvl w:val="0"/>
          <w:numId w:val="1"/>
        </w:numPr>
        <w:tabs>
          <w:tab w:val="clear" w:pos="1260"/>
          <w:tab w:val="num" w:pos="900"/>
        </w:tabs>
        <w:spacing w:line="360" w:lineRule="auto"/>
        <w:ind w:left="0" w:firstLine="539"/>
        <w:jc w:val="both"/>
        <w:rPr>
          <w:sz w:val="28"/>
          <w:szCs w:val="28"/>
        </w:rPr>
      </w:pPr>
      <w:r w:rsidRPr="005C37F3">
        <w:rPr>
          <w:sz w:val="28"/>
          <w:szCs w:val="28"/>
        </w:rPr>
        <w:t xml:space="preserve">не имеет недовзноса в обязательные резервы, неуплаченных штрафов, непредоставленного расчета размера обязательных резервов; </w:t>
      </w:r>
    </w:p>
    <w:p w:rsidR="003E3852" w:rsidRPr="005C37F3" w:rsidRDefault="003E3852" w:rsidP="003E3852">
      <w:pPr>
        <w:numPr>
          <w:ilvl w:val="0"/>
          <w:numId w:val="1"/>
        </w:numPr>
        <w:tabs>
          <w:tab w:val="clear" w:pos="1260"/>
          <w:tab w:val="num" w:pos="900"/>
        </w:tabs>
        <w:spacing w:line="360" w:lineRule="auto"/>
        <w:ind w:left="0" w:firstLine="539"/>
        <w:jc w:val="both"/>
        <w:rPr>
          <w:sz w:val="28"/>
          <w:szCs w:val="28"/>
        </w:rPr>
      </w:pPr>
      <w:r w:rsidRPr="005C37F3">
        <w:rPr>
          <w:sz w:val="28"/>
          <w:szCs w:val="28"/>
        </w:rPr>
        <w:t>не имеет просроченных денежных обязательств перед ЦБ РФ;</w:t>
      </w:r>
    </w:p>
    <w:p w:rsidR="003E3852" w:rsidRPr="000D2F57" w:rsidRDefault="003E3852" w:rsidP="003E3852">
      <w:pPr>
        <w:numPr>
          <w:ilvl w:val="0"/>
          <w:numId w:val="1"/>
        </w:numPr>
        <w:tabs>
          <w:tab w:val="clear" w:pos="1260"/>
          <w:tab w:val="num" w:pos="900"/>
        </w:tabs>
        <w:spacing w:line="360" w:lineRule="auto"/>
        <w:ind w:left="0" w:firstLine="539"/>
        <w:jc w:val="both"/>
        <w:rPr>
          <w:sz w:val="20"/>
          <w:szCs w:val="20"/>
        </w:rPr>
      </w:pPr>
      <w:r w:rsidRPr="005C37F3">
        <w:rPr>
          <w:sz w:val="28"/>
          <w:szCs w:val="28"/>
        </w:rPr>
        <w:t>предоставила на основании договора корреспондентского счета (договоров корреспондентского субсчета) ЦБ РФ право на списание денежных средств с его корреспондентского счета и корреспондентских субсчетов, открытых в ЦБ РФ, в объеме требований ЦБ РФ по договорам на предоставление кредита ЦБ РФ на основании инкассовых поручений ЦБ РФ без распор</w:t>
      </w:r>
      <w:r>
        <w:rPr>
          <w:sz w:val="28"/>
          <w:szCs w:val="28"/>
        </w:rPr>
        <w:t>яжения банка – владельца счета.</w:t>
      </w:r>
    </w:p>
    <w:p w:rsidR="00F717B0" w:rsidRPr="00F717B0" w:rsidRDefault="00F717B0" w:rsidP="00F717B0">
      <w:pPr>
        <w:spacing w:line="360" w:lineRule="auto"/>
        <w:jc w:val="both"/>
        <w:rPr>
          <w:sz w:val="28"/>
          <w:szCs w:val="28"/>
        </w:rPr>
      </w:pPr>
      <w:r w:rsidRPr="00F717B0">
        <w:rPr>
          <w:sz w:val="28"/>
          <w:szCs w:val="28"/>
        </w:rPr>
        <w:t xml:space="preserve"> </w:t>
      </w:r>
      <w:r>
        <w:rPr>
          <w:sz w:val="28"/>
          <w:szCs w:val="28"/>
        </w:rPr>
        <w:t xml:space="preserve">       </w:t>
      </w:r>
      <w:r w:rsidRPr="00F717B0">
        <w:rPr>
          <w:sz w:val="28"/>
          <w:szCs w:val="28"/>
        </w:rPr>
        <w:t>Осуществляя политику рефинансирования,  Центральный банк РФ преследует приоритетную цель - воздействие на состояние денежно-кредитной сферы.</w:t>
      </w:r>
    </w:p>
    <w:p w:rsidR="004C3451" w:rsidRPr="00F717B0" w:rsidRDefault="004C3451" w:rsidP="004C3451">
      <w:pPr>
        <w:rPr>
          <w:sz w:val="28"/>
          <w:szCs w:val="28"/>
        </w:rPr>
      </w:pPr>
    </w:p>
    <w:p w:rsidR="004C3451" w:rsidRPr="004C3451" w:rsidRDefault="004C3451" w:rsidP="004C3451"/>
    <w:p w:rsidR="004C3451" w:rsidRDefault="004C3451" w:rsidP="004C3451"/>
    <w:p w:rsidR="00F717B0" w:rsidRPr="004C3451" w:rsidRDefault="00F717B0" w:rsidP="004C3451"/>
    <w:p w:rsidR="004C3451" w:rsidRDefault="004C3451" w:rsidP="004C3451"/>
    <w:p w:rsidR="004C3451" w:rsidRDefault="004C3451" w:rsidP="004C3451"/>
    <w:p w:rsidR="00922B11" w:rsidRDefault="004C3451" w:rsidP="004C3451">
      <w:pPr>
        <w:spacing w:line="360" w:lineRule="auto"/>
        <w:jc w:val="center"/>
        <w:rPr>
          <w:sz w:val="32"/>
          <w:szCs w:val="32"/>
        </w:rPr>
      </w:pPr>
      <w:r w:rsidRPr="004C3451">
        <w:rPr>
          <w:sz w:val="32"/>
          <w:szCs w:val="32"/>
        </w:rPr>
        <w:t xml:space="preserve">Список </w:t>
      </w:r>
      <w:r w:rsidR="00F717B0">
        <w:rPr>
          <w:sz w:val="32"/>
          <w:szCs w:val="32"/>
        </w:rPr>
        <w:t>нормативных документов</w:t>
      </w:r>
    </w:p>
    <w:p w:rsidR="00F717B0" w:rsidRPr="004C3451" w:rsidRDefault="00F717B0" w:rsidP="004C3451">
      <w:pPr>
        <w:spacing w:line="360" w:lineRule="auto"/>
        <w:jc w:val="center"/>
        <w:rPr>
          <w:sz w:val="32"/>
          <w:szCs w:val="32"/>
        </w:rPr>
      </w:pPr>
    </w:p>
    <w:p w:rsidR="004C3451" w:rsidRDefault="004C3451" w:rsidP="004C3451">
      <w:pPr>
        <w:numPr>
          <w:ilvl w:val="0"/>
          <w:numId w:val="2"/>
        </w:numPr>
        <w:spacing w:line="360" w:lineRule="auto"/>
        <w:jc w:val="both"/>
        <w:rPr>
          <w:sz w:val="28"/>
          <w:szCs w:val="28"/>
        </w:rPr>
      </w:pPr>
      <w:r w:rsidRPr="004C3451">
        <w:rPr>
          <w:sz w:val="28"/>
          <w:szCs w:val="28"/>
        </w:rPr>
        <w:t>«ПОЛОЖЕНИЕ О ПОРЯДКЕ ПРЕДОСТАВЛЕНИЯ БАНКОМ РОССИИ КРЕДИТНЫМ ОРГАНИЗАЦИЯМ КРЕДИТОВ, ОБЕСПЕЧЕННЫХ ЗАЛОГОМ</w:t>
      </w:r>
      <w:r w:rsidR="009D2D6F">
        <w:rPr>
          <w:sz w:val="28"/>
          <w:szCs w:val="28"/>
        </w:rPr>
        <w:t xml:space="preserve"> </w:t>
      </w:r>
      <w:r w:rsidRPr="004C3451">
        <w:rPr>
          <w:sz w:val="28"/>
          <w:szCs w:val="28"/>
        </w:rPr>
        <w:t>(БЛОКИРОВКОЙ) ЦЕННЫХ БУМАГ»</w:t>
      </w:r>
      <w:r>
        <w:rPr>
          <w:sz w:val="28"/>
          <w:szCs w:val="28"/>
        </w:rPr>
        <w:t xml:space="preserve"> (утв. ЦБ РФ 04.08.2003 № 236-П) (ред. от 30.08.2004) (зарегистрировано в Минюсте РФ 29.08.2003 № 5033);</w:t>
      </w:r>
    </w:p>
    <w:p w:rsidR="004C3451" w:rsidRDefault="004C3451" w:rsidP="004C3451">
      <w:pPr>
        <w:numPr>
          <w:ilvl w:val="0"/>
          <w:numId w:val="2"/>
        </w:numPr>
        <w:spacing w:line="360" w:lineRule="auto"/>
        <w:jc w:val="both"/>
        <w:rPr>
          <w:sz w:val="28"/>
          <w:szCs w:val="28"/>
        </w:rPr>
      </w:pPr>
      <w:r>
        <w:rPr>
          <w:sz w:val="28"/>
          <w:szCs w:val="28"/>
        </w:rPr>
        <w:t xml:space="preserve">«ПОЛОЖЕНИЕ </w:t>
      </w:r>
      <w:r w:rsidR="009D2D6F">
        <w:rPr>
          <w:sz w:val="28"/>
          <w:szCs w:val="28"/>
        </w:rPr>
        <w:t xml:space="preserve">О </w:t>
      </w:r>
      <w:r>
        <w:rPr>
          <w:sz w:val="28"/>
          <w:szCs w:val="28"/>
        </w:rPr>
        <w:t>ПОРЯДКЕ РПЕДОСТАВЛЕНИЯ БАНКОМ РОССИИ КРЕДИТОВ БАНКАМ, ОБЕСПЕЧЕННЫХ ЗАЛОГОМ И ПОРУЧИТЕЛЬСТВАМИ» (утв. ЦБ РФ 03.10.2000 № 122-П) (ред. от 28.12.2001);</w:t>
      </w:r>
    </w:p>
    <w:p w:rsidR="00F717B0" w:rsidRDefault="004C3451" w:rsidP="004C3451">
      <w:pPr>
        <w:numPr>
          <w:ilvl w:val="0"/>
          <w:numId w:val="2"/>
        </w:numPr>
        <w:spacing w:line="360" w:lineRule="auto"/>
        <w:jc w:val="both"/>
        <w:rPr>
          <w:sz w:val="28"/>
          <w:szCs w:val="28"/>
        </w:rPr>
      </w:pPr>
      <w:r>
        <w:rPr>
          <w:sz w:val="28"/>
          <w:szCs w:val="28"/>
        </w:rPr>
        <w:t xml:space="preserve">УКАЗАНИЕ </w:t>
      </w:r>
      <w:r w:rsidR="009D2D6F">
        <w:rPr>
          <w:sz w:val="28"/>
          <w:szCs w:val="28"/>
        </w:rPr>
        <w:t xml:space="preserve">ЦБ РФ от 31.03.2000 № 766-У (ред. от 21.12.2000) «О КРИТЕРИЯХ ОПРЕДЕЛЕНИЯ </w:t>
      </w:r>
      <w:r w:rsidR="00F717B0">
        <w:rPr>
          <w:sz w:val="28"/>
          <w:szCs w:val="28"/>
        </w:rPr>
        <w:t>ФИНАНСОВОГО СОСТОЯНИЯ КРЕДИТНЫХ ОРГАНИЗАЦИЙ»;</w:t>
      </w:r>
    </w:p>
    <w:p w:rsidR="004C3451" w:rsidRDefault="00F717B0" w:rsidP="004C3451">
      <w:pPr>
        <w:numPr>
          <w:ilvl w:val="0"/>
          <w:numId w:val="2"/>
        </w:numPr>
        <w:spacing w:line="360" w:lineRule="auto"/>
        <w:jc w:val="both"/>
        <w:rPr>
          <w:sz w:val="28"/>
          <w:szCs w:val="28"/>
        </w:rPr>
      </w:pPr>
      <w:r>
        <w:rPr>
          <w:sz w:val="28"/>
          <w:szCs w:val="28"/>
        </w:rPr>
        <w:t>УКЗАНИЕ ЦБ РФ от 31.03.2000</w:t>
      </w:r>
      <w:r w:rsidR="009D2D6F">
        <w:rPr>
          <w:sz w:val="28"/>
          <w:szCs w:val="28"/>
        </w:rPr>
        <w:t xml:space="preserve"> </w:t>
      </w:r>
      <w:r>
        <w:rPr>
          <w:sz w:val="28"/>
          <w:szCs w:val="28"/>
        </w:rPr>
        <w:t>№ 2005-У «ОБ ОЦЕНКЕ ЭКОНОМИЧЕСКОГО ПОЛОЖЕНИЯ БАНКОВ»</w:t>
      </w:r>
    </w:p>
    <w:p w:rsidR="00F717B0" w:rsidRDefault="00F717B0" w:rsidP="00F717B0">
      <w:pPr>
        <w:spacing w:line="360" w:lineRule="auto"/>
        <w:jc w:val="both"/>
        <w:rPr>
          <w:sz w:val="28"/>
          <w:szCs w:val="28"/>
        </w:rPr>
      </w:pPr>
    </w:p>
    <w:p w:rsidR="00F717B0" w:rsidRDefault="00F717B0" w:rsidP="00F717B0">
      <w:pPr>
        <w:spacing w:line="360" w:lineRule="auto"/>
        <w:jc w:val="both"/>
        <w:rPr>
          <w:sz w:val="28"/>
          <w:szCs w:val="28"/>
        </w:rPr>
      </w:pPr>
    </w:p>
    <w:p w:rsidR="00F717B0" w:rsidRDefault="00F717B0" w:rsidP="00F717B0">
      <w:pPr>
        <w:spacing w:line="360" w:lineRule="auto"/>
        <w:jc w:val="both"/>
        <w:rPr>
          <w:sz w:val="28"/>
          <w:szCs w:val="28"/>
        </w:rPr>
      </w:pPr>
    </w:p>
    <w:p w:rsidR="00F717B0" w:rsidRPr="006804C6" w:rsidRDefault="00F717B0" w:rsidP="00F717B0">
      <w:pPr>
        <w:spacing w:line="360" w:lineRule="auto"/>
        <w:jc w:val="center"/>
        <w:rPr>
          <w:sz w:val="32"/>
          <w:szCs w:val="32"/>
        </w:rPr>
      </w:pPr>
      <w:r w:rsidRPr="006804C6">
        <w:rPr>
          <w:sz w:val="32"/>
          <w:szCs w:val="32"/>
        </w:rPr>
        <w:t>МИНИСТЕРСТВО ОБРАЗОВАНИЯ И НАУКИ</w:t>
      </w:r>
    </w:p>
    <w:p w:rsidR="00F717B0" w:rsidRPr="006804C6" w:rsidRDefault="00F717B0" w:rsidP="00F717B0">
      <w:pPr>
        <w:spacing w:line="360" w:lineRule="auto"/>
        <w:jc w:val="center"/>
        <w:rPr>
          <w:sz w:val="32"/>
          <w:szCs w:val="32"/>
        </w:rPr>
      </w:pPr>
      <w:r w:rsidRPr="006804C6">
        <w:rPr>
          <w:sz w:val="32"/>
          <w:szCs w:val="32"/>
        </w:rPr>
        <w:t>РОССИЙСКОЙ  ФЕДЕРАЦИИ</w:t>
      </w:r>
    </w:p>
    <w:p w:rsidR="00F717B0" w:rsidRDefault="00F717B0" w:rsidP="006804C6">
      <w:pPr>
        <w:spacing w:line="360" w:lineRule="auto"/>
        <w:jc w:val="center"/>
        <w:rPr>
          <w:sz w:val="32"/>
          <w:szCs w:val="32"/>
        </w:rPr>
      </w:pPr>
      <w:r w:rsidRPr="006804C6">
        <w:rPr>
          <w:sz w:val="32"/>
          <w:szCs w:val="32"/>
        </w:rPr>
        <w:t>ФЕДЕРАЛЬНОЕ АГЕНТСТВО ПО ОБРАЗОВАНИЮ</w:t>
      </w:r>
    </w:p>
    <w:p w:rsidR="006804C6" w:rsidRPr="006804C6" w:rsidRDefault="006804C6" w:rsidP="006804C6">
      <w:pPr>
        <w:spacing w:line="360" w:lineRule="auto"/>
        <w:jc w:val="center"/>
        <w:rPr>
          <w:sz w:val="32"/>
          <w:szCs w:val="32"/>
        </w:rPr>
      </w:pPr>
    </w:p>
    <w:p w:rsidR="003D2912" w:rsidRPr="006804C6" w:rsidRDefault="00F717B0" w:rsidP="00F717B0">
      <w:pPr>
        <w:spacing w:line="360" w:lineRule="auto"/>
        <w:jc w:val="center"/>
        <w:rPr>
          <w:sz w:val="32"/>
          <w:szCs w:val="32"/>
        </w:rPr>
      </w:pPr>
      <w:r w:rsidRPr="006804C6">
        <w:rPr>
          <w:sz w:val="32"/>
          <w:szCs w:val="32"/>
        </w:rPr>
        <w:t>Уральский государственный экономический университет</w:t>
      </w:r>
    </w:p>
    <w:p w:rsidR="003D2912" w:rsidRPr="006804C6" w:rsidRDefault="003D2912" w:rsidP="003D2912">
      <w:pPr>
        <w:rPr>
          <w:sz w:val="32"/>
          <w:szCs w:val="32"/>
        </w:rPr>
      </w:pPr>
    </w:p>
    <w:p w:rsidR="003D2912" w:rsidRPr="003D2912" w:rsidRDefault="003D2912" w:rsidP="003D2912">
      <w:pPr>
        <w:rPr>
          <w:sz w:val="28"/>
          <w:szCs w:val="28"/>
        </w:rPr>
      </w:pPr>
    </w:p>
    <w:p w:rsidR="003D2912" w:rsidRPr="003D2912" w:rsidRDefault="003D2912" w:rsidP="003D2912">
      <w:pPr>
        <w:rPr>
          <w:sz w:val="28"/>
          <w:szCs w:val="28"/>
        </w:rPr>
      </w:pPr>
    </w:p>
    <w:p w:rsidR="003D2912" w:rsidRPr="003D2912" w:rsidRDefault="003D2912" w:rsidP="003D2912">
      <w:pPr>
        <w:rPr>
          <w:sz w:val="28"/>
          <w:szCs w:val="28"/>
        </w:rPr>
      </w:pPr>
    </w:p>
    <w:p w:rsidR="003D2912" w:rsidRDefault="003D2912" w:rsidP="006804C6">
      <w:pPr>
        <w:spacing w:line="360" w:lineRule="auto"/>
        <w:rPr>
          <w:sz w:val="28"/>
          <w:szCs w:val="28"/>
        </w:rPr>
      </w:pPr>
    </w:p>
    <w:p w:rsidR="00F717B0" w:rsidRDefault="003D2912" w:rsidP="006804C6">
      <w:pPr>
        <w:tabs>
          <w:tab w:val="left" w:pos="1020"/>
        </w:tabs>
        <w:spacing w:line="360" w:lineRule="auto"/>
        <w:jc w:val="center"/>
        <w:rPr>
          <w:sz w:val="32"/>
          <w:szCs w:val="32"/>
        </w:rPr>
      </w:pPr>
      <w:r w:rsidRPr="006804C6">
        <w:rPr>
          <w:sz w:val="32"/>
          <w:szCs w:val="32"/>
        </w:rPr>
        <w:t>Контрольная ра</w:t>
      </w:r>
      <w:r w:rsidR="006804C6" w:rsidRPr="006804C6">
        <w:rPr>
          <w:sz w:val="32"/>
          <w:szCs w:val="32"/>
        </w:rPr>
        <w:t>б</w:t>
      </w:r>
      <w:r w:rsidRPr="006804C6">
        <w:rPr>
          <w:sz w:val="32"/>
          <w:szCs w:val="32"/>
        </w:rPr>
        <w:t>ота</w:t>
      </w:r>
      <w:r w:rsidR="006804C6" w:rsidRPr="006804C6">
        <w:rPr>
          <w:sz w:val="32"/>
          <w:szCs w:val="32"/>
        </w:rPr>
        <w:t xml:space="preserve"> на тему:</w:t>
      </w:r>
    </w:p>
    <w:p w:rsidR="006804C6" w:rsidRDefault="006804C6" w:rsidP="006804C6">
      <w:pPr>
        <w:tabs>
          <w:tab w:val="left" w:pos="1020"/>
        </w:tabs>
        <w:spacing w:line="360" w:lineRule="auto"/>
        <w:jc w:val="center"/>
        <w:rPr>
          <w:b/>
          <w:sz w:val="40"/>
          <w:szCs w:val="40"/>
        </w:rPr>
      </w:pPr>
      <w:r w:rsidRPr="006804C6">
        <w:rPr>
          <w:b/>
          <w:sz w:val="40"/>
          <w:szCs w:val="40"/>
        </w:rPr>
        <w:t>Учетная ставка Центрального банка как инструмент денежно-кредитного регулирования</w:t>
      </w:r>
    </w:p>
    <w:p w:rsidR="006804C6" w:rsidRPr="006804C6" w:rsidRDefault="006804C6" w:rsidP="006804C6">
      <w:pPr>
        <w:rPr>
          <w:sz w:val="40"/>
          <w:szCs w:val="40"/>
        </w:rPr>
      </w:pPr>
    </w:p>
    <w:p w:rsidR="006804C6" w:rsidRPr="006804C6" w:rsidRDefault="006804C6" w:rsidP="006804C6">
      <w:pPr>
        <w:rPr>
          <w:sz w:val="40"/>
          <w:szCs w:val="40"/>
        </w:rPr>
      </w:pPr>
    </w:p>
    <w:p w:rsidR="006804C6" w:rsidRPr="006804C6" w:rsidRDefault="006804C6" w:rsidP="006804C6">
      <w:pPr>
        <w:rPr>
          <w:sz w:val="40"/>
          <w:szCs w:val="40"/>
        </w:rPr>
      </w:pPr>
    </w:p>
    <w:p w:rsidR="006804C6" w:rsidRPr="006804C6" w:rsidRDefault="006804C6" w:rsidP="006804C6">
      <w:pPr>
        <w:rPr>
          <w:sz w:val="40"/>
          <w:szCs w:val="40"/>
        </w:rPr>
      </w:pPr>
    </w:p>
    <w:p w:rsidR="006804C6" w:rsidRDefault="006804C6" w:rsidP="006804C6">
      <w:pPr>
        <w:rPr>
          <w:sz w:val="40"/>
          <w:szCs w:val="40"/>
        </w:rPr>
      </w:pPr>
    </w:p>
    <w:p w:rsidR="006804C6" w:rsidRPr="006804C6" w:rsidRDefault="006804C6" w:rsidP="006804C6">
      <w:pPr>
        <w:tabs>
          <w:tab w:val="left" w:pos="6660"/>
        </w:tabs>
        <w:spacing w:line="360" w:lineRule="auto"/>
        <w:jc w:val="right"/>
        <w:rPr>
          <w:sz w:val="28"/>
          <w:szCs w:val="28"/>
        </w:rPr>
      </w:pPr>
      <w:r w:rsidRPr="006804C6">
        <w:rPr>
          <w:sz w:val="28"/>
          <w:szCs w:val="28"/>
        </w:rPr>
        <w:t>Исполнитель: Бобина Е.Н.</w:t>
      </w:r>
    </w:p>
    <w:p w:rsidR="006804C6" w:rsidRDefault="006804C6" w:rsidP="006804C6">
      <w:pPr>
        <w:tabs>
          <w:tab w:val="left" w:pos="6660"/>
        </w:tabs>
        <w:spacing w:line="360" w:lineRule="auto"/>
        <w:jc w:val="right"/>
        <w:rPr>
          <w:sz w:val="28"/>
          <w:szCs w:val="28"/>
        </w:rPr>
      </w:pPr>
      <w:r>
        <w:rPr>
          <w:sz w:val="28"/>
          <w:szCs w:val="28"/>
        </w:rPr>
        <w:t>группа</w:t>
      </w:r>
      <w:r w:rsidRPr="006804C6">
        <w:rPr>
          <w:sz w:val="28"/>
          <w:szCs w:val="28"/>
        </w:rPr>
        <w:t xml:space="preserve"> ФК-08-1/2ВПО</w:t>
      </w:r>
    </w:p>
    <w:p w:rsidR="006804C6" w:rsidRDefault="006804C6" w:rsidP="006804C6">
      <w:pPr>
        <w:tabs>
          <w:tab w:val="left" w:pos="6660"/>
        </w:tabs>
        <w:spacing w:line="360" w:lineRule="auto"/>
        <w:jc w:val="right"/>
        <w:rPr>
          <w:sz w:val="28"/>
          <w:szCs w:val="28"/>
        </w:rPr>
      </w:pPr>
    </w:p>
    <w:p w:rsidR="006804C6" w:rsidRPr="006804C6" w:rsidRDefault="006804C6" w:rsidP="006804C6">
      <w:pPr>
        <w:rPr>
          <w:sz w:val="28"/>
          <w:szCs w:val="28"/>
        </w:rPr>
      </w:pPr>
    </w:p>
    <w:p w:rsidR="006804C6" w:rsidRPr="006804C6" w:rsidRDefault="006804C6" w:rsidP="006804C6">
      <w:pPr>
        <w:rPr>
          <w:sz w:val="28"/>
          <w:szCs w:val="28"/>
        </w:rPr>
      </w:pPr>
    </w:p>
    <w:p w:rsidR="006804C6" w:rsidRPr="006804C6" w:rsidRDefault="006804C6" w:rsidP="006804C6">
      <w:pPr>
        <w:rPr>
          <w:sz w:val="28"/>
          <w:szCs w:val="28"/>
        </w:rPr>
      </w:pPr>
    </w:p>
    <w:p w:rsidR="006804C6" w:rsidRPr="006804C6" w:rsidRDefault="006804C6" w:rsidP="006804C6">
      <w:pPr>
        <w:rPr>
          <w:sz w:val="28"/>
          <w:szCs w:val="28"/>
        </w:rPr>
      </w:pPr>
    </w:p>
    <w:p w:rsidR="006804C6" w:rsidRPr="006804C6" w:rsidRDefault="006804C6" w:rsidP="006804C6">
      <w:pPr>
        <w:rPr>
          <w:sz w:val="28"/>
          <w:szCs w:val="28"/>
        </w:rPr>
      </w:pPr>
    </w:p>
    <w:p w:rsidR="006804C6" w:rsidRDefault="006804C6" w:rsidP="006804C6">
      <w:pPr>
        <w:rPr>
          <w:sz w:val="28"/>
          <w:szCs w:val="28"/>
        </w:rPr>
      </w:pPr>
    </w:p>
    <w:p w:rsidR="006804C6" w:rsidRDefault="006804C6" w:rsidP="006804C6">
      <w:pPr>
        <w:rPr>
          <w:sz w:val="28"/>
          <w:szCs w:val="28"/>
        </w:rPr>
      </w:pPr>
    </w:p>
    <w:p w:rsidR="006804C6" w:rsidRPr="006804C6" w:rsidRDefault="006804C6" w:rsidP="006804C6">
      <w:pPr>
        <w:rPr>
          <w:sz w:val="28"/>
          <w:szCs w:val="28"/>
        </w:rPr>
      </w:pPr>
    </w:p>
    <w:p w:rsidR="006804C6" w:rsidRDefault="006804C6" w:rsidP="006804C6">
      <w:pPr>
        <w:rPr>
          <w:sz w:val="28"/>
          <w:szCs w:val="28"/>
        </w:rPr>
      </w:pPr>
    </w:p>
    <w:p w:rsidR="006804C6" w:rsidRDefault="006804C6" w:rsidP="006804C6">
      <w:pPr>
        <w:tabs>
          <w:tab w:val="left" w:pos="2740"/>
        </w:tabs>
        <w:spacing w:line="360" w:lineRule="auto"/>
        <w:jc w:val="center"/>
        <w:rPr>
          <w:sz w:val="28"/>
          <w:szCs w:val="28"/>
        </w:rPr>
      </w:pPr>
      <w:r>
        <w:rPr>
          <w:sz w:val="28"/>
          <w:szCs w:val="28"/>
        </w:rPr>
        <w:t>Екатеринбург</w:t>
      </w:r>
    </w:p>
    <w:p w:rsidR="006804C6" w:rsidRPr="006804C6" w:rsidRDefault="006804C6" w:rsidP="006804C6">
      <w:pPr>
        <w:tabs>
          <w:tab w:val="left" w:pos="2740"/>
        </w:tabs>
        <w:spacing w:line="360" w:lineRule="auto"/>
        <w:jc w:val="center"/>
        <w:rPr>
          <w:sz w:val="28"/>
          <w:szCs w:val="28"/>
        </w:rPr>
      </w:pPr>
      <w:r>
        <w:rPr>
          <w:sz w:val="28"/>
          <w:szCs w:val="28"/>
        </w:rPr>
        <w:t>2010</w:t>
      </w:r>
      <w:bookmarkStart w:id="3" w:name="_GoBack"/>
      <w:bookmarkEnd w:id="3"/>
    </w:p>
    <w:sectPr w:rsidR="006804C6" w:rsidRPr="006804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F8E" w:rsidRDefault="001A4F8E">
      <w:r>
        <w:separator/>
      </w:r>
    </w:p>
  </w:endnote>
  <w:endnote w:type="continuationSeparator" w:id="0">
    <w:p w:rsidR="001A4F8E" w:rsidRDefault="001A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F8E" w:rsidRDefault="001A4F8E">
      <w:r>
        <w:separator/>
      </w:r>
    </w:p>
  </w:footnote>
  <w:footnote w:type="continuationSeparator" w:id="0">
    <w:p w:rsidR="001A4F8E" w:rsidRDefault="001A4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417002"/>
    <w:multiLevelType w:val="hybridMultilevel"/>
    <w:tmpl w:val="9E767F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6960013"/>
    <w:multiLevelType w:val="hybridMultilevel"/>
    <w:tmpl w:val="04C68EF0"/>
    <w:lvl w:ilvl="0" w:tplc="04190005">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3852"/>
    <w:rsid w:val="001661EA"/>
    <w:rsid w:val="001A4F8E"/>
    <w:rsid w:val="00350DEA"/>
    <w:rsid w:val="003D2912"/>
    <w:rsid w:val="003E3852"/>
    <w:rsid w:val="0042353B"/>
    <w:rsid w:val="00425BBB"/>
    <w:rsid w:val="004C3451"/>
    <w:rsid w:val="00657DC4"/>
    <w:rsid w:val="006804C6"/>
    <w:rsid w:val="007224CE"/>
    <w:rsid w:val="00806264"/>
    <w:rsid w:val="00922B11"/>
    <w:rsid w:val="009D2D6F"/>
    <w:rsid w:val="00A10F90"/>
    <w:rsid w:val="00BD3A7C"/>
    <w:rsid w:val="00C505A3"/>
    <w:rsid w:val="00D52241"/>
    <w:rsid w:val="00F62D9B"/>
    <w:rsid w:val="00F71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101096-63F9-424F-B6A7-9E8CE336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85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E3852"/>
    <w:pPr>
      <w:spacing w:before="100" w:beforeAutospacing="1" w:after="100" w:afterAutospacing="1"/>
    </w:pPr>
    <w:rPr>
      <w:color w:val="000000"/>
    </w:rPr>
  </w:style>
  <w:style w:type="character" w:styleId="a4">
    <w:name w:val="Hyperlink"/>
    <w:basedOn w:val="a0"/>
    <w:rsid w:val="003E3852"/>
    <w:rPr>
      <w:rFonts w:ascii="Times New Roman" w:hAnsi="Times New Roman" w:cs="Times New Roman"/>
      <w:color w:val="001F4B"/>
      <w:u w:val="single"/>
    </w:rPr>
  </w:style>
  <w:style w:type="paragraph" w:styleId="a5">
    <w:name w:val="footnote text"/>
    <w:basedOn w:val="a"/>
    <w:semiHidden/>
    <w:rsid w:val="003E3852"/>
    <w:rPr>
      <w:sz w:val="20"/>
      <w:szCs w:val="20"/>
    </w:rPr>
  </w:style>
  <w:style w:type="character" w:styleId="a6">
    <w:name w:val="footnote reference"/>
    <w:basedOn w:val="a0"/>
    <w:semiHidden/>
    <w:rsid w:val="003E3852"/>
    <w:rPr>
      <w:vertAlign w:val="superscript"/>
    </w:rPr>
  </w:style>
  <w:style w:type="paragraph" w:styleId="a7">
    <w:name w:val="Plain Text"/>
    <w:basedOn w:val="a"/>
    <w:rsid w:val="003E3852"/>
    <w:rPr>
      <w:rFonts w:ascii="Courier New" w:hAnsi="Courier New"/>
      <w:sz w:val="20"/>
      <w:szCs w:val="20"/>
    </w:rPr>
  </w:style>
  <w:style w:type="table" w:styleId="a8">
    <w:name w:val="Table Grid"/>
    <w:basedOn w:val="a1"/>
    <w:rsid w:val="001661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rsid w:val="00F717B0"/>
    <w:pPr>
      <w:spacing w:line="360" w:lineRule="auto"/>
      <w:ind w:firstLine="709"/>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995</Words>
  <Characters>5673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Денежно-кредитное регулирование, осуществляемое Центральным банком, является одним из элементов экономической политики государства и представляет собой совокупность мероприятий, направленных на изменение денежной массы в обращении, объема кредитов, уровн</vt:lpstr>
    </vt:vector>
  </TitlesOfParts>
  <Company>Дом</Company>
  <LinksUpToDate>false</LinksUpToDate>
  <CharactersWithSpaces>6655</CharactersWithSpaces>
  <SharedDoc>false</SharedDoc>
  <HLinks>
    <vt:vector size="24" baseType="variant">
      <vt:variant>
        <vt:i4>5177370</vt:i4>
      </vt:variant>
      <vt:variant>
        <vt:i4>9</vt:i4>
      </vt:variant>
      <vt:variant>
        <vt:i4>0</vt:i4>
      </vt:variant>
      <vt:variant>
        <vt:i4>5</vt:i4>
      </vt:variant>
      <vt:variant>
        <vt:lpwstr>http://www.cbr.ru/analytics/standart_system/print.asp?file=ref_4.htm</vt:lpwstr>
      </vt:variant>
      <vt:variant>
        <vt:lpwstr/>
      </vt:variant>
      <vt:variant>
        <vt:i4>4849690</vt:i4>
      </vt:variant>
      <vt:variant>
        <vt:i4>6</vt:i4>
      </vt:variant>
      <vt:variant>
        <vt:i4>0</vt:i4>
      </vt:variant>
      <vt:variant>
        <vt:i4>5</vt:i4>
      </vt:variant>
      <vt:variant>
        <vt:lpwstr>http://www.cbr.ru/analytics/standart_system/print.asp?file=ref_1.htm</vt:lpwstr>
      </vt:variant>
      <vt:variant>
        <vt:lpwstr/>
      </vt:variant>
      <vt:variant>
        <vt:i4>4849690</vt:i4>
      </vt:variant>
      <vt:variant>
        <vt:i4>3</vt:i4>
      </vt:variant>
      <vt:variant>
        <vt:i4>0</vt:i4>
      </vt:variant>
      <vt:variant>
        <vt:i4>5</vt:i4>
      </vt:variant>
      <vt:variant>
        <vt:lpwstr>http://www.cbr.ru/analytics/standart_system/print.asp?file=ref_1.htm</vt:lpwstr>
      </vt:variant>
      <vt:variant>
        <vt:lpwstr/>
      </vt:variant>
      <vt:variant>
        <vt:i4>4849690</vt:i4>
      </vt:variant>
      <vt:variant>
        <vt:i4>0</vt:i4>
      </vt:variant>
      <vt:variant>
        <vt:i4>0</vt:i4>
      </vt:variant>
      <vt:variant>
        <vt:i4>5</vt:i4>
      </vt:variant>
      <vt:variant>
        <vt:lpwstr>http://www.cbr.ru/analytics/standart_system/print.asp?file=ref_1.htm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Денежно-кредитное регулирование, осуществляемое Центральным банком, является одним из элементов экономической политики государства и представляет собой совокупность мероприятий, направленных на изменение денежной массы в обращении, объема кредитов, уровн</dc:title>
  <dc:subject/>
  <dc:creator>Александр</dc:creator>
  <cp:keywords/>
  <dc:description/>
  <cp:lastModifiedBy>Irina</cp:lastModifiedBy>
  <cp:revision>2</cp:revision>
  <cp:lastPrinted>2010-10-29T21:52:00Z</cp:lastPrinted>
  <dcterms:created xsi:type="dcterms:W3CDTF">2014-08-21T19:27:00Z</dcterms:created>
  <dcterms:modified xsi:type="dcterms:W3CDTF">2014-08-21T19:27:00Z</dcterms:modified>
</cp:coreProperties>
</file>