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90" w:rsidRDefault="002E0A90" w:rsidP="002E0A90">
      <w:pPr>
        <w:jc w:val="center"/>
        <w:rPr>
          <w:sz w:val="28"/>
          <w:szCs w:val="28"/>
        </w:rPr>
      </w:pPr>
      <w:r w:rsidRPr="002E0A90">
        <w:rPr>
          <w:sz w:val="28"/>
          <w:szCs w:val="28"/>
        </w:rPr>
        <w:t>ОГЛАВЛЕНИЕ</w:t>
      </w:r>
    </w:p>
    <w:p w:rsidR="002E0A90" w:rsidRDefault="002E0A90" w:rsidP="002E0A90">
      <w:pPr>
        <w:jc w:val="center"/>
        <w:rPr>
          <w:sz w:val="28"/>
          <w:szCs w:val="28"/>
        </w:rPr>
      </w:pPr>
    </w:p>
    <w:p w:rsidR="002E0A90" w:rsidRDefault="002E0A90" w:rsidP="002E0A90">
      <w:pPr>
        <w:jc w:val="center"/>
        <w:rPr>
          <w:sz w:val="28"/>
          <w:szCs w:val="28"/>
        </w:rPr>
      </w:pPr>
    </w:p>
    <w:p w:rsidR="00765533" w:rsidRPr="00765533" w:rsidRDefault="002E0A90" w:rsidP="00765533">
      <w:pPr>
        <w:pStyle w:val="10"/>
        <w:tabs>
          <w:tab w:val="right" w:leader="dot" w:pos="9345"/>
        </w:tabs>
        <w:spacing w:line="360" w:lineRule="auto"/>
        <w:rPr>
          <w:rFonts w:ascii="Calibri" w:hAnsi="Calibri"/>
          <w:b w:val="0"/>
          <w:bCs w:val="0"/>
          <w:caps w:val="0"/>
          <w:noProof/>
          <w:sz w:val="22"/>
          <w:szCs w:val="22"/>
        </w:rPr>
      </w:pPr>
      <w:r w:rsidRPr="00765533">
        <w:rPr>
          <w:sz w:val="22"/>
          <w:szCs w:val="22"/>
        </w:rPr>
        <w:fldChar w:fldCharType="begin"/>
      </w:r>
      <w:r w:rsidRPr="00765533">
        <w:rPr>
          <w:sz w:val="22"/>
          <w:szCs w:val="22"/>
        </w:rPr>
        <w:instrText xml:space="preserve"> TOC \o "1-3" \h \z \u </w:instrText>
      </w:r>
      <w:r w:rsidRPr="00765533">
        <w:rPr>
          <w:sz w:val="22"/>
          <w:szCs w:val="22"/>
        </w:rPr>
        <w:fldChar w:fldCharType="separate"/>
      </w:r>
      <w:hyperlink w:anchor="_Toc289627508" w:history="1">
        <w:r w:rsidR="00765533" w:rsidRPr="00765533">
          <w:rPr>
            <w:rStyle w:val="a5"/>
            <w:noProof/>
            <w:sz w:val="22"/>
            <w:szCs w:val="22"/>
          </w:rPr>
          <w:t>Введение</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_Toc289627508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3</w:t>
        </w:r>
        <w:r w:rsidR="00765533" w:rsidRPr="00765533">
          <w:rPr>
            <w:noProof/>
            <w:webHidden/>
            <w:sz w:val="22"/>
            <w:szCs w:val="22"/>
          </w:rPr>
          <w:fldChar w:fldCharType="end"/>
        </w:r>
      </w:hyperlink>
    </w:p>
    <w:p w:rsidR="00765533" w:rsidRPr="00765533" w:rsidRDefault="00481603" w:rsidP="00765533">
      <w:pPr>
        <w:pStyle w:val="10"/>
        <w:tabs>
          <w:tab w:val="right" w:leader="dot" w:pos="9345"/>
        </w:tabs>
        <w:spacing w:line="360" w:lineRule="auto"/>
        <w:rPr>
          <w:rFonts w:ascii="Calibri" w:hAnsi="Calibri"/>
          <w:b w:val="0"/>
          <w:bCs w:val="0"/>
          <w:caps w:val="0"/>
          <w:noProof/>
          <w:sz w:val="22"/>
          <w:szCs w:val="22"/>
        </w:rPr>
      </w:pPr>
      <w:hyperlink w:anchor="_Toc289627509" w:history="1">
        <w:r w:rsidR="00765533" w:rsidRPr="00765533">
          <w:rPr>
            <w:rStyle w:val="a5"/>
            <w:noProof/>
            <w:sz w:val="22"/>
            <w:szCs w:val="22"/>
          </w:rPr>
          <w:t>1. Понятие и содержание процессов слияний и поглощений</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_Toc289627509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4</w:t>
        </w:r>
        <w:r w:rsidR="00765533" w:rsidRPr="00765533">
          <w:rPr>
            <w:noProof/>
            <w:webHidden/>
            <w:sz w:val="22"/>
            <w:szCs w:val="22"/>
          </w:rPr>
          <w:fldChar w:fldCharType="end"/>
        </w:r>
      </w:hyperlink>
    </w:p>
    <w:p w:rsidR="00765533" w:rsidRPr="00765533" w:rsidRDefault="00481603" w:rsidP="00765533">
      <w:pPr>
        <w:pStyle w:val="10"/>
        <w:tabs>
          <w:tab w:val="right" w:leader="dot" w:pos="9345"/>
        </w:tabs>
        <w:spacing w:line="360" w:lineRule="auto"/>
        <w:rPr>
          <w:rFonts w:ascii="Calibri" w:hAnsi="Calibri"/>
          <w:b w:val="0"/>
          <w:bCs w:val="0"/>
          <w:caps w:val="0"/>
          <w:noProof/>
          <w:sz w:val="22"/>
          <w:szCs w:val="22"/>
        </w:rPr>
      </w:pPr>
      <w:hyperlink w:anchor="_Toc289627510" w:history="1">
        <w:r w:rsidR="00765533" w:rsidRPr="00765533">
          <w:rPr>
            <w:rStyle w:val="a5"/>
            <w:noProof/>
            <w:sz w:val="22"/>
            <w:szCs w:val="22"/>
          </w:rPr>
          <w:t>2.Экономическе и социальные факторы и последствия слияний и поглощений</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_Toc289627510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8</w:t>
        </w:r>
        <w:r w:rsidR="00765533" w:rsidRPr="00765533">
          <w:rPr>
            <w:noProof/>
            <w:webHidden/>
            <w:sz w:val="22"/>
            <w:szCs w:val="22"/>
          </w:rPr>
          <w:fldChar w:fldCharType="end"/>
        </w:r>
      </w:hyperlink>
    </w:p>
    <w:p w:rsidR="00765533" w:rsidRPr="00765533" w:rsidRDefault="00481603" w:rsidP="00765533">
      <w:pPr>
        <w:pStyle w:val="10"/>
        <w:tabs>
          <w:tab w:val="right" w:leader="dot" w:pos="9345"/>
        </w:tabs>
        <w:spacing w:line="360" w:lineRule="auto"/>
        <w:rPr>
          <w:rFonts w:ascii="Calibri" w:hAnsi="Calibri"/>
          <w:b w:val="0"/>
          <w:bCs w:val="0"/>
          <w:caps w:val="0"/>
          <w:noProof/>
          <w:sz w:val="22"/>
          <w:szCs w:val="22"/>
        </w:rPr>
      </w:pPr>
      <w:hyperlink w:anchor="_Toc289627511" w:history="1">
        <w:r w:rsidR="00765533" w:rsidRPr="00765533">
          <w:rPr>
            <w:rStyle w:val="a5"/>
            <w:noProof/>
            <w:sz w:val="22"/>
            <w:szCs w:val="22"/>
          </w:rPr>
          <w:t>3. Содержание стратегии слияния. Варианты дружественных и враждебных поглощений</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_Toc289627511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11</w:t>
        </w:r>
        <w:r w:rsidR="00765533" w:rsidRPr="00765533">
          <w:rPr>
            <w:noProof/>
            <w:webHidden/>
            <w:sz w:val="22"/>
            <w:szCs w:val="22"/>
          </w:rPr>
          <w:fldChar w:fldCharType="end"/>
        </w:r>
      </w:hyperlink>
    </w:p>
    <w:p w:rsidR="00765533" w:rsidRPr="00765533" w:rsidRDefault="00481603" w:rsidP="00765533">
      <w:pPr>
        <w:pStyle w:val="10"/>
        <w:tabs>
          <w:tab w:val="right" w:leader="dot" w:pos="9345"/>
        </w:tabs>
        <w:spacing w:line="360" w:lineRule="auto"/>
        <w:rPr>
          <w:rFonts w:ascii="Calibri" w:hAnsi="Calibri"/>
          <w:b w:val="0"/>
          <w:bCs w:val="0"/>
          <w:caps w:val="0"/>
          <w:noProof/>
          <w:sz w:val="22"/>
          <w:szCs w:val="22"/>
        </w:rPr>
      </w:pPr>
      <w:hyperlink w:anchor="_Toc289627512" w:history="1">
        <w:r w:rsidR="00765533" w:rsidRPr="00765533">
          <w:rPr>
            <w:rStyle w:val="a5"/>
            <w:noProof/>
            <w:sz w:val="22"/>
            <w:szCs w:val="22"/>
          </w:rPr>
          <w:t>Заключение</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_Toc289627512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17</w:t>
        </w:r>
        <w:r w:rsidR="00765533" w:rsidRPr="00765533">
          <w:rPr>
            <w:noProof/>
            <w:webHidden/>
            <w:sz w:val="22"/>
            <w:szCs w:val="22"/>
          </w:rPr>
          <w:fldChar w:fldCharType="end"/>
        </w:r>
      </w:hyperlink>
    </w:p>
    <w:p w:rsidR="00765533" w:rsidRPr="00765533" w:rsidRDefault="00481603" w:rsidP="00765533">
      <w:pPr>
        <w:pStyle w:val="10"/>
        <w:tabs>
          <w:tab w:val="right" w:leader="dot" w:pos="9345"/>
        </w:tabs>
        <w:spacing w:line="360" w:lineRule="auto"/>
        <w:rPr>
          <w:rFonts w:ascii="Calibri" w:hAnsi="Calibri"/>
          <w:b w:val="0"/>
          <w:bCs w:val="0"/>
          <w:caps w:val="0"/>
          <w:noProof/>
          <w:sz w:val="22"/>
          <w:szCs w:val="22"/>
        </w:rPr>
      </w:pPr>
      <w:hyperlink w:anchor="_Toc289627513" w:history="1">
        <w:r w:rsidR="00765533" w:rsidRPr="00765533">
          <w:rPr>
            <w:rStyle w:val="a5"/>
            <w:noProof/>
            <w:sz w:val="22"/>
            <w:szCs w:val="22"/>
          </w:rPr>
          <w:t>Список использованной литературы</w:t>
        </w:r>
        <w:r w:rsidR="00765533" w:rsidRPr="00765533">
          <w:rPr>
            <w:noProof/>
            <w:webHidden/>
            <w:sz w:val="22"/>
            <w:szCs w:val="22"/>
          </w:rPr>
          <w:tab/>
        </w:r>
        <w:r w:rsidR="00765533" w:rsidRPr="00765533">
          <w:rPr>
            <w:noProof/>
            <w:webHidden/>
            <w:sz w:val="22"/>
            <w:szCs w:val="22"/>
          </w:rPr>
          <w:fldChar w:fldCharType="begin"/>
        </w:r>
        <w:r w:rsidR="00765533" w:rsidRPr="00765533">
          <w:rPr>
            <w:noProof/>
            <w:webHidden/>
            <w:sz w:val="22"/>
            <w:szCs w:val="22"/>
          </w:rPr>
          <w:instrText xml:space="preserve"> PAGEREF _Toc289627513 \h </w:instrText>
        </w:r>
        <w:r w:rsidR="00765533" w:rsidRPr="00765533">
          <w:rPr>
            <w:noProof/>
            <w:webHidden/>
            <w:sz w:val="22"/>
            <w:szCs w:val="22"/>
          </w:rPr>
        </w:r>
        <w:r w:rsidR="00765533" w:rsidRPr="00765533">
          <w:rPr>
            <w:noProof/>
            <w:webHidden/>
            <w:sz w:val="22"/>
            <w:szCs w:val="22"/>
          </w:rPr>
          <w:fldChar w:fldCharType="separate"/>
        </w:r>
        <w:r w:rsidR="00DE31AE">
          <w:rPr>
            <w:noProof/>
            <w:webHidden/>
            <w:sz w:val="22"/>
            <w:szCs w:val="22"/>
          </w:rPr>
          <w:t>18</w:t>
        </w:r>
        <w:r w:rsidR="00765533" w:rsidRPr="00765533">
          <w:rPr>
            <w:noProof/>
            <w:webHidden/>
            <w:sz w:val="22"/>
            <w:szCs w:val="22"/>
          </w:rPr>
          <w:fldChar w:fldCharType="end"/>
        </w:r>
      </w:hyperlink>
    </w:p>
    <w:p w:rsidR="002E0A90" w:rsidRDefault="002E0A90" w:rsidP="00765533">
      <w:pPr>
        <w:spacing w:line="360" w:lineRule="auto"/>
        <w:jc w:val="center"/>
        <w:rPr>
          <w:sz w:val="28"/>
          <w:szCs w:val="28"/>
        </w:rPr>
      </w:pPr>
      <w:r w:rsidRPr="00765533">
        <w:rPr>
          <w:sz w:val="22"/>
          <w:szCs w:val="22"/>
        </w:rPr>
        <w:fldChar w:fldCharType="end"/>
      </w:r>
    </w:p>
    <w:p w:rsidR="002E0A90" w:rsidRDefault="002E0A90" w:rsidP="002E0A90">
      <w:pPr>
        <w:pStyle w:val="1"/>
        <w:jc w:val="center"/>
        <w:rPr>
          <w:rFonts w:ascii="Times New Roman" w:hAnsi="Times New Roman" w:cs="Times New Roman"/>
          <w:sz w:val="28"/>
          <w:szCs w:val="28"/>
        </w:rPr>
      </w:pPr>
      <w:r>
        <w:br w:type="page"/>
      </w:r>
      <w:bookmarkStart w:id="0" w:name="_Toc289627508"/>
      <w:r w:rsidRPr="002E0A90">
        <w:rPr>
          <w:rFonts w:ascii="Times New Roman" w:hAnsi="Times New Roman" w:cs="Times New Roman"/>
          <w:sz w:val="28"/>
          <w:szCs w:val="28"/>
        </w:rPr>
        <w:t>Введение</w:t>
      </w:r>
      <w:bookmarkEnd w:id="0"/>
    </w:p>
    <w:p w:rsidR="00DF2F41" w:rsidRDefault="00DF2F41" w:rsidP="00DF2F41"/>
    <w:p w:rsidR="003D61C9" w:rsidRDefault="003D61C9" w:rsidP="00765533">
      <w:pPr>
        <w:spacing w:line="360" w:lineRule="auto"/>
        <w:ind w:firstLine="708"/>
        <w:jc w:val="both"/>
        <w:rPr>
          <w:rStyle w:val="apple-style-span"/>
          <w:color w:val="050505"/>
          <w:sz w:val="28"/>
          <w:szCs w:val="28"/>
          <w:shd w:val="clear" w:color="auto" w:fill="FFFFFF"/>
        </w:rPr>
      </w:pPr>
      <w:r>
        <w:rPr>
          <w:rStyle w:val="apple-style-span"/>
          <w:color w:val="050505"/>
          <w:sz w:val="28"/>
          <w:szCs w:val="28"/>
          <w:shd w:val="clear" w:color="auto" w:fill="FFFFFF"/>
        </w:rPr>
        <w:t>Тема данной работы: «Понятие бюджетного устройства и бюджетной системы РФ. Рассмотрение и утверждение бюджета РФ».</w:t>
      </w:r>
    </w:p>
    <w:p w:rsidR="003D61C9" w:rsidRPr="003D61C9" w:rsidRDefault="003D61C9" w:rsidP="00765533">
      <w:pPr>
        <w:spacing w:line="360" w:lineRule="auto"/>
        <w:ind w:firstLine="708"/>
        <w:jc w:val="both"/>
        <w:rPr>
          <w:rStyle w:val="apple-style-span"/>
          <w:color w:val="050505"/>
          <w:sz w:val="28"/>
          <w:szCs w:val="28"/>
          <w:shd w:val="clear" w:color="auto" w:fill="FFFFFF"/>
        </w:rPr>
      </w:pPr>
      <w:r w:rsidRPr="003D61C9">
        <w:rPr>
          <w:rStyle w:val="apple-style-span"/>
          <w:color w:val="050505"/>
          <w:sz w:val="28"/>
          <w:szCs w:val="28"/>
          <w:shd w:val="clear" w:color="auto" w:fill="FFFFFF"/>
        </w:rPr>
        <w:t>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3D61C9" w:rsidRDefault="003D61C9" w:rsidP="00765533">
      <w:pPr>
        <w:spacing w:line="360" w:lineRule="auto"/>
        <w:ind w:firstLine="708"/>
        <w:jc w:val="both"/>
        <w:rPr>
          <w:rStyle w:val="apple-style-span"/>
          <w:rFonts w:ascii="Arial" w:hAnsi="Arial" w:cs="Arial"/>
          <w:color w:val="050505"/>
          <w:sz w:val="30"/>
          <w:szCs w:val="30"/>
          <w:shd w:val="clear" w:color="auto" w:fill="FFFFFF"/>
        </w:rPr>
      </w:pPr>
      <w:r w:rsidRPr="003D61C9">
        <w:rPr>
          <w:rStyle w:val="apple-style-span"/>
          <w:color w:val="050505"/>
          <w:sz w:val="28"/>
          <w:szCs w:val="28"/>
          <w:shd w:val="clear" w:color="auto" w:fill="FFFFFF"/>
        </w:rPr>
        <w:t>Бюджет полностью зависит от избранно</w:t>
      </w:r>
      <w:r>
        <w:rPr>
          <w:rStyle w:val="apple-style-span"/>
          <w:color w:val="050505"/>
          <w:sz w:val="28"/>
          <w:szCs w:val="28"/>
          <w:shd w:val="clear" w:color="auto" w:fill="FFFFFF"/>
        </w:rPr>
        <w:t>го варианта развития общества и, п</w:t>
      </w:r>
      <w:r w:rsidRPr="003D61C9">
        <w:rPr>
          <w:rStyle w:val="apple-style-span"/>
          <w:color w:val="050505"/>
          <w:sz w:val="28"/>
          <w:szCs w:val="28"/>
          <w:shd w:val="clear" w:color="auto" w:fill="FFFFFF"/>
        </w:rPr>
        <w:t xml:space="preserve">оказывая размеры необходимых государству финансовых ресурсов и реально имеющихся резервов, определяет налоговый климат страны, </w:t>
      </w:r>
      <w:r>
        <w:rPr>
          <w:rStyle w:val="apple-style-span"/>
          <w:color w:val="050505"/>
          <w:sz w:val="28"/>
          <w:szCs w:val="28"/>
          <w:shd w:val="clear" w:color="auto" w:fill="FFFFFF"/>
        </w:rPr>
        <w:t>а также</w:t>
      </w:r>
      <w:r w:rsidRPr="003D61C9">
        <w:rPr>
          <w:rStyle w:val="apple-style-span"/>
          <w:color w:val="050505"/>
          <w:sz w:val="28"/>
          <w:szCs w:val="28"/>
          <w:shd w:val="clear" w:color="auto" w:fill="FFFFFF"/>
        </w:rPr>
        <w:t xml:space="preserve">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r>
        <w:rPr>
          <w:rStyle w:val="apple-style-span"/>
          <w:rFonts w:ascii="Arial" w:hAnsi="Arial" w:cs="Arial"/>
          <w:color w:val="050505"/>
          <w:sz w:val="30"/>
          <w:szCs w:val="30"/>
          <w:shd w:val="clear" w:color="auto" w:fill="FFFFFF"/>
        </w:rPr>
        <w:t xml:space="preserve">. </w:t>
      </w:r>
    </w:p>
    <w:p w:rsidR="00765533" w:rsidRPr="00765533" w:rsidRDefault="00765533" w:rsidP="00765533">
      <w:pPr>
        <w:spacing w:line="360" w:lineRule="auto"/>
        <w:ind w:firstLine="708"/>
        <w:jc w:val="both"/>
        <w:rPr>
          <w:sz w:val="28"/>
          <w:szCs w:val="28"/>
        </w:rPr>
      </w:pPr>
      <w:r>
        <w:rPr>
          <w:sz w:val="28"/>
          <w:szCs w:val="28"/>
        </w:rPr>
        <w:t>Целью данной работы является всесторонн</w:t>
      </w:r>
      <w:r w:rsidR="003D61C9">
        <w:rPr>
          <w:sz w:val="28"/>
          <w:szCs w:val="28"/>
        </w:rPr>
        <w:t>ее</w:t>
      </w:r>
      <w:r>
        <w:rPr>
          <w:sz w:val="28"/>
          <w:szCs w:val="28"/>
        </w:rPr>
        <w:t xml:space="preserve"> </w:t>
      </w:r>
      <w:r w:rsidR="003D61C9">
        <w:rPr>
          <w:sz w:val="28"/>
          <w:szCs w:val="28"/>
        </w:rPr>
        <w:t>рассмотрение бюджетного устройства и бюджетной системы РФ, а также рассмотрение и утверждение бюджета РФ.</w:t>
      </w:r>
      <w:r>
        <w:rPr>
          <w:sz w:val="28"/>
          <w:szCs w:val="28"/>
        </w:rPr>
        <w:t xml:space="preserve"> </w:t>
      </w:r>
    </w:p>
    <w:p w:rsidR="00DF2F41" w:rsidRDefault="00DF2F41" w:rsidP="00DF2F41">
      <w:pPr>
        <w:spacing w:line="360" w:lineRule="auto"/>
        <w:ind w:firstLine="720"/>
        <w:jc w:val="both"/>
        <w:rPr>
          <w:sz w:val="28"/>
        </w:rPr>
      </w:pPr>
      <w:r w:rsidRPr="00A512B4">
        <w:rPr>
          <w:sz w:val="28"/>
        </w:rPr>
        <w:t>Структура работы</w:t>
      </w:r>
      <w:r>
        <w:rPr>
          <w:b/>
          <w:sz w:val="28"/>
        </w:rPr>
        <w:t xml:space="preserve"> </w:t>
      </w:r>
      <w:r>
        <w:rPr>
          <w:sz w:val="28"/>
        </w:rPr>
        <w:t>обусловлена целью и задачами исследования, обеспечивает логическую последовательность в изложении его результатов и состоит из введения, основной части, выводов и списка использованной литературы.</w:t>
      </w:r>
    </w:p>
    <w:p w:rsidR="00230166" w:rsidRDefault="00765533" w:rsidP="00765533">
      <w:pPr>
        <w:pStyle w:val="1"/>
        <w:numPr>
          <w:ilvl w:val="0"/>
          <w:numId w:val="1"/>
        </w:numPr>
        <w:jc w:val="center"/>
        <w:rPr>
          <w:rFonts w:ascii="Times New Roman" w:hAnsi="Times New Roman" w:cs="Times New Roman"/>
          <w:sz w:val="28"/>
          <w:szCs w:val="28"/>
        </w:rPr>
      </w:pPr>
      <w:bookmarkStart w:id="1" w:name="_Toc289627509"/>
      <w:r>
        <w:rPr>
          <w:rFonts w:ascii="Times New Roman" w:hAnsi="Times New Roman" w:cs="Times New Roman"/>
          <w:sz w:val="28"/>
          <w:szCs w:val="28"/>
        </w:rPr>
        <w:t xml:space="preserve">Понятие </w:t>
      </w:r>
      <w:bookmarkEnd w:id="1"/>
      <w:r w:rsidR="0036727D">
        <w:rPr>
          <w:rFonts w:ascii="Times New Roman" w:hAnsi="Times New Roman" w:cs="Times New Roman"/>
          <w:sz w:val="28"/>
          <w:szCs w:val="28"/>
        </w:rPr>
        <w:t>бюджетного устройства и бюджетной системы РФ</w:t>
      </w:r>
    </w:p>
    <w:p w:rsidR="00765533" w:rsidRDefault="00765533" w:rsidP="00765533"/>
    <w:p w:rsidR="00903F65" w:rsidRPr="00903F65" w:rsidRDefault="00903F65" w:rsidP="00903F65">
      <w:pPr>
        <w:spacing w:line="360" w:lineRule="auto"/>
        <w:ind w:firstLine="851"/>
        <w:jc w:val="both"/>
        <w:rPr>
          <w:sz w:val="28"/>
          <w:szCs w:val="28"/>
        </w:rPr>
      </w:pPr>
      <w:r w:rsidRPr="00903F65">
        <w:rPr>
          <w:sz w:val="28"/>
          <w:szCs w:val="28"/>
        </w:rPr>
        <w:t xml:space="preserve">Организационной формой функционирования бюджета любого государства является бюджетная система. Ее существование обусловлено необходимостью соблюдения принципа социальной справедливости на всей территории страны, важностью обеспечения гибкости и эффективности использования бюджетных ресурсов. </w:t>
      </w:r>
    </w:p>
    <w:p w:rsidR="00E7443F" w:rsidRDefault="00903F65" w:rsidP="00E7443F">
      <w:pPr>
        <w:spacing w:line="360" w:lineRule="auto"/>
        <w:ind w:firstLine="851"/>
        <w:jc w:val="both"/>
        <w:rPr>
          <w:rStyle w:val="apple-style-span"/>
          <w:color w:val="050505"/>
          <w:sz w:val="28"/>
          <w:szCs w:val="28"/>
          <w:shd w:val="clear" w:color="auto" w:fill="FFFFFF"/>
        </w:rPr>
      </w:pPr>
      <w:r w:rsidRPr="00903F65">
        <w:rPr>
          <w:rStyle w:val="apple-style-span"/>
          <w:color w:val="050505"/>
          <w:sz w:val="28"/>
          <w:szCs w:val="28"/>
          <w:shd w:val="clear" w:color="auto" w:fill="FFFFFF"/>
        </w:rPr>
        <w:t>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ее построения.</w:t>
      </w:r>
    </w:p>
    <w:p w:rsidR="00E7443F" w:rsidRDefault="00E7443F" w:rsidP="00E7443F">
      <w:pPr>
        <w:spacing w:line="360" w:lineRule="auto"/>
        <w:ind w:firstLine="851"/>
        <w:jc w:val="both"/>
        <w:rPr>
          <w:color w:val="050505"/>
          <w:sz w:val="28"/>
          <w:szCs w:val="28"/>
          <w:shd w:val="clear" w:color="auto" w:fill="FFFFFF"/>
        </w:rPr>
      </w:pPr>
      <w:r w:rsidRPr="00E7443F">
        <w:rPr>
          <w:color w:val="050505"/>
          <w:sz w:val="28"/>
          <w:szCs w:val="28"/>
          <w:shd w:val="clear" w:color="auto" w:fill="FFFFFF"/>
        </w:rPr>
        <w:t>Бюджетная система РФ состоит из бюджетов трех уровней:</w:t>
      </w:r>
    </w:p>
    <w:p w:rsidR="00E7443F" w:rsidRDefault="00E7443F" w:rsidP="00E7443F">
      <w:pPr>
        <w:spacing w:line="360" w:lineRule="auto"/>
        <w:ind w:firstLine="851"/>
        <w:jc w:val="both"/>
        <w:rPr>
          <w:color w:val="050505"/>
          <w:sz w:val="28"/>
          <w:szCs w:val="28"/>
          <w:shd w:val="clear" w:color="auto" w:fill="FFFFFF"/>
        </w:rPr>
      </w:pPr>
      <w:r w:rsidRPr="00E7443F">
        <w:rPr>
          <w:color w:val="050505"/>
          <w:sz w:val="28"/>
          <w:szCs w:val="28"/>
          <w:shd w:val="clear" w:color="auto" w:fill="FFFFFF"/>
        </w:rPr>
        <w:t>первый уровень – федеральный бюджет Российской Федерации и бюджеты государственных внебюджетных фондов;</w:t>
      </w:r>
    </w:p>
    <w:p w:rsidR="00E7443F" w:rsidRDefault="00E7443F" w:rsidP="00E7443F">
      <w:pPr>
        <w:spacing w:line="360" w:lineRule="auto"/>
        <w:ind w:firstLine="851"/>
        <w:jc w:val="both"/>
        <w:rPr>
          <w:color w:val="050505"/>
          <w:sz w:val="28"/>
          <w:szCs w:val="28"/>
          <w:shd w:val="clear" w:color="auto" w:fill="FFFFFF"/>
        </w:rPr>
      </w:pPr>
      <w:r>
        <w:rPr>
          <w:color w:val="050505"/>
          <w:sz w:val="28"/>
          <w:szCs w:val="28"/>
          <w:shd w:val="clear" w:color="auto" w:fill="FFFFFF"/>
        </w:rPr>
        <w:t xml:space="preserve"> </w:t>
      </w:r>
      <w:r w:rsidRPr="00E7443F">
        <w:rPr>
          <w:color w:val="050505"/>
          <w:sz w:val="28"/>
          <w:szCs w:val="28"/>
          <w:shd w:val="clear" w:color="auto" w:fill="FFFFFF"/>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E7443F" w:rsidRDefault="00E7443F" w:rsidP="00E7443F">
      <w:pPr>
        <w:spacing w:line="360" w:lineRule="auto"/>
        <w:ind w:firstLine="851"/>
        <w:jc w:val="both"/>
        <w:rPr>
          <w:color w:val="050505"/>
          <w:sz w:val="28"/>
          <w:szCs w:val="28"/>
          <w:shd w:val="clear" w:color="auto" w:fill="FFFFFF"/>
        </w:rPr>
      </w:pPr>
      <w:r w:rsidRPr="00E7443F">
        <w:rPr>
          <w:color w:val="050505"/>
          <w:sz w:val="28"/>
          <w:szCs w:val="28"/>
          <w:shd w:val="clear" w:color="auto" w:fill="FFFFFF"/>
        </w:rPr>
        <w:t>третий уровень – местные бюджеты (около 29 тысяч городских, районных, поселковых и сельских бюджетов).</w:t>
      </w:r>
    </w:p>
    <w:p w:rsidR="00E7443F" w:rsidRPr="00E7443F" w:rsidRDefault="00E7443F" w:rsidP="00E7443F">
      <w:pPr>
        <w:spacing w:line="360" w:lineRule="auto"/>
        <w:ind w:firstLine="851"/>
        <w:jc w:val="both"/>
        <w:rPr>
          <w:color w:val="050505"/>
          <w:sz w:val="28"/>
          <w:szCs w:val="28"/>
          <w:shd w:val="clear" w:color="auto" w:fill="FFFFFF"/>
        </w:rPr>
      </w:pPr>
      <w:r w:rsidRPr="00E7443F">
        <w:rPr>
          <w:color w:val="050505"/>
          <w:sz w:val="28"/>
          <w:szCs w:val="28"/>
          <w:shd w:val="clear" w:color="auto" w:fill="FFFFFF"/>
        </w:rPr>
        <w:t>Отсюда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w:t>
      </w:r>
    </w:p>
    <w:p w:rsidR="00DA67BB" w:rsidRDefault="00E7443F" w:rsidP="00DA67BB">
      <w:pPr>
        <w:pStyle w:val="1"/>
        <w:spacing w:before="0" w:after="0" w:line="360" w:lineRule="auto"/>
        <w:ind w:firstLine="709"/>
        <w:jc w:val="both"/>
        <w:rPr>
          <w:rFonts w:ascii="Times New Roman" w:hAnsi="Times New Roman"/>
          <w:b w:val="0"/>
          <w:sz w:val="28"/>
        </w:rPr>
      </w:pPr>
      <w:r w:rsidRPr="00E7443F">
        <w:rPr>
          <w:rFonts w:ascii="Times New Roman" w:hAnsi="Times New Roman"/>
          <w:b w:val="0"/>
          <w:sz w:val="28"/>
        </w:rPr>
        <w:t xml:space="preserve">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(ст.6БКРФ).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w:t>
      </w:r>
      <w:r>
        <w:rPr>
          <w:rFonts w:ascii="Times New Roman" w:hAnsi="Times New Roman"/>
          <w:b w:val="0"/>
          <w:sz w:val="28"/>
        </w:rPr>
        <w:t xml:space="preserve">  </w:t>
      </w:r>
      <w:r w:rsidRPr="00E7443F">
        <w:rPr>
          <w:rFonts w:ascii="Times New Roman" w:hAnsi="Times New Roman"/>
          <w:b w:val="0"/>
          <w:sz w:val="28"/>
        </w:rPr>
        <w:t>Консолидированные бюджеты позволяют получить полное представление о всех доходах и расходах региона или Федерации в целом, они не утверждают</w:t>
      </w:r>
      <w:r>
        <w:rPr>
          <w:rFonts w:ascii="Times New Roman" w:hAnsi="Times New Roman"/>
          <w:b w:val="0"/>
          <w:sz w:val="28"/>
        </w:rPr>
        <w:t xml:space="preserve">ся и                                служат для аналитических и </w:t>
      </w:r>
      <w:r w:rsidRPr="00E7443F">
        <w:rPr>
          <w:rFonts w:ascii="Times New Roman" w:hAnsi="Times New Roman"/>
          <w:b w:val="0"/>
          <w:sz w:val="28"/>
        </w:rPr>
        <w:t>статистических</w:t>
      </w:r>
      <w:r>
        <w:rPr>
          <w:rFonts w:ascii="Times New Roman" w:hAnsi="Times New Roman"/>
          <w:b w:val="0"/>
          <w:sz w:val="28"/>
        </w:rPr>
        <w:t xml:space="preserve"> </w:t>
      </w:r>
      <w:r w:rsidRPr="00E7443F">
        <w:rPr>
          <w:rFonts w:ascii="Times New Roman" w:hAnsi="Times New Roman"/>
          <w:b w:val="0"/>
          <w:sz w:val="28"/>
        </w:rPr>
        <w:t>целей.</w:t>
      </w:r>
    </w:p>
    <w:p w:rsid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Бюджетным кодексом РФ (Глава 5) законодательно закреплены</w:t>
      </w:r>
      <w:r>
        <w:rPr>
          <w:rFonts w:ascii="Times New Roman" w:hAnsi="Times New Roman" w:cs="Times New Roman"/>
          <w:b w:val="0"/>
          <w:sz w:val="28"/>
        </w:rPr>
        <w:t xml:space="preserve"> о</w:t>
      </w:r>
      <w:r w:rsidRPr="00DA67BB">
        <w:rPr>
          <w:rFonts w:ascii="Times New Roman" w:hAnsi="Times New Roman" w:cs="Times New Roman"/>
          <w:b w:val="0"/>
          <w:sz w:val="28"/>
        </w:rPr>
        <w:t>сновны</w:t>
      </w:r>
      <w:r>
        <w:rPr>
          <w:rFonts w:ascii="Times New Roman" w:hAnsi="Times New Roman" w:cs="Times New Roman"/>
          <w:b w:val="0"/>
          <w:sz w:val="28"/>
        </w:rPr>
        <w:t>е</w:t>
      </w:r>
      <w:r w:rsidRPr="00DA67BB">
        <w:rPr>
          <w:rFonts w:ascii="Times New Roman" w:hAnsi="Times New Roman" w:cs="Times New Roman"/>
          <w:b w:val="0"/>
          <w:sz w:val="28"/>
        </w:rPr>
        <w:t xml:space="preserve"> принцип</w:t>
      </w:r>
      <w:r>
        <w:rPr>
          <w:rFonts w:ascii="Times New Roman" w:hAnsi="Times New Roman" w:cs="Times New Roman"/>
          <w:b w:val="0"/>
          <w:sz w:val="28"/>
        </w:rPr>
        <w:t>ы</w:t>
      </w:r>
      <w:r w:rsidRPr="00DA67BB">
        <w:rPr>
          <w:rFonts w:ascii="Times New Roman" w:hAnsi="Times New Roman" w:cs="Times New Roman"/>
          <w:b w:val="0"/>
          <w:sz w:val="28"/>
        </w:rPr>
        <w:t xml:space="preserve"> бюджетного устройства Р</w:t>
      </w:r>
      <w:r>
        <w:rPr>
          <w:rFonts w:ascii="Times New Roman" w:hAnsi="Times New Roman" w:cs="Times New Roman"/>
          <w:b w:val="0"/>
          <w:sz w:val="28"/>
        </w:rPr>
        <w:t>Ф</w:t>
      </w:r>
      <w:r w:rsidRPr="00DA67BB">
        <w:rPr>
          <w:rFonts w:ascii="Times New Roman" w:hAnsi="Times New Roman" w:cs="Times New Roman"/>
          <w:b w:val="0"/>
          <w:sz w:val="28"/>
        </w:rPr>
        <w:t>:</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1.Принцип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 местных бюджетов.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2.Принцип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3.Принцип самостоятельности бюджетов означает:</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наличие собственных источников доходов бюджета каждого уровня;</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законодательное закрепление регулирующих доходов бюджетов, полномочий по формированию доходов соответствующих бюджетов;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4.Принцип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5.Принцип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6.Принцип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7.Принцип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8.Принцип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9.Принцип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A67BB" w:rsidRPr="00DA67BB" w:rsidRDefault="00DA67BB" w:rsidP="00DA67BB">
      <w:pPr>
        <w:pStyle w:val="1"/>
        <w:spacing w:before="0" w:after="0" w:line="360" w:lineRule="auto"/>
        <w:ind w:firstLine="709"/>
        <w:jc w:val="both"/>
        <w:rPr>
          <w:rFonts w:ascii="Times New Roman" w:hAnsi="Times New Roman" w:cs="Times New Roman"/>
          <w:b w:val="0"/>
          <w:sz w:val="28"/>
        </w:rPr>
      </w:pPr>
      <w:r w:rsidRPr="00DA67BB">
        <w:rPr>
          <w:rFonts w:ascii="Times New Roman" w:hAnsi="Times New Roman" w:cs="Times New Roman"/>
          <w:b w:val="0"/>
          <w:sz w:val="28"/>
        </w:rPr>
        <w:t>10.Принцип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2E0A90" w:rsidRDefault="002E0A90" w:rsidP="00DA67BB">
      <w:pPr>
        <w:pStyle w:val="1"/>
        <w:spacing w:before="0" w:after="0" w:line="360" w:lineRule="auto"/>
        <w:ind w:firstLine="709"/>
        <w:jc w:val="both"/>
        <w:rPr>
          <w:rFonts w:ascii="Times New Roman" w:hAnsi="Times New Roman"/>
          <w:sz w:val="28"/>
        </w:rPr>
      </w:pPr>
      <w:r w:rsidRPr="00DA67BB">
        <w:rPr>
          <w:rFonts w:ascii="Times New Roman" w:hAnsi="Times New Roman" w:cs="Times New Roman"/>
          <w:b w:val="0"/>
          <w:sz w:val="28"/>
        </w:rPr>
        <w:br w:type="page"/>
      </w:r>
      <w:bookmarkStart w:id="2" w:name="_Toc289627510"/>
      <w:r w:rsidRPr="002E0A90">
        <w:rPr>
          <w:rFonts w:ascii="Times New Roman" w:hAnsi="Times New Roman"/>
          <w:sz w:val="28"/>
        </w:rPr>
        <w:t>2.</w:t>
      </w:r>
      <w:r w:rsidR="00765533">
        <w:rPr>
          <w:rFonts w:ascii="Times New Roman" w:hAnsi="Times New Roman"/>
          <w:sz w:val="28"/>
        </w:rPr>
        <w:t>Экономическ</w:t>
      </w:r>
      <w:r w:rsidR="006D4A72">
        <w:rPr>
          <w:rFonts w:ascii="Times New Roman" w:hAnsi="Times New Roman"/>
          <w:sz w:val="28"/>
        </w:rPr>
        <w:t>и</w:t>
      </w:r>
      <w:r w:rsidR="00765533">
        <w:rPr>
          <w:rFonts w:ascii="Times New Roman" w:hAnsi="Times New Roman"/>
          <w:sz w:val="28"/>
        </w:rPr>
        <w:t>е и социальные факторы и последствия слияний и поглощений</w:t>
      </w:r>
      <w:bookmarkEnd w:id="2"/>
    </w:p>
    <w:p w:rsidR="006D4A72" w:rsidRDefault="006D4A72" w:rsidP="006D4A72"/>
    <w:p w:rsidR="006D4A72" w:rsidRDefault="006D4A72" w:rsidP="006D4A72"/>
    <w:p w:rsidR="006D4A72" w:rsidRDefault="006D4A72" w:rsidP="006D4A72"/>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Разработка и исполнение бюджетов любого уровня представляет собой чрезвычайно сложную процедуру, включающую его составление, рассмотрение, утверждение, собственно исполнение, а также контроль за исполнением, что получило название бюджетного процесса. Бюджетный процесс регулируется уже упоминавшимся Законом РСФСР “Об основах бюджетного устройства и бюджетного процесса в РСФСР”, прочими законами РФ, законами республик в составе РФ, решениями государственных представительных органов власти субъектов Федерации, Правилами о порядке составления и исполнения бюджета, издаваемыми Министерством финансов РФ на основе бюджетного законодательства [4, стр. 209].</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завершение исполнения бюджета, кроме бюджетного периода (финансового года) предоставляется еще и льготный период, составляющий один месяц, в течение которого заканчиваются операции по обязательствам, принятым в рамках исполнения бюджета [4, стр. 210].</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Действующей конституцией определен круг органов государственной власти, участвующих в разработке и утверждении бюджета, а также в контроле за его исполнением. Первым этапом бюджетного процесса является его составление исполнительными органами власти. Составлению бюджета предшествует разработка планов - прогнозов развития территорий и целевых программ, на основе которых создается сводный финансовый баланс государства по территории России (СФБ). В денежной форме он выражает социально-экономическое развитие страны, позволяет полнее анализировать движение стоимости общественного продукта и национального дохода, учитывать объем и направления использования финансовых ресурсов. СФБ выражает финансовую программу в общем виде, задача же бюджета - ее конкретное, развернутое выражение. СФБ помогает органам исполнительной власти определять доходы бюджета и постатейно разрабатывать его расходы.</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Непосредственная работа по составлению проектов бюджетов проводится Министерством финансов РФ, а также налоговыми и таможенными органами. При этом используются различные методы: метод экономического анализа, позволяющий, на основе анализа выполнения бюджета за прошлый год установить причины отклонений и соответствующем образом откорректировать проектируемый бюджет; нормативный метод, определяющий нормы всех статей расхода в общей сумме бюджета; экстраполяционный метод, определяющий бюджетные показатели исходя из их динамики за предыдущие годы. Полученные данные сообщаются вышестоящими органами исполнительной власти непосредственно нижестоящим или исполнительным органам власти в установленные сроки, обеспечивающие утверждение бюджета до начала финансового года.</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Составленный и согласованный проект федерального бюджета РФ Правительство РФ до 1 сентября вносит на рассмотрение в Государственную Думу. Вместе с ним направляется ряд документов, отражающих прогнозы социально-экономического развития страны на предстоящий период, направления бюджетной и налоговой политики, федеральные целевые программы и т. п. Одновременно в Государственную Думу вносятся проекты федеральных законов о бюджетах государственных внебюджетных фондов.</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Следующая стадия бюджетного процесса - его рассмотрение и утверждение в законодательных органах: Федеральном Собрании (Парламенте) РФ, представительных органах субъектов Федерации и местных самоуправлениях. Проект Федерального бюджета и сопутствующие документы направляются в Комитет по бюджету, налогам, банкам и финансам Государственной Думы для принятия бюджета к рассмотрению Государственной Думой. Все материалы передаются Президенту РФ, Совету Федерации, комитетам Думы и в Счетную палату.</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Получив заключения от комитетов, Государственная Дума начинает рассмотрение бюджета в нескольких чтениях (так, бюджет на 1997 г. принимался в четырех чтениях). Принятый Госдумой бюджет по Конституции в течение пяти дней передается на рассмотрение Совета Федерации. В случае его отклонения Федеральным Собранием бюджет передается в Госдуму для повторного голосования и считается принятым, если при повторном голосовании за него проголосовало не менее 2/3 от общего числа депутатов (ст. 105 Конституции РФ) [4, стр. 217].</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Принятый Федеральный закон о бюджете в течение пяти дней направляется Президенту РФ для подписания. После этого начинается непосредственное исполнение бюджета, организуемое Кабинетом министров РФ по согласованию с нижестоящими исполнительными органами.</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Важнейшая задача исполнения бюджета - обеспечение полного и своевременного поступления налогов и других платежей и доходов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Непосредственная работа по исполнению федерального бюджета РФ проводится Минфином РФ, его подразделениями и органами, а также Государственной налоговой службой РФ и Государственным таможенным комитетом РФ и их органами на местах. Правительство РФ ежемесячно предоставляет в Государственную Думу информацию о ходе исполнения текущего федерального бюджета, консолидированного бюджета РФ и бюджетов государственных внебюджетных фондов.</w:t>
      </w:r>
    </w:p>
    <w:p w:rsidR="00811C51" w:rsidRDefault="00811C51" w:rsidP="00811C51">
      <w:pPr>
        <w:pStyle w:val="a9"/>
        <w:rPr>
          <w:rFonts w:ascii="Tahoma" w:hAnsi="Tahoma" w:cs="Tahoma"/>
          <w:color w:val="1B1B1B"/>
          <w:sz w:val="18"/>
          <w:szCs w:val="18"/>
          <w:shd w:val="clear" w:color="auto" w:fill="FFFFFF"/>
        </w:rPr>
      </w:pPr>
      <w:r>
        <w:rPr>
          <w:rFonts w:ascii="Tahoma" w:hAnsi="Tahoma" w:cs="Tahoma"/>
          <w:color w:val="1B1B1B"/>
          <w:sz w:val="18"/>
          <w:szCs w:val="18"/>
          <w:shd w:val="clear" w:color="auto" w:fill="FFFFFF"/>
        </w:rPr>
        <w:t>Важнейшее значение в бюджетной системе играет не так давно созданная новая структура Минфина - Федеральное казначейство РФ, состоящее из Главного управления Федерального казначейства и подчиненных ему территориальных органов на местах. Казначейство непосредственно организует исполнение бюджета, а так же внебюджетных фондов: его органы управляют зачислением доходов и проведением взаиморасчетов между бюджетами, осуществляют контроль за исполнением федерального бюджета РФ. Казначейство регулирует финансовые отношения между федеральным бюджетом РФ и государственными внебюджетными фондами, обеспечивает финансовое исполнение этих фондов. В функции Казначейства входит 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определенный период государственных расходов; именно Казначейство проводит сбор, обработку и анализ информации о состоянии государственных финансов, предоставляет высшим органам государственной власти отчетности о финансовых операциях Правительства РФ по федеральному бюджету, о государственных внебюджетных фондах, а также о состоянии всей бюджетной системы. Наконец, именно Казначейство осуществляет управление и обслуживание совместно с ЦБ РФ и другими уполномоченными банками государственного внутреннего и внешнего долга РФ.</w:t>
      </w:r>
    </w:p>
    <w:p w:rsidR="007D1B65" w:rsidRDefault="007D1B65" w:rsidP="007D1B65">
      <w:pPr>
        <w:pStyle w:val="a9"/>
        <w:spacing w:before="0"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РФ (для Республики Татарстан - уточненный проект бюджета вносится Президентом РТ на рассмотрение Госсовета РТ до 15 сентября</w:t>
      </w:r>
      <w:bookmarkStart w:id="3" w:name="_ftnref26"/>
      <w:r>
        <w:rPr>
          <w:rFonts w:ascii="Tahoma" w:hAnsi="Tahoma" w:cs="Tahoma"/>
          <w:color w:val="000000"/>
          <w:sz w:val="18"/>
          <w:szCs w:val="18"/>
          <w:shd w:val="clear" w:color="auto" w:fill="FFFFFF"/>
        </w:rPr>
        <w:fldChar w:fldCharType="begin"/>
      </w:r>
      <w:r>
        <w:rPr>
          <w:rFonts w:ascii="Tahoma" w:hAnsi="Tahoma" w:cs="Tahoma"/>
          <w:color w:val="000000"/>
          <w:sz w:val="18"/>
          <w:szCs w:val="18"/>
          <w:shd w:val="clear" w:color="auto" w:fill="FFFFFF"/>
        </w:rPr>
        <w:instrText xml:space="preserve"> HYPERLINK "http://www.referat.ru/referats/view/3124" \l "_ftn26" \o "" </w:instrText>
      </w:r>
      <w:r>
        <w:rPr>
          <w:rFonts w:ascii="Tahoma" w:hAnsi="Tahoma" w:cs="Tahoma"/>
          <w:color w:val="000000"/>
          <w:sz w:val="18"/>
          <w:szCs w:val="18"/>
          <w:shd w:val="clear" w:color="auto" w:fill="FFFFFF"/>
        </w:rPr>
        <w:fldChar w:fldCharType="separate"/>
      </w:r>
      <w:r>
        <w:rPr>
          <w:rStyle w:val="a5"/>
          <w:rFonts w:ascii="Tahoma" w:hAnsi="Tahoma" w:cs="Tahoma"/>
          <w:color w:val="000000"/>
          <w:sz w:val="18"/>
          <w:szCs w:val="18"/>
          <w:bdr w:val="none" w:sz="0" w:space="0" w:color="auto" w:frame="1"/>
        </w:rPr>
        <w:t>[26]</w:t>
      </w:r>
      <w:r>
        <w:rPr>
          <w:rFonts w:ascii="Tahoma" w:hAnsi="Tahoma" w:cs="Tahoma"/>
          <w:color w:val="000000"/>
          <w:sz w:val="18"/>
          <w:szCs w:val="18"/>
          <w:shd w:val="clear" w:color="auto" w:fill="FFFFFF"/>
        </w:rPr>
        <w:fldChar w:fldCharType="end"/>
      </w:r>
      <w:bookmarkEnd w:id="3"/>
      <w:r>
        <w:rPr>
          <w:rFonts w:ascii="Tahoma" w:hAnsi="Tahoma" w:cs="Tahoma"/>
          <w:color w:val="000000"/>
          <w:sz w:val="18"/>
          <w:szCs w:val="18"/>
          <w:shd w:val="clear" w:color="auto" w:fill="FFFFFF"/>
        </w:rPr>
        <w:t>),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Рассмотрение и утверждение федерального бюджета.</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В первом чтении: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 представителей ГЛ,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Во втором чтении 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В третьем чтении 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При рассмотрении проекта федерального закона о федеральном бюджете в четвертом чтении проект голосуется в целом, внесение поправок в проект, возможное во втором и третьем чтениях, в четвертом чтении не допускается.</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7D1B65" w:rsidRDefault="007D1B65" w:rsidP="007D1B65">
      <w:pPr>
        <w:pStyle w:val="a9"/>
        <w:spacing w:before="45"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p>
    <w:p w:rsidR="007D1B65" w:rsidRDefault="007D1B65" w:rsidP="007D1B65">
      <w:pPr>
        <w:pStyle w:val="a9"/>
        <w:spacing w:before="0" w:beforeAutospacing="0" w:after="0" w:afterAutospacing="0"/>
        <w:rPr>
          <w:rFonts w:ascii="Tahoma" w:hAnsi="Tahoma" w:cs="Tahoma"/>
          <w:color w:val="000000"/>
          <w:sz w:val="18"/>
          <w:szCs w:val="18"/>
          <w:shd w:val="clear" w:color="auto" w:fill="FFFFFF"/>
        </w:rPr>
      </w:pPr>
      <w:r>
        <w:rPr>
          <w:rFonts w:ascii="Tahoma" w:hAnsi="Tahoma" w:cs="Tahoma"/>
          <w:color w:val="000000"/>
          <w:sz w:val="18"/>
          <w:szCs w:val="18"/>
          <w:shd w:val="clear" w:color="auto" w:fill="FFFFFF"/>
        </w:rPr>
        <w:t>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w:t>
      </w:r>
      <w:r>
        <w:rPr>
          <w:rStyle w:val="apple-converted-space"/>
          <w:rFonts w:ascii="Tahoma" w:hAnsi="Tahoma" w:cs="Tahoma"/>
          <w:color w:val="000000"/>
          <w:sz w:val="18"/>
          <w:szCs w:val="18"/>
          <w:shd w:val="clear" w:color="auto" w:fill="FFFFFF"/>
        </w:rPr>
        <w:t> </w:t>
      </w:r>
      <w:r>
        <w:rPr>
          <w:rFonts w:ascii="Tahoma" w:hAnsi="Tahoma" w:cs="Tahoma"/>
          <w:color w:val="000000"/>
          <w:sz w:val="18"/>
          <w:szCs w:val="18"/>
          <w:bdr w:val="none" w:sz="0" w:space="0" w:color="auto" w:frame="1"/>
        </w:rPr>
        <w:t>I</w:t>
      </w:r>
      <w:r>
        <w:rPr>
          <w:rFonts w:ascii="Tahoma" w:hAnsi="Tahoma" w:cs="Tahoma"/>
          <w:color w:val="000000"/>
          <w:sz w:val="18"/>
          <w:szCs w:val="18"/>
          <w:shd w:val="clear" w:color="auto" w:fill="FFFFFF"/>
        </w:rPr>
        <w:t>квартале очередного финансового года.</w:t>
      </w:r>
    </w:p>
    <w:p w:rsidR="002E0A90" w:rsidRDefault="002E0A90" w:rsidP="002E0A90">
      <w:pPr>
        <w:pStyle w:val="1"/>
        <w:jc w:val="center"/>
        <w:rPr>
          <w:rFonts w:ascii="Times New Roman" w:hAnsi="Times New Roman"/>
          <w:sz w:val="28"/>
        </w:rPr>
      </w:pPr>
      <w:r w:rsidRPr="002E0A90">
        <w:rPr>
          <w:rFonts w:ascii="Times New Roman" w:hAnsi="Times New Roman"/>
          <w:sz w:val="28"/>
        </w:rPr>
        <w:t xml:space="preserve">3. </w:t>
      </w:r>
      <w:bookmarkStart w:id="4" w:name="_Toc289627511"/>
      <w:r w:rsidR="00765533">
        <w:rPr>
          <w:rFonts w:ascii="Times New Roman" w:hAnsi="Times New Roman"/>
          <w:sz w:val="28"/>
        </w:rPr>
        <w:t>Содержание стратегии слияния. Варианты дружественных и враждебных поглощений</w:t>
      </w:r>
      <w:bookmarkEnd w:id="4"/>
    </w:p>
    <w:p w:rsidR="006D4A72" w:rsidRDefault="006D4A72" w:rsidP="006D4A72"/>
    <w:p w:rsidR="006D4A72" w:rsidRDefault="006D4A72" w:rsidP="006D4A72"/>
    <w:p w:rsidR="006D4A72" w:rsidRDefault="006D4A72" w:rsidP="006D4A72"/>
    <w:p w:rsidR="00A60211" w:rsidRPr="00A60211" w:rsidRDefault="00A60211" w:rsidP="00A60211">
      <w:pPr>
        <w:spacing w:line="360" w:lineRule="auto"/>
        <w:ind w:firstLine="709"/>
        <w:jc w:val="both"/>
        <w:rPr>
          <w:sz w:val="28"/>
          <w:szCs w:val="28"/>
        </w:rPr>
      </w:pPr>
      <w:r w:rsidRPr="00A60211">
        <w:rPr>
          <w:sz w:val="28"/>
          <w:szCs w:val="28"/>
        </w:rPr>
        <w:t>Существуют определенные</w:t>
      </w:r>
      <w:r>
        <w:rPr>
          <w:sz w:val="28"/>
          <w:szCs w:val="28"/>
        </w:rPr>
        <w:t xml:space="preserve"> различия в толковании понятия «</w:t>
      </w:r>
      <w:r w:rsidRPr="00A60211">
        <w:rPr>
          <w:sz w:val="28"/>
          <w:szCs w:val="28"/>
        </w:rPr>
        <w:t>слияние компаний</w:t>
      </w:r>
      <w:r>
        <w:rPr>
          <w:sz w:val="28"/>
          <w:szCs w:val="28"/>
        </w:rPr>
        <w:t>»</w:t>
      </w:r>
      <w:r w:rsidRPr="00A60211">
        <w:rPr>
          <w:sz w:val="28"/>
          <w:szCs w:val="28"/>
        </w:rPr>
        <w:t xml:space="preserve"> в зарубежной теории и практике и в российском законодательстве. </w:t>
      </w:r>
    </w:p>
    <w:p w:rsidR="00A60211" w:rsidRPr="00A60211" w:rsidRDefault="00A60211" w:rsidP="00A60211">
      <w:pPr>
        <w:spacing w:line="360" w:lineRule="auto"/>
        <w:ind w:firstLine="709"/>
        <w:jc w:val="both"/>
        <w:rPr>
          <w:sz w:val="28"/>
          <w:szCs w:val="28"/>
        </w:rPr>
      </w:pPr>
      <w:r w:rsidRPr="00A60211">
        <w:rPr>
          <w:sz w:val="28"/>
          <w:szCs w:val="28"/>
        </w:rPr>
        <w:t xml:space="preserve">В соответствии с общепринятыми за рубежом подходами под слиянием подразумевается любое объединение хозяйствующих субъектов, в результате которого образуется единая экономическая единица из двух или более ранее существовавших структур. </w:t>
      </w:r>
      <w:r w:rsidR="00DE31AE">
        <w:rPr>
          <w:sz w:val="28"/>
          <w:szCs w:val="28"/>
        </w:rPr>
        <w:t>[9, с.80-84]</w:t>
      </w:r>
    </w:p>
    <w:p w:rsidR="00A60211" w:rsidRPr="00A60211" w:rsidRDefault="00A60211" w:rsidP="00A60211">
      <w:pPr>
        <w:spacing w:line="360" w:lineRule="auto"/>
        <w:ind w:firstLine="709"/>
        <w:jc w:val="both"/>
        <w:rPr>
          <w:sz w:val="28"/>
          <w:szCs w:val="28"/>
        </w:rPr>
      </w:pPr>
      <w:r w:rsidRPr="00A60211">
        <w:rPr>
          <w:sz w:val="28"/>
          <w:szCs w:val="28"/>
        </w:rPr>
        <w:t xml:space="preserve">В соответствии же с российским законодательством под слиянием понимается реорганизация юридических лиц, при которой права и обязанности каждого из них переходят ко вновь возникшему юридическому лицу в соответствии с передаточным актом. Следовательно, необходимым условием оформления сделки слияния компаний является появление нового юридического лица, при этом новая компания образуется на основе двух или нескольких прежних фирм, утрачивающих полностью свое самостоятельное существование. Новая компания берет под свой контроль и управление все активы и обязательства перед клиентами компаний – своих составных частей, после чего последние распускаются. Например, если компания А объединяется с компаниями В и С, то в результате на рынке может появиться новая компания D (D=А+В+C), а все остальные ликвидируются. </w:t>
      </w:r>
    </w:p>
    <w:p w:rsidR="00A60211" w:rsidRPr="00A60211" w:rsidRDefault="00A60211" w:rsidP="00A60211">
      <w:pPr>
        <w:spacing w:line="360" w:lineRule="auto"/>
        <w:ind w:firstLine="709"/>
        <w:jc w:val="both"/>
        <w:rPr>
          <w:sz w:val="28"/>
          <w:szCs w:val="28"/>
        </w:rPr>
      </w:pPr>
      <w:r w:rsidRPr="00A60211">
        <w:rPr>
          <w:sz w:val="28"/>
          <w:szCs w:val="28"/>
        </w:rPr>
        <w:t xml:space="preserve">В зарубежной же практике под слиянием может пониматься объединение нескольких фирм, в результате которого одна из них выживает, а остальные утрачивают свою самостоятельность и прекращают существование. В российском законодательстве этот случай попадает под термин </w:t>
      </w:r>
      <w:r w:rsidR="00B021CC">
        <w:rPr>
          <w:sz w:val="28"/>
          <w:szCs w:val="28"/>
        </w:rPr>
        <w:t>«</w:t>
      </w:r>
      <w:r w:rsidRPr="00A60211">
        <w:rPr>
          <w:sz w:val="28"/>
          <w:szCs w:val="28"/>
        </w:rPr>
        <w:t>присоединение</w:t>
      </w:r>
      <w:r w:rsidR="00B021CC">
        <w:rPr>
          <w:sz w:val="28"/>
          <w:szCs w:val="28"/>
        </w:rPr>
        <w:t>»</w:t>
      </w:r>
      <w:r w:rsidRPr="00A60211">
        <w:rPr>
          <w:sz w:val="28"/>
          <w:szCs w:val="28"/>
        </w:rPr>
        <w:t xml:space="preserve">, подразумевающий, что происходит прекращение деятельности одного или нескольких юридических лиц с передачей всех их прав и обязанностей обществу, к которому они присоединяются (А=А+В+С). </w:t>
      </w:r>
    </w:p>
    <w:p w:rsidR="00A60211" w:rsidRPr="00A60211" w:rsidRDefault="00B021CC" w:rsidP="006D4A72">
      <w:pPr>
        <w:spacing w:line="360" w:lineRule="auto"/>
        <w:ind w:firstLine="720"/>
        <w:jc w:val="both"/>
        <w:rPr>
          <w:sz w:val="28"/>
          <w:szCs w:val="28"/>
        </w:rPr>
      </w:pPr>
      <w:r>
        <w:rPr>
          <w:sz w:val="28"/>
          <w:szCs w:val="28"/>
        </w:rPr>
        <w:t xml:space="preserve">Далее обратимся к понятиям дружественных и враждебных поглощений. </w:t>
      </w:r>
    </w:p>
    <w:p w:rsidR="00A60211" w:rsidRPr="00603D45" w:rsidRDefault="00A60211" w:rsidP="00A60211">
      <w:pPr>
        <w:spacing w:line="360" w:lineRule="auto"/>
        <w:ind w:firstLine="709"/>
        <w:jc w:val="both"/>
        <w:rPr>
          <w:color w:val="000000"/>
          <w:sz w:val="28"/>
        </w:rPr>
      </w:pPr>
      <w:r w:rsidRPr="00603D45">
        <w:rPr>
          <w:color w:val="000000"/>
          <w:sz w:val="28"/>
        </w:rPr>
        <w:t>Враждебное поглощение – тендерное предложение, которое менеджмент компании-покупателя выдвигает на фондовом рынке на акции предприятия-цели (обычно, контрольный пакет акций).</w:t>
      </w:r>
    </w:p>
    <w:p w:rsidR="00A60211" w:rsidRPr="00603D45" w:rsidRDefault="00A60211" w:rsidP="00A60211">
      <w:pPr>
        <w:spacing w:line="360" w:lineRule="auto"/>
        <w:ind w:firstLine="709"/>
        <w:jc w:val="both"/>
        <w:rPr>
          <w:color w:val="000000"/>
          <w:sz w:val="28"/>
        </w:rPr>
      </w:pPr>
      <w:r w:rsidRPr="00603D45">
        <w:rPr>
          <w:color w:val="000000"/>
          <w:sz w:val="28"/>
        </w:rPr>
        <w:t>Тендерное предложение – предложение на покупку определенного пакета акций определенной компании, по определенной цене, в течение определенного периода времени. Информация является общедоступной, т.е. известной все заинтересованным участника фондового рынка.</w:t>
      </w:r>
    </w:p>
    <w:p w:rsidR="00A60211" w:rsidRPr="00603D45" w:rsidRDefault="00A60211" w:rsidP="00A60211">
      <w:pPr>
        <w:pStyle w:val="a9"/>
        <w:spacing w:before="0" w:beforeAutospacing="0" w:after="0" w:afterAutospacing="0" w:line="360" w:lineRule="auto"/>
        <w:ind w:firstLine="709"/>
        <w:jc w:val="both"/>
        <w:rPr>
          <w:color w:val="000000"/>
          <w:sz w:val="28"/>
        </w:rPr>
      </w:pPr>
      <w:r w:rsidRPr="00603D45">
        <w:rPr>
          <w:color w:val="000000"/>
          <w:sz w:val="28"/>
        </w:rPr>
        <w:t>Признание сделки враждебным поглощением зависит скорее от действий управляющих и акционеров компании-цели, в случае, если атакующая компания выполнила все требования органов регулирования об афишировании своих действий.</w:t>
      </w:r>
    </w:p>
    <w:p w:rsidR="00A60211" w:rsidRPr="00603D45" w:rsidRDefault="00A60211" w:rsidP="00A60211">
      <w:pPr>
        <w:spacing w:line="360" w:lineRule="auto"/>
        <w:ind w:firstLine="709"/>
        <w:jc w:val="both"/>
        <w:rPr>
          <w:color w:val="000000"/>
          <w:sz w:val="28"/>
        </w:rPr>
      </w:pPr>
      <w:r w:rsidRPr="00603D45">
        <w:rPr>
          <w:color w:val="000000"/>
          <w:sz w:val="28"/>
        </w:rPr>
        <w:t>Главной причиной возникновения этого явления стало общественное отношение к проблеме появления класса новых собственников. Основная масса населения справедливо полагает, что небольшая кучка людей получила под контроль всенародное достояние – промышленность. Следовательно, легитимность их статуса собственников довольно призрачна, из чего следует возможность перераспределить имущество</w:t>
      </w:r>
      <w:r w:rsidR="00DE31AE">
        <w:rPr>
          <w:color w:val="000000"/>
          <w:sz w:val="28"/>
        </w:rPr>
        <w:t>.</w:t>
      </w:r>
      <w:r w:rsidR="00DE31AE" w:rsidRPr="00DE31AE">
        <w:rPr>
          <w:sz w:val="28"/>
          <w:szCs w:val="28"/>
        </w:rPr>
        <w:t xml:space="preserve"> </w:t>
      </w:r>
      <w:r w:rsidR="00DE31AE">
        <w:rPr>
          <w:sz w:val="28"/>
          <w:szCs w:val="28"/>
        </w:rPr>
        <w:t>[9, с.80-84]</w:t>
      </w:r>
    </w:p>
    <w:p w:rsidR="00A60211" w:rsidRPr="00603D45" w:rsidRDefault="00A60211" w:rsidP="00A60211">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Операции поглощения означают переход контроля над поглощенным предприятием от одной группы собственников к другой. При враждебных поглощениях смена контроля влечет и смену команды управляющих поглощенного предприятия. Именно механизм враждебных поглощений позволяет, в известной степени, сгладить проблему разделения собственности и контроля в акционерном обществе и возникающих из нее агентских конфликтов между управляющими и акционерами.</w:t>
      </w:r>
    </w:p>
    <w:p w:rsidR="00A60211" w:rsidRPr="00603D45" w:rsidRDefault="00A60211" w:rsidP="00A60211">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Враждебные поглощения, по сути, являются практическим воплощением такого явления, как конкуренция за управление активами. Такая конкуренция предполагает, что менеджеры в акционерных обществах, наделенные необходимыми полномочиями, управляют принадлежащим акционерам имуществом в целях увеличения их благосостояния.</w:t>
      </w:r>
    </w:p>
    <w:p w:rsidR="00A60211" w:rsidRPr="00603D45" w:rsidRDefault="00A60211" w:rsidP="00A60211">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В случае неэффективности управления рыночная стоимость активов снижается, что выражается в первую очередь в снижении рыночной стоимости акций фирмы. Подобные ситуации и становятся импульсом для рассмотрения вопроса о возможности враждебного поглощения. При этом предполагается, что смена управляющей команды приведет к повышению качества управления активами акционерного общества, то есть произойдет перемещение активов в более эффективное использование. Нет нужды говорить о том, что чем лучше отработан механизм такого перемещения, тем выше уровень эффективности национальной экономики.</w:t>
      </w:r>
    </w:p>
    <w:p w:rsidR="00A60211" w:rsidRPr="00603D45" w:rsidRDefault="00A60211" w:rsidP="00A60211">
      <w:pPr>
        <w:spacing w:line="360" w:lineRule="auto"/>
        <w:ind w:firstLine="709"/>
        <w:jc w:val="both"/>
        <w:rPr>
          <w:color w:val="000000"/>
          <w:sz w:val="28"/>
        </w:rPr>
      </w:pPr>
      <w:r w:rsidRPr="00603D45">
        <w:rPr>
          <w:color w:val="000000"/>
          <w:sz w:val="28"/>
        </w:rPr>
        <w:t>Целью враждебных поглощений является увеличение благосостояния акционеров и постижение конкурентных преимуществ на рынке.</w:t>
      </w:r>
    </w:p>
    <w:p w:rsidR="00A60211" w:rsidRPr="00603D45" w:rsidRDefault="00A60211" w:rsidP="00A60211">
      <w:pPr>
        <w:spacing w:line="360" w:lineRule="auto"/>
        <w:ind w:firstLine="709"/>
        <w:jc w:val="both"/>
        <w:rPr>
          <w:color w:val="000000"/>
          <w:sz w:val="28"/>
        </w:rPr>
      </w:pPr>
      <w:r w:rsidRPr="00603D45">
        <w:rPr>
          <w:color w:val="000000"/>
          <w:sz w:val="28"/>
        </w:rPr>
        <w:t>На пути к достижению указанных выше целей компания разрабатывает конкретную стратегию своей деятельности.</w:t>
      </w:r>
    </w:p>
    <w:p w:rsidR="00A60211" w:rsidRPr="00603D45" w:rsidRDefault="00A60211" w:rsidP="00A60211">
      <w:pPr>
        <w:spacing w:line="360" w:lineRule="auto"/>
        <w:ind w:firstLine="709"/>
        <w:jc w:val="both"/>
        <w:rPr>
          <w:color w:val="000000"/>
          <w:sz w:val="28"/>
        </w:rPr>
      </w:pPr>
      <w:r w:rsidRPr="00603D45">
        <w:rPr>
          <w:color w:val="000000"/>
          <w:sz w:val="28"/>
        </w:rPr>
        <w:t>Исходя из этого компанией могут быть выбраны следующие основные стратегии, или концепции, своего развития:</w:t>
      </w:r>
      <w:r w:rsidR="00DE31AE" w:rsidRPr="00DE31AE">
        <w:rPr>
          <w:sz w:val="28"/>
          <w:szCs w:val="28"/>
        </w:rPr>
        <w:t xml:space="preserve"> </w:t>
      </w:r>
      <w:r w:rsidR="00DE31AE">
        <w:rPr>
          <w:sz w:val="28"/>
          <w:szCs w:val="28"/>
        </w:rPr>
        <w:t>[9, с.80-84]</w:t>
      </w:r>
    </w:p>
    <w:p w:rsidR="00A60211" w:rsidRPr="00603D45" w:rsidRDefault="00A60211" w:rsidP="00A60211">
      <w:pPr>
        <w:numPr>
          <w:ilvl w:val="0"/>
          <w:numId w:val="6"/>
        </w:numPr>
        <w:spacing w:line="360" w:lineRule="auto"/>
        <w:ind w:left="0" w:firstLine="709"/>
        <w:jc w:val="both"/>
        <w:rPr>
          <w:color w:val="000000"/>
          <w:sz w:val="28"/>
        </w:rPr>
      </w:pPr>
      <w:r w:rsidRPr="00603D45">
        <w:rPr>
          <w:color w:val="000000"/>
          <w:sz w:val="28"/>
        </w:rPr>
        <w:t>Усиление основных направлений своей деятельности;</w:t>
      </w:r>
    </w:p>
    <w:p w:rsidR="00A60211" w:rsidRPr="00603D45" w:rsidRDefault="00A60211" w:rsidP="00A60211">
      <w:pPr>
        <w:numPr>
          <w:ilvl w:val="0"/>
          <w:numId w:val="6"/>
        </w:numPr>
        <w:spacing w:line="360" w:lineRule="auto"/>
        <w:ind w:left="0" w:firstLine="709"/>
        <w:jc w:val="both"/>
        <w:rPr>
          <w:color w:val="000000"/>
          <w:sz w:val="28"/>
        </w:rPr>
      </w:pPr>
      <w:r w:rsidRPr="00603D45">
        <w:rPr>
          <w:color w:val="000000"/>
          <w:sz w:val="28"/>
        </w:rPr>
        <w:t>Диверсификация деятельности;</w:t>
      </w:r>
    </w:p>
    <w:p w:rsidR="00A60211" w:rsidRPr="00603D45" w:rsidRDefault="00A60211" w:rsidP="00A60211">
      <w:pPr>
        <w:numPr>
          <w:ilvl w:val="0"/>
          <w:numId w:val="6"/>
        </w:numPr>
        <w:spacing w:line="360" w:lineRule="auto"/>
        <w:ind w:left="0" w:firstLine="709"/>
        <w:jc w:val="both"/>
        <w:rPr>
          <w:color w:val="000000"/>
          <w:sz w:val="28"/>
        </w:rPr>
      </w:pPr>
      <w:r w:rsidRPr="00603D45">
        <w:rPr>
          <w:color w:val="000000"/>
          <w:sz w:val="28"/>
        </w:rPr>
        <w:t>Отказ (продажа) от не основных направлений деятельности.</w:t>
      </w:r>
    </w:p>
    <w:p w:rsidR="00A60211" w:rsidRPr="00603D45" w:rsidRDefault="00A60211" w:rsidP="00B021CC">
      <w:pPr>
        <w:spacing w:line="360" w:lineRule="auto"/>
        <w:ind w:firstLine="709"/>
        <w:jc w:val="both"/>
        <w:rPr>
          <w:color w:val="000000"/>
          <w:sz w:val="28"/>
        </w:rPr>
      </w:pPr>
      <w:r w:rsidRPr="00603D45">
        <w:rPr>
          <w:color w:val="000000"/>
          <w:sz w:val="28"/>
        </w:rPr>
        <w:t>Основная причина сделок, где компании используют механизмы враждебного поглощения – это конкуренция, которая вынуждает активно искать инвестиционные возможности, эффективно использовать все ресурсы, снижать издержки и искать стратегии противодействия конкурентам. Расширяя свои возможности, компании создают стратегии диверсификации и реструктуризации.</w:t>
      </w:r>
    </w:p>
    <w:p w:rsidR="00A60211" w:rsidRPr="00603D45" w:rsidRDefault="00A60211" w:rsidP="00A60211">
      <w:pPr>
        <w:spacing w:line="360" w:lineRule="auto"/>
        <w:ind w:firstLine="709"/>
        <w:jc w:val="both"/>
        <w:rPr>
          <w:color w:val="000000"/>
          <w:sz w:val="28"/>
        </w:rPr>
      </w:pPr>
      <w:r w:rsidRPr="00603D45">
        <w:rPr>
          <w:color w:val="000000"/>
          <w:sz w:val="28"/>
        </w:rPr>
        <w:t>На рынке корпоративного контроля принято выделять также дружественные поглощения.</w:t>
      </w:r>
    </w:p>
    <w:p w:rsidR="00A60211" w:rsidRPr="00603D45" w:rsidRDefault="00A60211" w:rsidP="00A60211">
      <w:pPr>
        <w:spacing w:line="360" w:lineRule="auto"/>
        <w:ind w:firstLine="709"/>
        <w:jc w:val="both"/>
        <w:rPr>
          <w:color w:val="000000"/>
          <w:sz w:val="28"/>
        </w:rPr>
      </w:pPr>
      <w:r w:rsidRPr="00603D45">
        <w:rPr>
          <w:color w:val="000000"/>
          <w:sz w:val="28"/>
        </w:rPr>
        <w:t>Важным отличием враждебного поглощения от дружественного является то, кому делает предложение на выкуп контрольного пакета акций менеджмент корпораций-покупателя. В случае с враждебным поглощением менеджмент компании-цели оказывается полностью отключенным от процесса проведения выкупа, тогда как дружественное поглощение, как правило, проводится на переговорной основе. Именно поэтому дружественное поглощение чаще всего называют слиянием.</w:t>
      </w:r>
    </w:p>
    <w:p w:rsidR="00A60211" w:rsidRPr="00603D45" w:rsidRDefault="00A60211" w:rsidP="00A60211">
      <w:pPr>
        <w:spacing w:line="360" w:lineRule="auto"/>
        <w:ind w:firstLine="709"/>
        <w:jc w:val="both"/>
        <w:rPr>
          <w:color w:val="000000"/>
          <w:sz w:val="28"/>
        </w:rPr>
      </w:pPr>
      <w:r w:rsidRPr="00603D45">
        <w:rPr>
          <w:color w:val="000000"/>
          <w:sz w:val="28"/>
        </w:rPr>
        <w:t>Дружеское поглощение – это прежде всего контракт между менеджментом двух компаний, условия которого вырабатываются в переговорном процессе, причем менеджеры корпорации-цели выступают в этих переговорах в роли агентов своих акционеров.</w:t>
      </w:r>
    </w:p>
    <w:p w:rsidR="00A60211" w:rsidRPr="00603D45" w:rsidRDefault="00A60211" w:rsidP="00A60211">
      <w:pPr>
        <w:spacing w:line="360" w:lineRule="auto"/>
        <w:ind w:firstLine="709"/>
        <w:jc w:val="both"/>
        <w:rPr>
          <w:color w:val="000000"/>
          <w:sz w:val="28"/>
        </w:rPr>
      </w:pPr>
      <w:r w:rsidRPr="00603D45">
        <w:rPr>
          <w:color w:val="000000"/>
          <w:sz w:val="28"/>
        </w:rPr>
        <w:t>Если при дружественном поглощении ведутся переговоры, то при враждебном поглощении он полностью отсутствуют (по крайне мере, на начальном этапе сделки). Менеджер корпорации-покупателя выдвигает тендерное предложение на выкуп контрольного пакета акций корпорации-цели на открытом рынке и не интересуется чувствами, которые испытывает менеджмент и совет директоров корпорации-цели по отношении к этому тендеру. Менеджмент корпорации-покупателя интересует только одно – как можно быстрее получить контрольный пакет обыкновенных голосующих акций в свою собственность.</w:t>
      </w:r>
      <w:r w:rsidR="00DE31AE" w:rsidRPr="00DE31AE">
        <w:rPr>
          <w:sz w:val="28"/>
          <w:szCs w:val="28"/>
        </w:rPr>
        <w:t xml:space="preserve"> </w:t>
      </w:r>
      <w:r w:rsidR="00DE31AE">
        <w:rPr>
          <w:sz w:val="28"/>
          <w:szCs w:val="28"/>
        </w:rPr>
        <w:t>[9, с.80-84]</w:t>
      </w:r>
    </w:p>
    <w:p w:rsidR="00A60211" w:rsidRPr="00603D45" w:rsidRDefault="00A60211" w:rsidP="00A60211">
      <w:pPr>
        <w:spacing w:line="360" w:lineRule="auto"/>
        <w:ind w:firstLine="709"/>
        <w:jc w:val="both"/>
        <w:rPr>
          <w:color w:val="000000"/>
          <w:sz w:val="28"/>
        </w:rPr>
      </w:pPr>
      <w:r w:rsidRPr="00603D45">
        <w:rPr>
          <w:color w:val="000000"/>
          <w:sz w:val="28"/>
        </w:rPr>
        <w:t>Чаще всего выдвижение тендерного предложения на открытом фондовом рынке сопровождается различного рода обвинениями, которые выдвигает менеджмент корпорации-покупателя в адрес менеджмента корпорации-цели. Запуск неэффективных инвестиционных проектов, низкие показатели деятельности, упущенные перспективы роста, манипулирование финансовой отчетностью – вот лишь некоторые из наиболее встречающихся на практике обвинений в адрес менеджмента корпорации-цели. Однако, лишь небольшой процент поглощений, первоначально инициированных как враждебные, заканчиваются при полной изоляции менеджмента корпорации-цели. В большинстве враждебных поглощений топ-менеджеры корпорации цели рано или поздно оказываются привлеченными к процессу сделки.</w:t>
      </w:r>
    </w:p>
    <w:p w:rsidR="00A60211" w:rsidRPr="00603D45" w:rsidRDefault="00A60211" w:rsidP="00A60211">
      <w:pPr>
        <w:spacing w:line="360" w:lineRule="auto"/>
        <w:ind w:firstLine="709"/>
        <w:jc w:val="both"/>
        <w:rPr>
          <w:color w:val="000000"/>
          <w:sz w:val="28"/>
        </w:rPr>
      </w:pPr>
      <w:r w:rsidRPr="00603D45">
        <w:rPr>
          <w:color w:val="000000"/>
          <w:sz w:val="28"/>
        </w:rPr>
        <w:t>Враждебные поглощения приводят к увеличению оборачиваемости топ-менеджмента компании даже тогда, когда оказываются неуспешными и действующий менеджмент корпорации-цели сохраняет свой пост.</w:t>
      </w:r>
    </w:p>
    <w:p w:rsidR="00A60211" w:rsidRPr="00603D45" w:rsidRDefault="00A60211" w:rsidP="00A60211">
      <w:pPr>
        <w:spacing w:line="360" w:lineRule="auto"/>
        <w:ind w:firstLine="709"/>
        <w:jc w:val="both"/>
        <w:rPr>
          <w:color w:val="000000"/>
          <w:sz w:val="28"/>
        </w:rPr>
      </w:pPr>
      <w:r w:rsidRPr="00603D45">
        <w:rPr>
          <w:color w:val="000000"/>
          <w:sz w:val="28"/>
        </w:rPr>
        <w:t>Как можно объяснить увеличение оборачиваемости топ менеджмента в успешно защитившейся корпорации цели?</w:t>
      </w:r>
    </w:p>
    <w:p w:rsidR="00A60211" w:rsidRPr="00603D45" w:rsidRDefault="00A60211" w:rsidP="00A60211">
      <w:pPr>
        <w:spacing w:line="360" w:lineRule="auto"/>
        <w:ind w:firstLine="709"/>
        <w:jc w:val="both"/>
        <w:rPr>
          <w:color w:val="000000"/>
          <w:sz w:val="28"/>
        </w:rPr>
      </w:pPr>
      <w:r w:rsidRPr="00603D45">
        <w:rPr>
          <w:color w:val="000000"/>
          <w:sz w:val="28"/>
        </w:rPr>
        <w:t>Во-первых, само нападение на компанию может рассматриваться ее советом директоров как сигнал того, что в компании не все благополучно с качеством управления. Попытка враждебного поглощения может вывести совет директоров компании из летаргического сна и заставить его уделить более пристальное внимание текущей деятельности менеджмента. Отсюда и более высокая оборачиваемость.</w:t>
      </w:r>
    </w:p>
    <w:p w:rsidR="00A60211" w:rsidRPr="00603D45" w:rsidRDefault="00A60211" w:rsidP="00A60211">
      <w:pPr>
        <w:spacing w:line="360" w:lineRule="auto"/>
        <w:ind w:firstLine="709"/>
        <w:jc w:val="both"/>
        <w:rPr>
          <w:color w:val="000000"/>
          <w:sz w:val="28"/>
        </w:rPr>
      </w:pPr>
      <w:r w:rsidRPr="00603D45">
        <w:rPr>
          <w:color w:val="000000"/>
          <w:sz w:val="28"/>
        </w:rPr>
        <w:t>Во-вторых, использование некоторых методов защиты может привести к тому, что стоимость компании-цели начнет падать, и также скоро, как скоро начнет падать стоимость компании, вероятность смещения действующего менеджера начнет возрастать.</w:t>
      </w:r>
    </w:p>
    <w:p w:rsidR="00A60211" w:rsidRPr="00603D45" w:rsidRDefault="00A60211" w:rsidP="00A60211">
      <w:pPr>
        <w:spacing w:line="360" w:lineRule="auto"/>
        <w:ind w:firstLine="709"/>
        <w:jc w:val="both"/>
        <w:rPr>
          <w:color w:val="000000"/>
          <w:sz w:val="28"/>
        </w:rPr>
      </w:pPr>
      <w:r w:rsidRPr="00603D45">
        <w:rPr>
          <w:color w:val="000000"/>
          <w:sz w:val="28"/>
        </w:rPr>
        <w:t>Известно, что чем более дружественной является сделка, тем более активно использует для ее оплаты собственные обыкновенные голосующие акции корпорация-покупатель. Затем некоторые эмпирические исследования обнаружили, что поглощение носит тем более враждебный характер, чем меньший пакет обыкновенных голосующих акций принадлежит действующему менеджменту корпорации-цели. Эмпирическим исследования не удалось установить какие-либо устойчивые отличия (по финансовым или иным показателям деятельности) корпораций, ставших целями враждебных поглощений, от компаний, которые принадлежали к тем отраслям, но не стали целями враждебных поглощений.</w:t>
      </w:r>
    </w:p>
    <w:p w:rsidR="00A60211" w:rsidRDefault="00A60211" w:rsidP="00A60211">
      <w:pPr>
        <w:spacing w:line="360" w:lineRule="auto"/>
        <w:ind w:firstLine="709"/>
        <w:jc w:val="both"/>
        <w:rPr>
          <w:color w:val="000000"/>
          <w:sz w:val="28"/>
        </w:rPr>
      </w:pPr>
      <w:r w:rsidRPr="00603D45">
        <w:rPr>
          <w:color w:val="000000"/>
          <w:sz w:val="28"/>
        </w:rPr>
        <w:t>Если сложить всю информацию о характеристиках дружественных и враждебных поглощений, которая известна нам на текущий момент, то получим следующую картину (табл. 1).</w:t>
      </w:r>
      <w:r w:rsidR="00DE31AE" w:rsidRPr="00DE31AE">
        <w:rPr>
          <w:sz w:val="28"/>
          <w:szCs w:val="28"/>
        </w:rPr>
        <w:t xml:space="preserve"> </w:t>
      </w:r>
      <w:r w:rsidR="00DE31AE">
        <w:rPr>
          <w:sz w:val="28"/>
          <w:szCs w:val="28"/>
        </w:rPr>
        <w:t>[9, с.80-84]</w:t>
      </w:r>
    </w:p>
    <w:p w:rsidR="00A60211" w:rsidRPr="00603D45" w:rsidRDefault="00200E8B" w:rsidP="00A60211">
      <w:pPr>
        <w:spacing w:line="360" w:lineRule="auto"/>
        <w:ind w:firstLine="709"/>
        <w:jc w:val="both"/>
        <w:rPr>
          <w:sz w:val="28"/>
          <w:szCs w:val="28"/>
        </w:rPr>
      </w:pPr>
      <w:r>
        <w:rPr>
          <w:sz w:val="28"/>
          <w:szCs w:val="28"/>
        </w:rPr>
        <w:br w:type="page"/>
      </w:r>
      <w:r w:rsidR="00A60211" w:rsidRPr="00603D45">
        <w:rPr>
          <w:sz w:val="28"/>
          <w:szCs w:val="28"/>
        </w:rPr>
        <w:t xml:space="preserve">Таблица </w:t>
      </w:r>
      <w:r w:rsidR="00A60211" w:rsidRPr="00603D45">
        <w:rPr>
          <w:sz w:val="28"/>
          <w:szCs w:val="28"/>
        </w:rPr>
        <w:fldChar w:fldCharType="begin"/>
      </w:r>
      <w:r w:rsidR="00A60211" w:rsidRPr="00603D45">
        <w:rPr>
          <w:sz w:val="28"/>
          <w:szCs w:val="28"/>
        </w:rPr>
        <w:instrText xml:space="preserve"> SEQ Таблица \* ARABIC </w:instrText>
      </w:r>
      <w:r w:rsidR="00A60211" w:rsidRPr="00603D45">
        <w:rPr>
          <w:sz w:val="28"/>
          <w:szCs w:val="28"/>
        </w:rPr>
        <w:fldChar w:fldCharType="separate"/>
      </w:r>
      <w:r w:rsidR="00A60211" w:rsidRPr="00603D45">
        <w:rPr>
          <w:noProof/>
          <w:sz w:val="28"/>
          <w:szCs w:val="28"/>
        </w:rPr>
        <w:t>1</w:t>
      </w:r>
      <w:r w:rsidR="00A60211" w:rsidRPr="00603D45">
        <w:rPr>
          <w:sz w:val="28"/>
          <w:szCs w:val="28"/>
        </w:rPr>
        <w:fldChar w:fldCharType="end"/>
      </w:r>
      <w:r w:rsidR="00A60211" w:rsidRPr="00603D45">
        <w:rPr>
          <w:sz w:val="28"/>
          <w:szCs w:val="28"/>
        </w:rPr>
        <w:t>. Характеристики дружественных и враждебных поглощений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1"/>
        <w:gridCol w:w="3046"/>
        <w:gridCol w:w="3020"/>
      </w:tblGrid>
      <w:tr w:rsidR="00A60211" w:rsidRPr="00A60211" w:rsidTr="00A60211">
        <w:trPr>
          <w:cantSplit/>
          <w:trHeight w:val="525"/>
          <w:jc w:val="center"/>
        </w:trPr>
        <w:tc>
          <w:tcPr>
            <w:tcW w:w="1738" w:type="pct"/>
          </w:tcPr>
          <w:p w:rsidR="00A60211" w:rsidRPr="00A60211" w:rsidRDefault="00A60211" w:rsidP="00200E8B">
            <w:pPr>
              <w:jc w:val="both"/>
              <w:rPr>
                <w:b/>
                <w:color w:val="000000"/>
              </w:rPr>
            </w:pPr>
            <w:r w:rsidRPr="00A60211">
              <w:rPr>
                <w:b/>
                <w:color w:val="000000"/>
              </w:rPr>
              <w:t>Характеристика</w:t>
            </w:r>
          </w:p>
        </w:tc>
        <w:tc>
          <w:tcPr>
            <w:tcW w:w="1638" w:type="pct"/>
          </w:tcPr>
          <w:p w:rsidR="00A60211" w:rsidRPr="00A60211" w:rsidRDefault="00A60211" w:rsidP="00200E8B">
            <w:pPr>
              <w:jc w:val="both"/>
              <w:rPr>
                <w:b/>
                <w:color w:val="000000"/>
              </w:rPr>
            </w:pPr>
            <w:r w:rsidRPr="00A60211">
              <w:rPr>
                <w:b/>
                <w:color w:val="000000"/>
              </w:rPr>
              <w:t>Дружественное</w:t>
            </w:r>
          </w:p>
        </w:tc>
        <w:tc>
          <w:tcPr>
            <w:tcW w:w="1624" w:type="pct"/>
          </w:tcPr>
          <w:p w:rsidR="00A60211" w:rsidRPr="00A60211" w:rsidRDefault="00A60211" w:rsidP="00200E8B">
            <w:pPr>
              <w:jc w:val="both"/>
              <w:rPr>
                <w:b/>
                <w:color w:val="000000"/>
              </w:rPr>
            </w:pPr>
            <w:r w:rsidRPr="00A60211">
              <w:rPr>
                <w:b/>
                <w:color w:val="000000"/>
              </w:rPr>
              <w:t>Враждебное</w:t>
            </w:r>
          </w:p>
        </w:tc>
      </w:tr>
      <w:tr w:rsidR="00A60211" w:rsidRPr="00A60211" w:rsidTr="00A60211">
        <w:trPr>
          <w:cantSplit/>
          <w:trHeight w:val="525"/>
          <w:jc w:val="center"/>
        </w:trPr>
        <w:tc>
          <w:tcPr>
            <w:tcW w:w="1738" w:type="pct"/>
          </w:tcPr>
          <w:p w:rsidR="00A60211" w:rsidRPr="00A60211" w:rsidRDefault="00A60211" w:rsidP="00200E8B">
            <w:pPr>
              <w:jc w:val="both"/>
              <w:rPr>
                <w:color w:val="000000"/>
              </w:rPr>
            </w:pPr>
            <w:r w:rsidRPr="00A60211">
              <w:rPr>
                <w:bCs/>
                <w:color w:val="000000"/>
              </w:rPr>
              <w:t>Характер проведения</w:t>
            </w:r>
          </w:p>
        </w:tc>
        <w:tc>
          <w:tcPr>
            <w:tcW w:w="1638" w:type="pct"/>
          </w:tcPr>
          <w:p w:rsidR="00A60211" w:rsidRPr="00A60211" w:rsidRDefault="00A60211" w:rsidP="00200E8B">
            <w:pPr>
              <w:jc w:val="both"/>
              <w:rPr>
                <w:color w:val="000000"/>
              </w:rPr>
            </w:pPr>
            <w:r w:rsidRPr="00A60211">
              <w:rPr>
                <w:bCs/>
                <w:color w:val="000000"/>
              </w:rPr>
              <w:t>Переговоры</w:t>
            </w:r>
          </w:p>
        </w:tc>
        <w:tc>
          <w:tcPr>
            <w:tcW w:w="1624" w:type="pct"/>
          </w:tcPr>
          <w:p w:rsidR="00A60211" w:rsidRPr="00A60211" w:rsidRDefault="00A60211" w:rsidP="00200E8B">
            <w:pPr>
              <w:jc w:val="both"/>
              <w:rPr>
                <w:color w:val="000000"/>
              </w:rPr>
            </w:pPr>
            <w:r w:rsidRPr="00A60211">
              <w:rPr>
                <w:bCs/>
                <w:color w:val="000000"/>
              </w:rPr>
              <w:t>Отсутствие переговоров</w:t>
            </w:r>
          </w:p>
        </w:tc>
      </w:tr>
      <w:tr w:rsidR="00A60211" w:rsidRPr="00A60211" w:rsidTr="00A60211">
        <w:trPr>
          <w:cantSplit/>
          <w:trHeight w:val="540"/>
          <w:jc w:val="center"/>
        </w:trPr>
        <w:tc>
          <w:tcPr>
            <w:tcW w:w="1738" w:type="pct"/>
          </w:tcPr>
          <w:p w:rsidR="00A60211" w:rsidRPr="00A60211" w:rsidRDefault="00A60211" w:rsidP="00200E8B">
            <w:pPr>
              <w:jc w:val="both"/>
              <w:rPr>
                <w:color w:val="000000"/>
              </w:rPr>
            </w:pPr>
            <w:r w:rsidRPr="00A60211">
              <w:rPr>
                <w:bCs/>
                <w:color w:val="000000"/>
              </w:rPr>
              <w:t>Реакция менеджмента компании-цели</w:t>
            </w:r>
          </w:p>
        </w:tc>
        <w:tc>
          <w:tcPr>
            <w:tcW w:w="1638" w:type="pct"/>
          </w:tcPr>
          <w:p w:rsidR="00A60211" w:rsidRPr="00A60211" w:rsidRDefault="00A60211" w:rsidP="00200E8B">
            <w:pPr>
              <w:jc w:val="both"/>
              <w:rPr>
                <w:color w:val="000000"/>
              </w:rPr>
            </w:pPr>
            <w:r w:rsidRPr="00A60211">
              <w:rPr>
                <w:bCs/>
                <w:color w:val="000000"/>
              </w:rPr>
              <w:t>Позитивная</w:t>
            </w:r>
          </w:p>
        </w:tc>
        <w:tc>
          <w:tcPr>
            <w:tcW w:w="1624" w:type="pct"/>
          </w:tcPr>
          <w:p w:rsidR="00A60211" w:rsidRPr="00A60211" w:rsidRDefault="00A60211" w:rsidP="00200E8B">
            <w:pPr>
              <w:jc w:val="both"/>
              <w:rPr>
                <w:color w:val="000000"/>
              </w:rPr>
            </w:pPr>
            <w:r w:rsidRPr="00A60211">
              <w:rPr>
                <w:bCs/>
                <w:color w:val="000000"/>
              </w:rPr>
              <w:t>Негативная, активное противодействие</w:t>
            </w:r>
          </w:p>
        </w:tc>
      </w:tr>
      <w:tr w:rsidR="00A60211" w:rsidRPr="00A60211" w:rsidTr="00A60211">
        <w:trPr>
          <w:cantSplit/>
          <w:trHeight w:val="540"/>
          <w:jc w:val="center"/>
        </w:trPr>
        <w:tc>
          <w:tcPr>
            <w:tcW w:w="1738" w:type="pct"/>
          </w:tcPr>
          <w:p w:rsidR="00A60211" w:rsidRPr="00A60211" w:rsidRDefault="00A60211" w:rsidP="00200E8B">
            <w:pPr>
              <w:jc w:val="both"/>
              <w:rPr>
                <w:color w:val="000000"/>
              </w:rPr>
            </w:pPr>
            <w:r w:rsidRPr="00A60211">
              <w:rPr>
                <w:bCs/>
                <w:color w:val="000000"/>
              </w:rPr>
              <w:t>Степень неожиданности для рынка</w:t>
            </w:r>
          </w:p>
        </w:tc>
        <w:tc>
          <w:tcPr>
            <w:tcW w:w="1638" w:type="pct"/>
          </w:tcPr>
          <w:p w:rsidR="00A60211" w:rsidRPr="00A60211" w:rsidRDefault="00A60211" w:rsidP="00200E8B">
            <w:pPr>
              <w:jc w:val="both"/>
              <w:rPr>
                <w:color w:val="000000"/>
              </w:rPr>
            </w:pPr>
            <w:r w:rsidRPr="00A60211">
              <w:rPr>
                <w:bCs/>
                <w:color w:val="000000"/>
              </w:rPr>
              <w:t>Ожидаемо (до некоторой степени)</w:t>
            </w:r>
          </w:p>
        </w:tc>
        <w:tc>
          <w:tcPr>
            <w:tcW w:w="1624" w:type="pct"/>
          </w:tcPr>
          <w:p w:rsidR="00A60211" w:rsidRPr="00A60211" w:rsidRDefault="00A60211" w:rsidP="00200E8B">
            <w:pPr>
              <w:jc w:val="both"/>
              <w:rPr>
                <w:color w:val="000000"/>
              </w:rPr>
            </w:pPr>
            <w:r w:rsidRPr="00A60211">
              <w:rPr>
                <w:bCs/>
                <w:color w:val="000000"/>
              </w:rPr>
              <w:t>Абсолютно неожиданно</w:t>
            </w:r>
          </w:p>
        </w:tc>
      </w:tr>
      <w:tr w:rsidR="00A60211" w:rsidRPr="00A60211" w:rsidTr="00A60211">
        <w:trPr>
          <w:cantSplit/>
          <w:trHeight w:val="990"/>
          <w:jc w:val="center"/>
        </w:trPr>
        <w:tc>
          <w:tcPr>
            <w:tcW w:w="1738" w:type="pct"/>
          </w:tcPr>
          <w:p w:rsidR="00A60211" w:rsidRPr="00A60211" w:rsidRDefault="00A60211" w:rsidP="00200E8B">
            <w:pPr>
              <w:jc w:val="both"/>
              <w:rPr>
                <w:color w:val="000000"/>
              </w:rPr>
            </w:pPr>
            <w:r w:rsidRPr="00A60211">
              <w:rPr>
                <w:bCs/>
                <w:color w:val="000000"/>
              </w:rPr>
              <w:t>Доля обыкновенных акций, принадлежащих менеджменту компании-цели</w:t>
            </w:r>
          </w:p>
        </w:tc>
        <w:tc>
          <w:tcPr>
            <w:tcW w:w="1638" w:type="pct"/>
          </w:tcPr>
          <w:p w:rsidR="00A60211" w:rsidRPr="00A60211" w:rsidRDefault="00A60211" w:rsidP="00200E8B">
            <w:pPr>
              <w:jc w:val="both"/>
              <w:rPr>
                <w:color w:val="000000"/>
              </w:rPr>
            </w:pPr>
            <w:r w:rsidRPr="00A60211">
              <w:rPr>
                <w:bCs/>
                <w:color w:val="000000"/>
              </w:rPr>
              <w:t>Значительная</w:t>
            </w:r>
          </w:p>
        </w:tc>
        <w:tc>
          <w:tcPr>
            <w:tcW w:w="1624" w:type="pct"/>
          </w:tcPr>
          <w:p w:rsidR="00A60211" w:rsidRPr="00A60211" w:rsidRDefault="00A60211" w:rsidP="00200E8B">
            <w:pPr>
              <w:jc w:val="both"/>
              <w:rPr>
                <w:color w:val="000000"/>
              </w:rPr>
            </w:pPr>
            <w:r w:rsidRPr="00A60211">
              <w:rPr>
                <w:bCs/>
                <w:color w:val="000000"/>
              </w:rPr>
              <w:t>Незначительная</w:t>
            </w:r>
          </w:p>
        </w:tc>
      </w:tr>
      <w:tr w:rsidR="00A60211" w:rsidRPr="00A60211" w:rsidTr="00A60211">
        <w:trPr>
          <w:cantSplit/>
          <w:trHeight w:val="540"/>
          <w:jc w:val="center"/>
        </w:trPr>
        <w:tc>
          <w:tcPr>
            <w:tcW w:w="1738" w:type="pct"/>
          </w:tcPr>
          <w:p w:rsidR="00A60211" w:rsidRPr="00A60211" w:rsidRDefault="00A60211" w:rsidP="00200E8B">
            <w:pPr>
              <w:jc w:val="both"/>
              <w:rPr>
                <w:color w:val="000000"/>
              </w:rPr>
            </w:pPr>
            <w:r w:rsidRPr="00A60211">
              <w:rPr>
                <w:bCs/>
                <w:color w:val="000000"/>
              </w:rPr>
              <w:t>Конкуренция</w:t>
            </w:r>
          </w:p>
        </w:tc>
        <w:tc>
          <w:tcPr>
            <w:tcW w:w="1638" w:type="pct"/>
          </w:tcPr>
          <w:p w:rsidR="00A60211" w:rsidRPr="00A60211" w:rsidRDefault="00A60211" w:rsidP="00200E8B">
            <w:pPr>
              <w:jc w:val="both"/>
              <w:rPr>
                <w:color w:val="000000"/>
              </w:rPr>
            </w:pPr>
            <w:r w:rsidRPr="00A60211">
              <w:rPr>
                <w:bCs/>
                <w:color w:val="000000"/>
              </w:rPr>
              <w:t>Отсутствует</w:t>
            </w:r>
          </w:p>
        </w:tc>
        <w:tc>
          <w:tcPr>
            <w:tcW w:w="1624" w:type="pct"/>
          </w:tcPr>
          <w:p w:rsidR="00A60211" w:rsidRPr="00A60211" w:rsidRDefault="00A60211" w:rsidP="00200E8B">
            <w:pPr>
              <w:jc w:val="both"/>
              <w:rPr>
                <w:color w:val="000000"/>
              </w:rPr>
            </w:pPr>
            <w:r w:rsidRPr="00A60211">
              <w:rPr>
                <w:bCs/>
                <w:color w:val="000000"/>
              </w:rPr>
              <w:t>Возможна сильная конкуренция покупателей</w:t>
            </w:r>
          </w:p>
        </w:tc>
      </w:tr>
      <w:tr w:rsidR="00A60211" w:rsidRPr="00A60211" w:rsidTr="00A60211">
        <w:trPr>
          <w:cantSplit/>
          <w:trHeight w:val="349"/>
          <w:jc w:val="center"/>
        </w:trPr>
        <w:tc>
          <w:tcPr>
            <w:tcW w:w="1738" w:type="pct"/>
          </w:tcPr>
          <w:p w:rsidR="00A60211" w:rsidRPr="00A60211" w:rsidRDefault="00A60211" w:rsidP="00200E8B">
            <w:pPr>
              <w:jc w:val="both"/>
              <w:rPr>
                <w:color w:val="000000"/>
              </w:rPr>
            </w:pPr>
            <w:r w:rsidRPr="00A60211">
              <w:rPr>
                <w:bCs/>
                <w:color w:val="000000"/>
              </w:rPr>
              <w:t>Метод оплаты сделки</w:t>
            </w:r>
          </w:p>
        </w:tc>
        <w:tc>
          <w:tcPr>
            <w:tcW w:w="1638" w:type="pct"/>
          </w:tcPr>
          <w:p w:rsidR="00A60211" w:rsidRPr="00A60211" w:rsidRDefault="00A60211" w:rsidP="00200E8B">
            <w:pPr>
              <w:jc w:val="both"/>
              <w:rPr>
                <w:color w:val="000000"/>
              </w:rPr>
            </w:pPr>
            <w:r w:rsidRPr="00A60211">
              <w:rPr>
                <w:bCs/>
                <w:color w:val="000000"/>
              </w:rPr>
              <w:t>Обыкновенные голосующие акции покупателя</w:t>
            </w:r>
          </w:p>
        </w:tc>
        <w:tc>
          <w:tcPr>
            <w:tcW w:w="1624" w:type="pct"/>
          </w:tcPr>
          <w:p w:rsidR="00A60211" w:rsidRPr="00A60211" w:rsidRDefault="00A60211" w:rsidP="00200E8B">
            <w:pPr>
              <w:jc w:val="both"/>
              <w:rPr>
                <w:color w:val="000000"/>
              </w:rPr>
            </w:pPr>
            <w:r w:rsidRPr="00A60211">
              <w:rPr>
                <w:bCs/>
                <w:color w:val="000000"/>
              </w:rPr>
              <w:t>Денежные средства и / или обыкновенные голосующие акции покупателя</w:t>
            </w:r>
          </w:p>
        </w:tc>
      </w:tr>
      <w:tr w:rsidR="00A60211" w:rsidRPr="00A60211" w:rsidTr="00A60211">
        <w:trPr>
          <w:cantSplit/>
          <w:trHeight w:val="540"/>
          <w:jc w:val="center"/>
        </w:trPr>
        <w:tc>
          <w:tcPr>
            <w:tcW w:w="1738" w:type="pct"/>
          </w:tcPr>
          <w:p w:rsidR="00A60211" w:rsidRPr="00A60211" w:rsidRDefault="00A60211" w:rsidP="00200E8B">
            <w:pPr>
              <w:jc w:val="both"/>
              <w:rPr>
                <w:color w:val="000000"/>
              </w:rPr>
            </w:pPr>
            <w:r w:rsidRPr="00A60211">
              <w:rPr>
                <w:bCs/>
                <w:color w:val="000000"/>
              </w:rPr>
              <w:t>Размер премии</w:t>
            </w:r>
          </w:p>
        </w:tc>
        <w:tc>
          <w:tcPr>
            <w:tcW w:w="1638" w:type="pct"/>
          </w:tcPr>
          <w:p w:rsidR="00A60211" w:rsidRPr="00A60211" w:rsidRDefault="00A60211" w:rsidP="00200E8B">
            <w:pPr>
              <w:jc w:val="both"/>
              <w:rPr>
                <w:color w:val="000000"/>
              </w:rPr>
            </w:pPr>
            <w:r w:rsidRPr="00A60211">
              <w:rPr>
                <w:bCs/>
                <w:color w:val="000000"/>
              </w:rPr>
              <w:t>Ниже среднего размера премии по сделками, связанным с поглощением аналогичных компании</w:t>
            </w:r>
          </w:p>
        </w:tc>
        <w:tc>
          <w:tcPr>
            <w:tcW w:w="1624" w:type="pct"/>
          </w:tcPr>
          <w:p w:rsidR="00A60211" w:rsidRPr="00A60211" w:rsidRDefault="00A60211" w:rsidP="00200E8B">
            <w:pPr>
              <w:jc w:val="both"/>
              <w:rPr>
                <w:color w:val="000000"/>
              </w:rPr>
            </w:pPr>
            <w:r w:rsidRPr="00A60211">
              <w:rPr>
                <w:bCs/>
                <w:color w:val="000000"/>
              </w:rPr>
              <w:t>Выше среднего размера премии по сделками, связанным с поглощением аналогичных компании</w:t>
            </w:r>
          </w:p>
        </w:tc>
      </w:tr>
    </w:tbl>
    <w:p w:rsidR="00A60211" w:rsidRDefault="00A60211" w:rsidP="00A60211">
      <w:pPr>
        <w:spacing w:line="360" w:lineRule="auto"/>
        <w:ind w:firstLine="709"/>
        <w:jc w:val="both"/>
        <w:rPr>
          <w:color w:val="000000"/>
          <w:sz w:val="28"/>
        </w:rPr>
      </w:pPr>
    </w:p>
    <w:p w:rsidR="00A60211" w:rsidRPr="00603D45" w:rsidRDefault="00200E8B" w:rsidP="00A60211">
      <w:pPr>
        <w:spacing w:line="360" w:lineRule="auto"/>
        <w:ind w:firstLine="709"/>
        <w:jc w:val="both"/>
        <w:rPr>
          <w:color w:val="000000"/>
          <w:sz w:val="28"/>
        </w:rPr>
      </w:pPr>
      <w:r>
        <w:rPr>
          <w:color w:val="000000"/>
          <w:sz w:val="28"/>
        </w:rPr>
        <w:t>Согласно одной из точек зрения, важнейшее</w:t>
      </w:r>
      <w:r w:rsidR="00A60211" w:rsidRPr="00603D45">
        <w:rPr>
          <w:color w:val="000000"/>
          <w:sz w:val="28"/>
        </w:rPr>
        <w:t xml:space="preserve"> отличие враждебного поглощени</w:t>
      </w:r>
      <w:r>
        <w:rPr>
          <w:color w:val="000000"/>
          <w:sz w:val="28"/>
        </w:rPr>
        <w:t xml:space="preserve">я от дружественного поглощения </w:t>
      </w:r>
      <w:r w:rsidR="00A60211" w:rsidRPr="00603D45">
        <w:rPr>
          <w:color w:val="000000"/>
          <w:sz w:val="28"/>
        </w:rPr>
        <w:t>заключается в степени публичности сделки. Чем выше степень поглощения, тем более оно враждебное. Получается, что враждебное поглощение – это тоже самое дружественное поглощение, информация о процессе проведения которого общедоступна (известно, на какой стадии обсуждения находится сделка, в чем согласны стороны и т.д.).</w:t>
      </w:r>
    </w:p>
    <w:p w:rsidR="00A60211" w:rsidRPr="00603D45" w:rsidRDefault="00A60211" w:rsidP="00A60211">
      <w:pPr>
        <w:spacing w:line="360" w:lineRule="auto"/>
        <w:ind w:firstLine="709"/>
        <w:jc w:val="both"/>
        <w:rPr>
          <w:color w:val="000000"/>
          <w:sz w:val="28"/>
        </w:rPr>
      </w:pPr>
      <w:r w:rsidRPr="00603D45">
        <w:rPr>
          <w:color w:val="000000"/>
          <w:sz w:val="28"/>
        </w:rPr>
        <w:t>Однако, получить четкое определение враждебного поглощения не так уж просто, так как для разных людей враждебность означает разные вещи. Для одних степень враждебности может определяться отношениями между топ-менеджментом двух компаний, для других – методом оплаты сделки, для третьих – тем, как сделку описывает пресса и т.д.</w:t>
      </w:r>
      <w:r w:rsidR="00DE31AE" w:rsidRPr="00DE31AE">
        <w:rPr>
          <w:sz w:val="28"/>
          <w:szCs w:val="28"/>
        </w:rPr>
        <w:t xml:space="preserve"> </w:t>
      </w:r>
      <w:r w:rsidR="00DE31AE">
        <w:rPr>
          <w:sz w:val="28"/>
          <w:szCs w:val="28"/>
        </w:rPr>
        <w:t>[9, с.80-84]</w:t>
      </w:r>
    </w:p>
    <w:p w:rsidR="00A60211" w:rsidRDefault="00A60211" w:rsidP="006D4A72">
      <w:pPr>
        <w:spacing w:line="360" w:lineRule="auto"/>
        <w:ind w:firstLine="720"/>
        <w:jc w:val="both"/>
        <w:rPr>
          <w:sz w:val="28"/>
          <w:szCs w:val="28"/>
        </w:rPr>
      </w:pPr>
    </w:p>
    <w:p w:rsidR="00A60211" w:rsidRDefault="00A60211" w:rsidP="006D4A72">
      <w:pPr>
        <w:spacing w:line="360" w:lineRule="auto"/>
        <w:ind w:firstLine="720"/>
        <w:jc w:val="both"/>
        <w:rPr>
          <w:sz w:val="28"/>
          <w:szCs w:val="28"/>
        </w:rPr>
      </w:pPr>
    </w:p>
    <w:p w:rsidR="006D4A72" w:rsidRPr="00DA10FD" w:rsidRDefault="006D4A72" w:rsidP="006D4A72">
      <w:pPr>
        <w:spacing w:line="360" w:lineRule="auto"/>
        <w:ind w:left="1800" w:hanging="360"/>
        <w:jc w:val="both"/>
        <w:rPr>
          <w:sz w:val="28"/>
          <w:szCs w:val="28"/>
        </w:rPr>
      </w:pPr>
    </w:p>
    <w:p w:rsidR="002E0A90" w:rsidRDefault="002E0A90" w:rsidP="002E0A90">
      <w:pPr>
        <w:pStyle w:val="1"/>
        <w:jc w:val="center"/>
        <w:rPr>
          <w:rFonts w:ascii="Times New Roman" w:hAnsi="Times New Roman"/>
          <w:sz w:val="28"/>
        </w:rPr>
      </w:pPr>
      <w:r>
        <w:rPr>
          <w:rFonts w:ascii="Times New Roman" w:hAnsi="Times New Roman"/>
          <w:sz w:val="28"/>
        </w:rPr>
        <w:br w:type="page"/>
      </w:r>
      <w:bookmarkStart w:id="5" w:name="_Toc289627512"/>
      <w:r>
        <w:rPr>
          <w:rFonts w:ascii="Times New Roman" w:hAnsi="Times New Roman"/>
          <w:sz w:val="28"/>
        </w:rPr>
        <w:t>Заключение</w:t>
      </w:r>
      <w:bookmarkEnd w:id="5"/>
      <w:r>
        <w:rPr>
          <w:rFonts w:ascii="Times New Roman" w:hAnsi="Times New Roman"/>
          <w:sz w:val="28"/>
        </w:rPr>
        <w:t xml:space="preserve"> </w:t>
      </w:r>
    </w:p>
    <w:p w:rsidR="006D4A72" w:rsidRPr="006D4A72" w:rsidRDefault="006D4A72" w:rsidP="006D4A72">
      <w:pPr>
        <w:spacing w:line="360" w:lineRule="auto"/>
        <w:ind w:firstLine="709"/>
        <w:jc w:val="both"/>
        <w:rPr>
          <w:sz w:val="28"/>
          <w:szCs w:val="28"/>
        </w:rPr>
      </w:pPr>
    </w:p>
    <w:p w:rsidR="006D4A72" w:rsidRPr="006D4A72" w:rsidRDefault="006D4A72" w:rsidP="006D4A72">
      <w:pPr>
        <w:spacing w:line="360" w:lineRule="auto"/>
        <w:ind w:firstLine="709"/>
        <w:jc w:val="both"/>
        <w:rPr>
          <w:sz w:val="28"/>
          <w:szCs w:val="28"/>
        </w:rPr>
      </w:pPr>
      <w:r w:rsidRPr="006D4A72">
        <w:rPr>
          <w:sz w:val="28"/>
          <w:szCs w:val="28"/>
        </w:rPr>
        <w:t>Слияния и поглощения - это самый драматический раздел корпоративных финансов. Сделки могут объявляться и отзываться, длиться месяцами, превращаться в корпоративные войны. По сути, это инструмент, используемый в конкурентной борьбе для образования альянсов и новых компаний в ходе структурных изменений под действием конкуренции и изменения макроэкономических условий.</w:t>
      </w:r>
    </w:p>
    <w:p w:rsidR="006D4A72" w:rsidRDefault="006D4A72" w:rsidP="006D4A72">
      <w:pPr>
        <w:spacing w:line="360" w:lineRule="auto"/>
        <w:ind w:firstLine="709"/>
        <w:jc w:val="both"/>
        <w:rPr>
          <w:sz w:val="28"/>
          <w:szCs w:val="28"/>
        </w:rPr>
      </w:pPr>
      <w:r w:rsidRPr="006D4A72">
        <w:rPr>
          <w:sz w:val="28"/>
          <w:szCs w:val="28"/>
        </w:rPr>
        <w:t xml:space="preserve">Необходимо рассматривать данный инструмент, сделки слияния и поглощения, как одну из возможностей, которые должны быть постоянно в арсенале корпоративных менеджеров, постоянно входить как вариант в стратегические планы компаний. Наряду с внутренними инвестициями они должны рассматривать совместные с другими фирмами инвестиционные возможности. Выбор стратегии интеграции, форм и методов объединения и реструктуризации зависит от структуры рынка, инвестиционных целей участников сделок и </w:t>
      </w:r>
      <w:r w:rsidR="00200E8B">
        <w:rPr>
          <w:sz w:val="28"/>
          <w:szCs w:val="28"/>
        </w:rPr>
        <w:t xml:space="preserve">др. </w:t>
      </w:r>
      <w:r w:rsidRPr="006D4A72">
        <w:rPr>
          <w:sz w:val="28"/>
          <w:szCs w:val="28"/>
        </w:rPr>
        <w:t>Требуется тщательный анализ изменения конкурентной среды, технологий, последствий ответов конкурентов, чтобы обеспечить выгодность сделок слияния и поглощения. Анализ выгодности должен основываться на доходности инвестиций, прогнозируемости бизнеса, и не подменять это целью достижения полного контроля.</w:t>
      </w:r>
    </w:p>
    <w:p w:rsidR="00200E8B" w:rsidRDefault="00200E8B" w:rsidP="00200E8B">
      <w:pPr>
        <w:spacing w:line="360" w:lineRule="auto"/>
        <w:ind w:firstLine="720"/>
        <w:jc w:val="both"/>
        <w:rPr>
          <w:sz w:val="28"/>
          <w:szCs w:val="28"/>
        </w:rPr>
      </w:pPr>
      <w:r w:rsidRPr="00DA10FD">
        <w:rPr>
          <w:sz w:val="28"/>
          <w:szCs w:val="28"/>
        </w:rPr>
        <w:t xml:space="preserve">Для того чтобы слияние или поглощение прошло успешно, необходимо: </w:t>
      </w:r>
    </w:p>
    <w:p w:rsidR="00200E8B" w:rsidRPr="00200E8B" w:rsidRDefault="00200E8B" w:rsidP="00200E8B">
      <w:pPr>
        <w:numPr>
          <w:ilvl w:val="0"/>
          <w:numId w:val="4"/>
        </w:numPr>
        <w:spacing w:line="360" w:lineRule="auto"/>
        <w:ind w:left="0" w:firstLine="0"/>
        <w:jc w:val="both"/>
        <w:rPr>
          <w:sz w:val="28"/>
          <w:szCs w:val="28"/>
        </w:rPr>
      </w:pPr>
      <w:r w:rsidRPr="00DA10FD">
        <w:rPr>
          <w:sz w:val="28"/>
          <w:szCs w:val="28"/>
        </w:rPr>
        <w:t xml:space="preserve">правильно выбрать организационную форму сделки; </w:t>
      </w:r>
      <w:r w:rsidRPr="00200E8B">
        <w:rPr>
          <w:sz w:val="28"/>
          <w:szCs w:val="28"/>
        </w:rPr>
        <w:t xml:space="preserve">обеспечить четкое соответствие сделки антимонопольному  законодательству; </w:t>
      </w:r>
    </w:p>
    <w:p w:rsidR="00200E8B" w:rsidRPr="00200E8B" w:rsidRDefault="00200E8B" w:rsidP="00200E8B">
      <w:pPr>
        <w:numPr>
          <w:ilvl w:val="0"/>
          <w:numId w:val="4"/>
        </w:numPr>
        <w:spacing w:line="360" w:lineRule="auto"/>
        <w:ind w:left="0" w:firstLine="0"/>
        <w:jc w:val="both"/>
        <w:rPr>
          <w:sz w:val="28"/>
          <w:szCs w:val="28"/>
        </w:rPr>
      </w:pPr>
      <w:r w:rsidRPr="00DA10FD">
        <w:rPr>
          <w:sz w:val="28"/>
          <w:szCs w:val="28"/>
        </w:rPr>
        <w:t xml:space="preserve">иметь достаточно финансовых ресурсов для объединения; </w:t>
      </w:r>
      <w:r w:rsidRPr="00200E8B">
        <w:rPr>
          <w:sz w:val="28"/>
          <w:szCs w:val="28"/>
        </w:rPr>
        <w:t xml:space="preserve">в случае слияния быстро и мирно решить вопрос «кто главный»; </w:t>
      </w:r>
    </w:p>
    <w:p w:rsidR="00200E8B" w:rsidRDefault="00200E8B" w:rsidP="00200E8B">
      <w:pPr>
        <w:numPr>
          <w:ilvl w:val="0"/>
          <w:numId w:val="4"/>
        </w:numPr>
        <w:spacing w:line="360" w:lineRule="auto"/>
        <w:ind w:left="0" w:firstLine="0"/>
        <w:jc w:val="both"/>
        <w:rPr>
          <w:sz w:val="28"/>
          <w:szCs w:val="28"/>
        </w:rPr>
      </w:pPr>
      <w:r w:rsidRPr="00DA10FD">
        <w:rPr>
          <w:sz w:val="28"/>
          <w:szCs w:val="28"/>
        </w:rPr>
        <w:t>максимально быстро включить в процесс слияния не только высший, но и средний управленческий персонал.</w:t>
      </w:r>
    </w:p>
    <w:p w:rsidR="00200E8B" w:rsidRPr="00DA10FD" w:rsidRDefault="00200E8B" w:rsidP="00200E8B">
      <w:pPr>
        <w:spacing w:line="360" w:lineRule="auto"/>
        <w:ind w:firstLine="851"/>
        <w:jc w:val="both"/>
        <w:rPr>
          <w:sz w:val="28"/>
          <w:szCs w:val="28"/>
        </w:rPr>
      </w:pPr>
      <w:r>
        <w:rPr>
          <w:sz w:val="28"/>
          <w:szCs w:val="28"/>
        </w:rPr>
        <w:t xml:space="preserve">В настоящее время и поглощения являются достаточно распространенными явлениями в экономической сфере. </w:t>
      </w:r>
    </w:p>
    <w:p w:rsidR="002E0A90" w:rsidRDefault="002E0A90" w:rsidP="002E0A90">
      <w:pPr>
        <w:pStyle w:val="1"/>
        <w:jc w:val="center"/>
        <w:rPr>
          <w:rFonts w:ascii="Times New Roman" w:hAnsi="Times New Roman"/>
          <w:sz w:val="28"/>
        </w:rPr>
      </w:pPr>
      <w:bookmarkStart w:id="6" w:name="_Toc289627513"/>
      <w:r w:rsidRPr="002E0A90">
        <w:rPr>
          <w:rFonts w:ascii="Times New Roman" w:hAnsi="Times New Roman"/>
          <w:sz w:val="28"/>
        </w:rPr>
        <w:t>Список использованной литературы</w:t>
      </w:r>
      <w:bookmarkEnd w:id="6"/>
      <w:r w:rsidRPr="002E0A90">
        <w:rPr>
          <w:rFonts w:ascii="Times New Roman" w:hAnsi="Times New Roman"/>
          <w:sz w:val="28"/>
        </w:rPr>
        <w:t xml:space="preserve"> </w:t>
      </w:r>
    </w:p>
    <w:p w:rsidR="00765533" w:rsidRPr="00765533" w:rsidRDefault="00765533" w:rsidP="00765533">
      <w:pPr>
        <w:spacing w:line="360" w:lineRule="auto"/>
        <w:jc w:val="both"/>
        <w:rPr>
          <w:sz w:val="28"/>
          <w:szCs w:val="28"/>
        </w:rPr>
      </w:pPr>
    </w:p>
    <w:p w:rsidR="00200E8B" w:rsidRDefault="00765533" w:rsidP="00200E8B">
      <w:pPr>
        <w:numPr>
          <w:ilvl w:val="0"/>
          <w:numId w:val="8"/>
        </w:numPr>
        <w:spacing w:line="360" w:lineRule="auto"/>
        <w:ind w:left="0" w:firstLine="0"/>
        <w:jc w:val="both"/>
        <w:rPr>
          <w:sz w:val="28"/>
          <w:szCs w:val="28"/>
        </w:rPr>
      </w:pPr>
      <w:r w:rsidRPr="00765533">
        <w:rPr>
          <w:sz w:val="28"/>
          <w:szCs w:val="28"/>
        </w:rPr>
        <w:t>Ануфриев В.О. Взаимосвязь М&amp;А в реальном и банковском секторах // Инвестиционный банкинг. 2007. № 3.</w:t>
      </w:r>
    </w:p>
    <w:p w:rsidR="00200E8B" w:rsidRDefault="00200E8B" w:rsidP="00200E8B">
      <w:pPr>
        <w:numPr>
          <w:ilvl w:val="0"/>
          <w:numId w:val="8"/>
        </w:numPr>
        <w:spacing w:line="360" w:lineRule="auto"/>
        <w:ind w:left="0" w:firstLine="0"/>
        <w:jc w:val="both"/>
        <w:rPr>
          <w:sz w:val="28"/>
          <w:szCs w:val="28"/>
        </w:rPr>
      </w:pPr>
      <w:r w:rsidRPr="00C42DCD">
        <w:rPr>
          <w:sz w:val="28"/>
          <w:szCs w:val="28"/>
        </w:rPr>
        <w:t>Браславская М. Вне конкуренции // Слияния и поглощения. 2005. № 2. С. 46-55.</w:t>
      </w:r>
    </w:p>
    <w:p w:rsidR="00200E8B" w:rsidRDefault="00765533" w:rsidP="00200E8B">
      <w:pPr>
        <w:numPr>
          <w:ilvl w:val="0"/>
          <w:numId w:val="8"/>
        </w:numPr>
        <w:spacing w:line="360" w:lineRule="auto"/>
        <w:ind w:left="0" w:firstLine="0"/>
        <w:jc w:val="both"/>
        <w:rPr>
          <w:sz w:val="28"/>
          <w:szCs w:val="28"/>
        </w:rPr>
      </w:pPr>
      <w:r w:rsidRPr="00765533">
        <w:rPr>
          <w:sz w:val="28"/>
          <w:szCs w:val="28"/>
        </w:rPr>
        <w:t>Бычков О. Слияния и поглощения. Новеллы в российском акционерном праве // Корпоративный юрист. 2006. № 6.</w:t>
      </w:r>
    </w:p>
    <w:p w:rsidR="00200E8B" w:rsidRDefault="00200E8B" w:rsidP="00200E8B">
      <w:pPr>
        <w:numPr>
          <w:ilvl w:val="0"/>
          <w:numId w:val="8"/>
        </w:numPr>
        <w:spacing w:line="360" w:lineRule="auto"/>
        <w:ind w:left="0" w:firstLine="0"/>
        <w:jc w:val="both"/>
        <w:rPr>
          <w:sz w:val="28"/>
          <w:szCs w:val="28"/>
        </w:rPr>
      </w:pPr>
      <w:r w:rsidRPr="00C42DCD">
        <w:rPr>
          <w:sz w:val="28"/>
          <w:szCs w:val="28"/>
        </w:rPr>
        <w:t>Владимирова И. Г. Слияния и поглощения компаний // Менед</w:t>
      </w:r>
      <w:r>
        <w:rPr>
          <w:sz w:val="28"/>
          <w:szCs w:val="28"/>
        </w:rPr>
        <w:t>жмент в России и за рубежом. 200</w:t>
      </w:r>
      <w:r w:rsidRPr="00C42DCD">
        <w:rPr>
          <w:sz w:val="28"/>
          <w:szCs w:val="28"/>
        </w:rPr>
        <w:t xml:space="preserve">9. № 1. </w:t>
      </w:r>
      <w:r>
        <w:rPr>
          <w:sz w:val="28"/>
          <w:szCs w:val="28"/>
        </w:rPr>
        <w:t>С.43-47.</w:t>
      </w:r>
    </w:p>
    <w:p w:rsidR="00200E8B" w:rsidRDefault="00765533" w:rsidP="00200E8B">
      <w:pPr>
        <w:numPr>
          <w:ilvl w:val="0"/>
          <w:numId w:val="8"/>
        </w:numPr>
        <w:spacing w:line="360" w:lineRule="auto"/>
        <w:ind w:left="0" w:firstLine="0"/>
        <w:jc w:val="both"/>
        <w:rPr>
          <w:sz w:val="28"/>
          <w:szCs w:val="28"/>
        </w:rPr>
      </w:pPr>
      <w:r w:rsidRPr="00765533">
        <w:rPr>
          <w:sz w:val="28"/>
          <w:szCs w:val="28"/>
        </w:rPr>
        <w:t>Гвардин С. Факторы, влияющие на эффективность сделок слияний и поглощений в России // Финансовая газета. 2007. № 10.</w:t>
      </w:r>
    </w:p>
    <w:p w:rsidR="00200E8B" w:rsidRDefault="00765533" w:rsidP="00200E8B">
      <w:pPr>
        <w:numPr>
          <w:ilvl w:val="0"/>
          <w:numId w:val="8"/>
        </w:numPr>
        <w:spacing w:line="360" w:lineRule="auto"/>
        <w:ind w:left="0" w:firstLine="0"/>
        <w:jc w:val="both"/>
        <w:rPr>
          <w:sz w:val="28"/>
          <w:szCs w:val="28"/>
        </w:rPr>
      </w:pPr>
      <w:r w:rsidRPr="00765533">
        <w:rPr>
          <w:sz w:val="28"/>
          <w:szCs w:val="28"/>
        </w:rPr>
        <w:t>Гончаренко Е. Актуальность слияний и поглощений как форм развития российского бизнеса // Финансовая газета. 2006. № 44.</w:t>
      </w:r>
    </w:p>
    <w:p w:rsidR="00200E8B" w:rsidRPr="00C42DCD" w:rsidRDefault="00200E8B" w:rsidP="00200E8B">
      <w:pPr>
        <w:numPr>
          <w:ilvl w:val="0"/>
          <w:numId w:val="8"/>
        </w:numPr>
        <w:spacing w:line="360" w:lineRule="auto"/>
        <w:ind w:left="0" w:firstLine="0"/>
        <w:jc w:val="both"/>
        <w:rPr>
          <w:sz w:val="28"/>
          <w:szCs w:val="28"/>
        </w:rPr>
      </w:pPr>
      <w:r w:rsidRPr="00C42DCD">
        <w:rPr>
          <w:sz w:val="28"/>
          <w:szCs w:val="28"/>
        </w:rPr>
        <w:t>Гохан П. А. Слияния, поглощения и реструктуризация компаний / Пер. с англ</w:t>
      </w:r>
      <w:r>
        <w:rPr>
          <w:sz w:val="28"/>
          <w:szCs w:val="28"/>
        </w:rPr>
        <w:t>. М.: Альпина Бизнес Букс, 2008.</w:t>
      </w:r>
      <w:r w:rsidRPr="00C42DCD">
        <w:rPr>
          <w:sz w:val="28"/>
          <w:szCs w:val="28"/>
        </w:rPr>
        <w:t xml:space="preserve"> </w:t>
      </w:r>
    </w:p>
    <w:p w:rsidR="00200E8B" w:rsidRDefault="00765533" w:rsidP="00200E8B">
      <w:pPr>
        <w:numPr>
          <w:ilvl w:val="0"/>
          <w:numId w:val="8"/>
        </w:numPr>
        <w:spacing w:line="360" w:lineRule="auto"/>
        <w:ind w:left="0" w:firstLine="0"/>
        <w:jc w:val="both"/>
        <w:rPr>
          <w:sz w:val="28"/>
          <w:szCs w:val="28"/>
        </w:rPr>
      </w:pPr>
      <w:r w:rsidRPr="00765533">
        <w:rPr>
          <w:sz w:val="28"/>
          <w:szCs w:val="28"/>
        </w:rPr>
        <w:t>Лабаджян М.Г., Кокорев И.А. Роль и место HR-отдела при слияниях и поглощениях компаний // Управление персоналом. 2008. № 3.</w:t>
      </w:r>
    </w:p>
    <w:p w:rsidR="00200E8B" w:rsidRDefault="00765533" w:rsidP="00200E8B">
      <w:pPr>
        <w:numPr>
          <w:ilvl w:val="0"/>
          <w:numId w:val="8"/>
        </w:numPr>
        <w:spacing w:line="360" w:lineRule="auto"/>
        <w:ind w:left="0" w:firstLine="0"/>
        <w:jc w:val="both"/>
        <w:rPr>
          <w:sz w:val="28"/>
          <w:szCs w:val="28"/>
        </w:rPr>
      </w:pPr>
      <w:r w:rsidRPr="00765533">
        <w:rPr>
          <w:sz w:val="28"/>
          <w:szCs w:val="28"/>
        </w:rPr>
        <w:t xml:space="preserve">Никитинский В.Н. Слияния и поглощения в системе рыночных отношений // </w:t>
      </w:r>
      <w:r w:rsidR="00DE31AE">
        <w:rPr>
          <w:sz w:val="28"/>
          <w:szCs w:val="28"/>
        </w:rPr>
        <w:t>Слияния и поглощения</w:t>
      </w:r>
      <w:r w:rsidRPr="00765533">
        <w:rPr>
          <w:sz w:val="28"/>
          <w:szCs w:val="28"/>
        </w:rPr>
        <w:t>. 2007. № 2.</w:t>
      </w:r>
      <w:r w:rsidR="00DE31AE">
        <w:rPr>
          <w:sz w:val="28"/>
          <w:szCs w:val="28"/>
        </w:rPr>
        <w:t xml:space="preserve"> С.80-84.</w:t>
      </w:r>
    </w:p>
    <w:p w:rsidR="00200E8B" w:rsidRDefault="00765533" w:rsidP="00200E8B">
      <w:pPr>
        <w:numPr>
          <w:ilvl w:val="0"/>
          <w:numId w:val="8"/>
        </w:numPr>
        <w:spacing w:line="360" w:lineRule="auto"/>
        <w:ind w:left="0" w:firstLine="0"/>
        <w:jc w:val="both"/>
        <w:rPr>
          <w:sz w:val="28"/>
          <w:szCs w:val="28"/>
        </w:rPr>
      </w:pPr>
      <w:r w:rsidRPr="00765533">
        <w:rPr>
          <w:sz w:val="28"/>
          <w:szCs w:val="28"/>
        </w:rPr>
        <w:t>Поточниг В., Трощенко Ю. Сливаемся и поглощаемся. Обзор рынка М&amp;А 2007 года // Консультант. 2008. № 1.</w:t>
      </w:r>
    </w:p>
    <w:p w:rsidR="00200E8B" w:rsidRPr="00C42DCD" w:rsidRDefault="00200E8B" w:rsidP="00200E8B">
      <w:pPr>
        <w:numPr>
          <w:ilvl w:val="0"/>
          <w:numId w:val="8"/>
        </w:numPr>
        <w:spacing w:line="360" w:lineRule="auto"/>
        <w:ind w:left="0" w:firstLine="0"/>
        <w:jc w:val="both"/>
        <w:rPr>
          <w:sz w:val="28"/>
          <w:szCs w:val="28"/>
        </w:rPr>
      </w:pPr>
      <w:r w:rsidRPr="00C42DCD">
        <w:rPr>
          <w:sz w:val="28"/>
          <w:szCs w:val="28"/>
        </w:rPr>
        <w:t>Радыгин А. Слияния и поглощения в корпоративном сек</w:t>
      </w:r>
      <w:r>
        <w:rPr>
          <w:sz w:val="28"/>
          <w:szCs w:val="28"/>
        </w:rPr>
        <w:t>торе // Вопросы экономики. 2009</w:t>
      </w:r>
      <w:r w:rsidRPr="00C42DCD">
        <w:rPr>
          <w:sz w:val="28"/>
          <w:szCs w:val="28"/>
        </w:rPr>
        <w:t xml:space="preserve">. № 12. </w:t>
      </w:r>
      <w:r>
        <w:rPr>
          <w:sz w:val="28"/>
          <w:szCs w:val="28"/>
        </w:rPr>
        <w:t>С.34-38.</w:t>
      </w:r>
    </w:p>
    <w:p w:rsidR="00200E8B" w:rsidRPr="00765533" w:rsidRDefault="00200E8B" w:rsidP="00200E8B">
      <w:pPr>
        <w:numPr>
          <w:ilvl w:val="0"/>
          <w:numId w:val="8"/>
        </w:numPr>
        <w:spacing w:line="360" w:lineRule="auto"/>
        <w:ind w:left="0" w:firstLine="0"/>
        <w:jc w:val="both"/>
        <w:rPr>
          <w:sz w:val="28"/>
          <w:szCs w:val="28"/>
        </w:rPr>
      </w:pPr>
      <w:r w:rsidRPr="00C42DCD">
        <w:rPr>
          <w:sz w:val="28"/>
          <w:szCs w:val="28"/>
        </w:rPr>
        <w:t>Рид С. Ф. Искусство слияний и поглощений / Пер. с англ. М.: Альпина Бизнес Букс, 2004.</w:t>
      </w:r>
    </w:p>
    <w:p w:rsidR="00200E8B" w:rsidRDefault="00765533" w:rsidP="00200E8B">
      <w:pPr>
        <w:numPr>
          <w:ilvl w:val="0"/>
          <w:numId w:val="8"/>
        </w:numPr>
        <w:spacing w:line="360" w:lineRule="auto"/>
        <w:ind w:left="0" w:firstLine="0"/>
        <w:jc w:val="both"/>
        <w:rPr>
          <w:sz w:val="28"/>
          <w:szCs w:val="28"/>
        </w:rPr>
      </w:pPr>
      <w:r w:rsidRPr="00765533">
        <w:rPr>
          <w:sz w:val="28"/>
          <w:szCs w:val="28"/>
        </w:rPr>
        <w:t xml:space="preserve">Тимоти Дж. Галпин, Марк Хэндон. Полное руководство по слияниям и поглощениям компаний: пер. с англ. М.: Изд. </w:t>
      </w:r>
      <w:r w:rsidR="00200E8B">
        <w:rPr>
          <w:sz w:val="28"/>
          <w:szCs w:val="28"/>
        </w:rPr>
        <w:t>«</w:t>
      </w:r>
      <w:r w:rsidRPr="00765533">
        <w:rPr>
          <w:sz w:val="28"/>
          <w:szCs w:val="28"/>
        </w:rPr>
        <w:t>Вильямс</w:t>
      </w:r>
      <w:r w:rsidR="00200E8B">
        <w:rPr>
          <w:sz w:val="28"/>
          <w:szCs w:val="28"/>
        </w:rPr>
        <w:t>»</w:t>
      </w:r>
      <w:r w:rsidRPr="00765533">
        <w:rPr>
          <w:sz w:val="28"/>
          <w:szCs w:val="28"/>
        </w:rPr>
        <w:t>, 2005.</w:t>
      </w:r>
    </w:p>
    <w:p w:rsidR="00200E8B" w:rsidRDefault="00765533" w:rsidP="00200E8B">
      <w:pPr>
        <w:numPr>
          <w:ilvl w:val="0"/>
          <w:numId w:val="8"/>
        </w:numPr>
        <w:spacing w:line="360" w:lineRule="auto"/>
        <w:ind w:left="0" w:firstLine="0"/>
        <w:jc w:val="both"/>
        <w:rPr>
          <w:sz w:val="28"/>
          <w:szCs w:val="28"/>
        </w:rPr>
      </w:pPr>
      <w:r w:rsidRPr="00200E8B">
        <w:rPr>
          <w:sz w:val="28"/>
          <w:szCs w:val="28"/>
        </w:rPr>
        <w:t>Царев М. Новое слово в слияниях и поглощениях // Консультант. 2007. № 1.</w:t>
      </w:r>
    </w:p>
    <w:p w:rsidR="00200E8B" w:rsidRPr="00200E8B" w:rsidRDefault="00200E8B" w:rsidP="00200E8B">
      <w:pPr>
        <w:numPr>
          <w:ilvl w:val="0"/>
          <w:numId w:val="8"/>
        </w:numPr>
        <w:spacing w:line="360" w:lineRule="auto"/>
        <w:ind w:left="0" w:firstLine="0"/>
        <w:jc w:val="both"/>
        <w:rPr>
          <w:sz w:val="28"/>
          <w:szCs w:val="28"/>
        </w:rPr>
      </w:pPr>
      <w:r w:rsidRPr="00200E8B">
        <w:rPr>
          <w:sz w:val="28"/>
          <w:szCs w:val="28"/>
        </w:rPr>
        <w:t>Фостер Р. Искусство слияний и поглощений. – М.: Ал</w:t>
      </w:r>
      <w:r w:rsidR="00DE31AE">
        <w:rPr>
          <w:sz w:val="28"/>
          <w:szCs w:val="28"/>
        </w:rPr>
        <w:t xml:space="preserve">ьпина Бизнес Букс 2006. </w:t>
      </w:r>
      <w:bookmarkStart w:id="7" w:name="_GoBack"/>
      <w:bookmarkEnd w:id="7"/>
    </w:p>
    <w:sectPr w:rsidR="00200E8B" w:rsidRPr="00200E8B" w:rsidSect="002E0A90">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8E" w:rsidRDefault="001B438E">
      <w:r>
        <w:separator/>
      </w:r>
    </w:p>
  </w:endnote>
  <w:endnote w:type="continuationSeparator" w:id="0">
    <w:p w:rsidR="001B438E" w:rsidRDefault="001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0" w:rsidRDefault="002E0A90" w:rsidP="00EC2F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0A90" w:rsidRDefault="002E0A90" w:rsidP="002E0A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0" w:rsidRDefault="002E0A90" w:rsidP="00EC2F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D1B65">
      <w:rPr>
        <w:rStyle w:val="a4"/>
        <w:noProof/>
      </w:rPr>
      <w:t>19</w:t>
    </w:r>
    <w:r>
      <w:rPr>
        <w:rStyle w:val="a4"/>
      </w:rPr>
      <w:fldChar w:fldCharType="end"/>
    </w:r>
  </w:p>
  <w:p w:rsidR="002E0A90" w:rsidRDefault="002E0A90" w:rsidP="002E0A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8E" w:rsidRDefault="001B438E">
      <w:r>
        <w:separator/>
      </w:r>
    </w:p>
  </w:footnote>
  <w:footnote w:type="continuationSeparator" w:id="0">
    <w:p w:rsidR="001B438E" w:rsidRDefault="001B4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22B"/>
    <w:multiLevelType w:val="hybridMultilevel"/>
    <w:tmpl w:val="A6F8EB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451D9F"/>
    <w:multiLevelType w:val="hybridMultilevel"/>
    <w:tmpl w:val="12E09C2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56773"/>
    <w:multiLevelType w:val="hybridMultilevel"/>
    <w:tmpl w:val="B2C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D170B"/>
    <w:multiLevelType w:val="hybridMultilevel"/>
    <w:tmpl w:val="85D22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FD40F1B"/>
    <w:multiLevelType w:val="hybridMultilevel"/>
    <w:tmpl w:val="4ECE9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25018"/>
    <w:multiLevelType w:val="hybridMultilevel"/>
    <w:tmpl w:val="DA545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14F5FD2"/>
    <w:multiLevelType w:val="hybridMultilevel"/>
    <w:tmpl w:val="E48455FA"/>
    <w:lvl w:ilvl="0" w:tplc="B6F0A4BA">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3237144"/>
    <w:multiLevelType w:val="hybridMultilevel"/>
    <w:tmpl w:val="0F5EF6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5"/>
  </w:num>
  <w:num w:numId="3">
    <w:abstractNumId w:val="0"/>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A90"/>
    <w:rsid w:val="001B438E"/>
    <w:rsid w:val="00200E8B"/>
    <w:rsid w:val="0020532B"/>
    <w:rsid w:val="00230166"/>
    <w:rsid w:val="002D5AD5"/>
    <w:rsid w:val="002E0A90"/>
    <w:rsid w:val="0036727D"/>
    <w:rsid w:val="003D61C9"/>
    <w:rsid w:val="00481603"/>
    <w:rsid w:val="004B0726"/>
    <w:rsid w:val="00571C7B"/>
    <w:rsid w:val="006D30DA"/>
    <w:rsid w:val="006D4A72"/>
    <w:rsid w:val="00765533"/>
    <w:rsid w:val="007D1B65"/>
    <w:rsid w:val="00811C51"/>
    <w:rsid w:val="00903F65"/>
    <w:rsid w:val="00995A13"/>
    <w:rsid w:val="009B367F"/>
    <w:rsid w:val="00A60211"/>
    <w:rsid w:val="00AA4DC4"/>
    <w:rsid w:val="00B021CC"/>
    <w:rsid w:val="00BB7713"/>
    <w:rsid w:val="00C42DCD"/>
    <w:rsid w:val="00C67930"/>
    <w:rsid w:val="00D407A4"/>
    <w:rsid w:val="00DA67BB"/>
    <w:rsid w:val="00DE31AE"/>
    <w:rsid w:val="00DF2F41"/>
    <w:rsid w:val="00E7443F"/>
    <w:rsid w:val="00EC2F02"/>
    <w:rsid w:val="00F3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E4F16-D0BF-4BA2-9C18-54894605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E0A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0A90"/>
    <w:pPr>
      <w:tabs>
        <w:tab w:val="center" w:pos="4677"/>
        <w:tab w:val="right" w:pos="9355"/>
      </w:tabs>
    </w:pPr>
  </w:style>
  <w:style w:type="character" w:styleId="a4">
    <w:name w:val="page number"/>
    <w:basedOn w:val="a0"/>
    <w:rsid w:val="002E0A90"/>
  </w:style>
  <w:style w:type="paragraph" w:styleId="10">
    <w:name w:val="toc 1"/>
    <w:basedOn w:val="a"/>
    <w:next w:val="a"/>
    <w:autoRedefine/>
    <w:uiPriority w:val="39"/>
    <w:rsid w:val="002E0A90"/>
    <w:pPr>
      <w:spacing w:before="120" w:after="120"/>
    </w:pPr>
    <w:rPr>
      <w:b/>
      <w:bCs/>
      <w:caps/>
      <w:sz w:val="20"/>
      <w:szCs w:val="20"/>
    </w:rPr>
  </w:style>
  <w:style w:type="paragraph" w:styleId="2">
    <w:name w:val="toc 2"/>
    <w:basedOn w:val="a"/>
    <w:next w:val="a"/>
    <w:autoRedefine/>
    <w:semiHidden/>
    <w:rsid w:val="002E0A90"/>
    <w:pPr>
      <w:ind w:left="240"/>
    </w:pPr>
    <w:rPr>
      <w:smallCaps/>
      <w:sz w:val="20"/>
      <w:szCs w:val="20"/>
    </w:rPr>
  </w:style>
  <w:style w:type="paragraph" w:styleId="3">
    <w:name w:val="toc 3"/>
    <w:basedOn w:val="a"/>
    <w:next w:val="a"/>
    <w:autoRedefine/>
    <w:semiHidden/>
    <w:rsid w:val="002E0A90"/>
    <w:pPr>
      <w:ind w:left="480"/>
    </w:pPr>
    <w:rPr>
      <w:i/>
      <w:iCs/>
      <w:sz w:val="20"/>
      <w:szCs w:val="20"/>
    </w:rPr>
  </w:style>
  <w:style w:type="paragraph" w:styleId="4">
    <w:name w:val="toc 4"/>
    <w:basedOn w:val="a"/>
    <w:next w:val="a"/>
    <w:autoRedefine/>
    <w:semiHidden/>
    <w:rsid w:val="002E0A90"/>
    <w:pPr>
      <w:ind w:left="720"/>
    </w:pPr>
    <w:rPr>
      <w:sz w:val="18"/>
      <w:szCs w:val="18"/>
    </w:rPr>
  </w:style>
  <w:style w:type="paragraph" w:styleId="5">
    <w:name w:val="toc 5"/>
    <w:basedOn w:val="a"/>
    <w:next w:val="a"/>
    <w:autoRedefine/>
    <w:semiHidden/>
    <w:rsid w:val="002E0A90"/>
    <w:pPr>
      <w:ind w:left="960"/>
    </w:pPr>
    <w:rPr>
      <w:sz w:val="18"/>
      <w:szCs w:val="18"/>
    </w:rPr>
  </w:style>
  <w:style w:type="paragraph" w:styleId="6">
    <w:name w:val="toc 6"/>
    <w:basedOn w:val="a"/>
    <w:next w:val="a"/>
    <w:autoRedefine/>
    <w:semiHidden/>
    <w:rsid w:val="002E0A90"/>
    <w:pPr>
      <w:ind w:left="1200"/>
    </w:pPr>
    <w:rPr>
      <w:sz w:val="18"/>
      <w:szCs w:val="18"/>
    </w:rPr>
  </w:style>
  <w:style w:type="paragraph" w:styleId="7">
    <w:name w:val="toc 7"/>
    <w:basedOn w:val="a"/>
    <w:next w:val="a"/>
    <w:autoRedefine/>
    <w:semiHidden/>
    <w:rsid w:val="002E0A90"/>
    <w:pPr>
      <w:ind w:left="1440"/>
    </w:pPr>
    <w:rPr>
      <w:sz w:val="18"/>
      <w:szCs w:val="18"/>
    </w:rPr>
  </w:style>
  <w:style w:type="paragraph" w:styleId="8">
    <w:name w:val="toc 8"/>
    <w:basedOn w:val="a"/>
    <w:next w:val="a"/>
    <w:autoRedefine/>
    <w:semiHidden/>
    <w:rsid w:val="002E0A90"/>
    <w:pPr>
      <w:ind w:left="1680"/>
    </w:pPr>
    <w:rPr>
      <w:sz w:val="18"/>
      <w:szCs w:val="18"/>
    </w:rPr>
  </w:style>
  <w:style w:type="paragraph" w:styleId="9">
    <w:name w:val="toc 9"/>
    <w:basedOn w:val="a"/>
    <w:next w:val="a"/>
    <w:autoRedefine/>
    <w:semiHidden/>
    <w:rsid w:val="002E0A90"/>
    <w:pPr>
      <w:ind w:left="1920"/>
    </w:pPr>
    <w:rPr>
      <w:sz w:val="18"/>
      <w:szCs w:val="18"/>
    </w:rPr>
  </w:style>
  <w:style w:type="character" w:styleId="a5">
    <w:name w:val="Hyperlink"/>
    <w:basedOn w:val="a0"/>
    <w:uiPriority w:val="99"/>
    <w:rsid w:val="002E0A90"/>
    <w:rPr>
      <w:color w:val="0000FF"/>
      <w:u w:val="single"/>
    </w:rPr>
  </w:style>
  <w:style w:type="character" w:styleId="a6">
    <w:name w:val="footnote reference"/>
    <w:basedOn w:val="a0"/>
    <w:uiPriority w:val="99"/>
    <w:rsid w:val="00A60211"/>
    <w:rPr>
      <w:rFonts w:cs="Times New Roman"/>
      <w:vertAlign w:val="superscript"/>
    </w:rPr>
  </w:style>
  <w:style w:type="paragraph" w:styleId="a7">
    <w:name w:val="footnote text"/>
    <w:basedOn w:val="a"/>
    <w:link w:val="a8"/>
    <w:uiPriority w:val="99"/>
    <w:rsid w:val="00A60211"/>
    <w:rPr>
      <w:sz w:val="20"/>
      <w:szCs w:val="20"/>
    </w:rPr>
  </w:style>
  <w:style w:type="character" w:customStyle="1" w:styleId="a8">
    <w:name w:val="Текст сноски Знак"/>
    <w:basedOn w:val="a0"/>
    <w:link w:val="a7"/>
    <w:uiPriority w:val="99"/>
    <w:rsid w:val="00A60211"/>
  </w:style>
  <w:style w:type="paragraph" w:styleId="a9">
    <w:name w:val="Normal (Web)"/>
    <w:basedOn w:val="a"/>
    <w:uiPriority w:val="99"/>
    <w:rsid w:val="00A60211"/>
    <w:pPr>
      <w:spacing w:before="100" w:beforeAutospacing="1" w:after="100" w:afterAutospacing="1"/>
    </w:pPr>
  </w:style>
  <w:style w:type="paragraph" w:customStyle="1" w:styleId="just">
    <w:name w:val="just"/>
    <w:basedOn w:val="a"/>
    <w:uiPriority w:val="99"/>
    <w:rsid w:val="00A60211"/>
    <w:pPr>
      <w:spacing w:before="100" w:beforeAutospacing="1" w:after="100" w:afterAutospacing="1" w:line="240" w:lineRule="atLeast"/>
    </w:pPr>
    <w:rPr>
      <w:rFonts w:ascii="Arial" w:hAnsi="Arial" w:cs="Arial"/>
      <w:color w:val="333333"/>
      <w:sz w:val="20"/>
      <w:szCs w:val="20"/>
    </w:rPr>
  </w:style>
  <w:style w:type="table" w:styleId="11">
    <w:name w:val="Table Grid 1"/>
    <w:basedOn w:val="a1"/>
    <w:uiPriority w:val="99"/>
    <w:rsid w:val="00A602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pple-style-span">
    <w:name w:val="apple-style-span"/>
    <w:basedOn w:val="a0"/>
    <w:rsid w:val="00AA4DC4"/>
  </w:style>
  <w:style w:type="paragraph" w:styleId="HTML">
    <w:name w:val="HTML Preformatted"/>
    <w:basedOn w:val="a"/>
    <w:link w:val="HTML0"/>
    <w:uiPriority w:val="99"/>
    <w:unhideWhenUsed/>
    <w:rsid w:val="00903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F65"/>
    <w:rPr>
      <w:rFonts w:ascii="Courier New" w:hAnsi="Courier New" w:cs="Courier New"/>
    </w:rPr>
  </w:style>
  <w:style w:type="character" w:customStyle="1" w:styleId="apple-converted-space">
    <w:name w:val="apple-converted-space"/>
    <w:basedOn w:val="a0"/>
    <w:rsid w:val="007D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2381">
      <w:bodyDiv w:val="1"/>
      <w:marLeft w:val="0"/>
      <w:marRight w:val="0"/>
      <w:marTop w:val="0"/>
      <w:marBottom w:val="0"/>
      <w:divBdr>
        <w:top w:val="none" w:sz="0" w:space="0" w:color="auto"/>
        <w:left w:val="none" w:sz="0" w:space="0" w:color="auto"/>
        <w:bottom w:val="none" w:sz="0" w:space="0" w:color="auto"/>
        <w:right w:val="none" w:sz="0" w:space="0" w:color="auto"/>
      </w:divBdr>
    </w:div>
    <w:div w:id="1078672407">
      <w:bodyDiv w:val="1"/>
      <w:marLeft w:val="0"/>
      <w:marRight w:val="0"/>
      <w:marTop w:val="0"/>
      <w:marBottom w:val="0"/>
      <w:divBdr>
        <w:top w:val="none" w:sz="0" w:space="0" w:color="auto"/>
        <w:left w:val="none" w:sz="0" w:space="0" w:color="auto"/>
        <w:bottom w:val="none" w:sz="0" w:space="0" w:color="auto"/>
        <w:right w:val="none" w:sz="0" w:space="0" w:color="auto"/>
      </w:divBdr>
    </w:div>
    <w:div w:id="1282687810">
      <w:bodyDiv w:val="1"/>
      <w:marLeft w:val="0"/>
      <w:marRight w:val="0"/>
      <w:marTop w:val="0"/>
      <w:marBottom w:val="0"/>
      <w:divBdr>
        <w:top w:val="none" w:sz="0" w:space="0" w:color="auto"/>
        <w:left w:val="none" w:sz="0" w:space="0" w:color="auto"/>
        <w:bottom w:val="none" w:sz="0" w:space="0" w:color="auto"/>
        <w:right w:val="none" w:sz="0" w:space="0" w:color="auto"/>
      </w:divBdr>
    </w:div>
    <w:div w:id="1530534731">
      <w:bodyDiv w:val="1"/>
      <w:marLeft w:val="0"/>
      <w:marRight w:val="0"/>
      <w:marTop w:val="0"/>
      <w:marBottom w:val="0"/>
      <w:divBdr>
        <w:top w:val="none" w:sz="0" w:space="0" w:color="auto"/>
        <w:left w:val="none" w:sz="0" w:space="0" w:color="auto"/>
        <w:bottom w:val="none" w:sz="0" w:space="0" w:color="auto"/>
        <w:right w:val="none" w:sz="0" w:space="0" w:color="auto"/>
      </w:divBdr>
    </w:div>
    <w:div w:id="1738043913">
      <w:bodyDiv w:val="1"/>
      <w:marLeft w:val="0"/>
      <w:marRight w:val="0"/>
      <w:marTop w:val="0"/>
      <w:marBottom w:val="0"/>
      <w:divBdr>
        <w:top w:val="none" w:sz="0" w:space="0" w:color="auto"/>
        <w:left w:val="none" w:sz="0" w:space="0" w:color="auto"/>
        <w:bottom w:val="none" w:sz="0" w:space="0" w:color="auto"/>
        <w:right w:val="none" w:sz="0" w:space="0" w:color="auto"/>
      </w:divBdr>
    </w:div>
    <w:div w:id="21085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35274</CharactersWithSpaces>
  <SharedDoc>false</SharedDoc>
  <HLinks>
    <vt:vector size="42" baseType="variant">
      <vt:variant>
        <vt:i4>7405649</vt:i4>
      </vt:variant>
      <vt:variant>
        <vt:i4>39</vt:i4>
      </vt:variant>
      <vt:variant>
        <vt:i4>0</vt:i4>
      </vt:variant>
      <vt:variant>
        <vt:i4>5</vt:i4>
      </vt:variant>
      <vt:variant>
        <vt:lpwstr>http://www.referat.ru/referats/view/3124</vt:lpwstr>
      </vt:variant>
      <vt:variant>
        <vt:lpwstr>_ftn26</vt:lpwstr>
      </vt:variant>
      <vt:variant>
        <vt:i4>2031676</vt:i4>
      </vt:variant>
      <vt:variant>
        <vt:i4>32</vt:i4>
      </vt:variant>
      <vt:variant>
        <vt:i4>0</vt:i4>
      </vt:variant>
      <vt:variant>
        <vt:i4>5</vt:i4>
      </vt:variant>
      <vt:variant>
        <vt:lpwstr/>
      </vt:variant>
      <vt:variant>
        <vt:lpwstr>_Toc289627513</vt:lpwstr>
      </vt:variant>
      <vt:variant>
        <vt:i4>2031676</vt:i4>
      </vt:variant>
      <vt:variant>
        <vt:i4>26</vt:i4>
      </vt:variant>
      <vt:variant>
        <vt:i4>0</vt:i4>
      </vt:variant>
      <vt:variant>
        <vt:i4>5</vt:i4>
      </vt:variant>
      <vt:variant>
        <vt:lpwstr/>
      </vt:variant>
      <vt:variant>
        <vt:lpwstr>_Toc289627512</vt:lpwstr>
      </vt:variant>
      <vt:variant>
        <vt:i4>2031676</vt:i4>
      </vt:variant>
      <vt:variant>
        <vt:i4>20</vt:i4>
      </vt:variant>
      <vt:variant>
        <vt:i4>0</vt:i4>
      </vt:variant>
      <vt:variant>
        <vt:i4>5</vt:i4>
      </vt:variant>
      <vt:variant>
        <vt:lpwstr/>
      </vt:variant>
      <vt:variant>
        <vt:lpwstr>_Toc289627511</vt:lpwstr>
      </vt:variant>
      <vt:variant>
        <vt:i4>2031676</vt:i4>
      </vt:variant>
      <vt:variant>
        <vt:i4>14</vt:i4>
      </vt:variant>
      <vt:variant>
        <vt:i4>0</vt:i4>
      </vt:variant>
      <vt:variant>
        <vt:i4>5</vt:i4>
      </vt:variant>
      <vt:variant>
        <vt:lpwstr/>
      </vt:variant>
      <vt:variant>
        <vt:lpwstr>_Toc289627510</vt:lpwstr>
      </vt:variant>
      <vt:variant>
        <vt:i4>1966140</vt:i4>
      </vt:variant>
      <vt:variant>
        <vt:i4>8</vt:i4>
      </vt:variant>
      <vt:variant>
        <vt:i4>0</vt:i4>
      </vt:variant>
      <vt:variant>
        <vt:i4>5</vt:i4>
      </vt:variant>
      <vt:variant>
        <vt:lpwstr/>
      </vt:variant>
      <vt:variant>
        <vt:lpwstr>_Toc289627509</vt:lpwstr>
      </vt:variant>
      <vt:variant>
        <vt:i4>1966140</vt:i4>
      </vt:variant>
      <vt:variant>
        <vt:i4>2</vt:i4>
      </vt:variant>
      <vt:variant>
        <vt:i4>0</vt:i4>
      </vt:variant>
      <vt:variant>
        <vt:i4>5</vt:i4>
      </vt:variant>
      <vt:variant>
        <vt:lpwstr/>
      </vt:variant>
      <vt:variant>
        <vt:lpwstr>_Toc289627508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2014-05-28T15:43:00Z</dcterms:created>
  <dcterms:modified xsi:type="dcterms:W3CDTF">2014-05-28T15:43:00Z</dcterms:modified>
</cp:coreProperties>
</file>