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A9" w:rsidRDefault="009227A9" w:rsidP="006626BF">
      <w:pPr>
        <w:widowControl/>
        <w:shd w:val="clear" w:color="000000" w:fill="auto"/>
        <w:spacing w:line="360" w:lineRule="auto"/>
        <w:ind w:firstLine="709"/>
        <w:jc w:val="center"/>
        <w:rPr>
          <w:b/>
          <w:caps/>
          <w:sz w:val="28"/>
          <w:szCs w:val="32"/>
        </w:rPr>
      </w:pPr>
    </w:p>
    <w:p w:rsidR="00752E34" w:rsidRPr="0017333C" w:rsidRDefault="00752E34" w:rsidP="006626BF">
      <w:pPr>
        <w:widowControl/>
        <w:shd w:val="clear" w:color="000000" w:fill="auto"/>
        <w:spacing w:line="360" w:lineRule="auto"/>
        <w:ind w:firstLine="709"/>
        <w:jc w:val="center"/>
        <w:rPr>
          <w:b/>
          <w:sz w:val="28"/>
          <w:szCs w:val="32"/>
        </w:rPr>
      </w:pPr>
      <w:r w:rsidRPr="0017333C">
        <w:rPr>
          <w:b/>
          <w:caps/>
          <w:sz w:val="28"/>
          <w:szCs w:val="32"/>
        </w:rPr>
        <w:t>В</w:t>
      </w:r>
      <w:r w:rsidRPr="0017333C">
        <w:rPr>
          <w:b/>
          <w:sz w:val="28"/>
          <w:szCs w:val="32"/>
        </w:rPr>
        <w:t>ведение</w:t>
      </w:r>
    </w:p>
    <w:p w:rsidR="00752E34" w:rsidRPr="00FE41DC" w:rsidRDefault="00752E34" w:rsidP="00752E34">
      <w:pPr>
        <w:widowControl/>
        <w:shd w:val="clear" w:color="000000" w:fill="auto"/>
        <w:spacing w:line="360" w:lineRule="auto"/>
        <w:ind w:firstLine="709"/>
        <w:jc w:val="both"/>
        <w:rPr>
          <w:sz w:val="28"/>
          <w:szCs w:val="28"/>
        </w:rPr>
      </w:pPr>
    </w:p>
    <w:p w:rsidR="00752E34" w:rsidRPr="00FE41DC" w:rsidRDefault="00752E34" w:rsidP="00752E34">
      <w:pPr>
        <w:pStyle w:val="a6"/>
        <w:shd w:val="clear" w:color="000000" w:fill="auto"/>
      </w:pPr>
      <w:r w:rsidRPr="00FE41DC">
        <w:t>Социально – экономические преобразования, осуществляемые в России и направленные в сторону формирования рыночной экономики, обусловили институциональное становление и развитие такой важной сферы экономики, как рынок ценных бумаг.</w:t>
      </w:r>
    </w:p>
    <w:p w:rsidR="00752E34" w:rsidRPr="00FE41DC" w:rsidRDefault="00752E34" w:rsidP="00752E34">
      <w:pPr>
        <w:pStyle w:val="a6"/>
        <w:shd w:val="clear" w:color="000000" w:fill="auto"/>
      </w:pPr>
      <w:r w:rsidRPr="00FE41DC">
        <w:t>Рынок ценных бумаг выступает составной частью финансовой системы государства, характеризующейся индустриальной и организационно-функциональной спецификой. В большинстве стран банки играют на рынке ценных бумаг важнейшую ключевую роль. Данная дипломная работа обозревает ряд вопросов, касающихся деятельности банков на рынке ценных бумаг.</w:t>
      </w: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Рынок ценных бумаг можно определить как совокупность отношений, связанных с куплей, продажей и обращением ценных бумаг. Банки, являясь кредитными организациями, осуществляющие привлечение и размещение средств, также могут являться участниками рынка ценных бумаг. Они выступают в роли эмитентов, инвесторов, посредников. В настоящее время банки имеют огромные привлеченные свободные денежные средства, но на них необходимо начислять и выплачивать проценты. Поэтому, рынок ценных бумаг является наиболее конкурентной альтернативой кредитному рынку для размещения средств.</w:t>
      </w:r>
    </w:p>
    <w:p w:rsidR="00752E34" w:rsidRPr="00FE41DC" w:rsidRDefault="00752E34" w:rsidP="00752E34">
      <w:pPr>
        <w:widowControl/>
        <w:shd w:val="clear" w:color="000000" w:fill="auto"/>
        <w:spacing w:line="360" w:lineRule="auto"/>
        <w:ind w:firstLine="709"/>
        <w:jc w:val="both"/>
        <w:rPr>
          <w:sz w:val="28"/>
          <w:szCs w:val="24"/>
        </w:rPr>
      </w:pPr>
      <w:r w:rsidRPr="00FE41DC">
        <w:rPr>
          <w:color w:val="000000"/>
          <w:sz w:val="28"/>
          <w:szCs w:val="28"/>
        </w:rPr>
        <w:t>В банковской сфере основополагающие изменения связаны с созданием двухуровневой банковской системы, появлением рынка ценных бумаг и приданием банкам статуса его основных участников. В связи с этим, особую актуальность приобретает исследование в теоретическом и практическом аспектах особенностей деятельности банков на фондовом рынке.</w:t>
      </w:r>
      <w:r w:rsidRPr="00FE41DC">
        <w:rPr>
          <w:sz w:val="28"/>
          <w:szCs w:val="24"/>
        </w:rPr>
        <w:t xml:space="preserve"> </w:t>
      </w:r>
    </w:p>
    <w:p w:rsidR="0001533D" w:rsidRDefault="0001533D" w:rsidP="00752E34">
      <w:pPr>
        <w:widowControl/>
        <w:shd w:val="clear" w:color="000000" w:fill="auto"/>
        <w:spacing w:line="360" w:lineRule="auto"/>
        <w:ind w:firstLine="709"/>
        <w:jc w:val="both"/>
        <w:rPr>
          <w:sz w:val="28"/>
          <w:szCs w:val="24"/>
          <w:lang w:val="en-US"/>
        </w:rPr>
      </w:pPr>
    </w:p>
    <w:p w:rsidR="0001533D" w:rsidRDefault="0001533D" w:rsidP="00752E34">
      <w:pPr>
        <w:widowControl/>
        <w:shd w:val="clear" w:color="000000" w:fill="auto"/>
        <w:spacing w:line="360" w:lineRule="auto"/>
        <w:ind w:firstLine="709"/>
        <w:jc w:val="both"/>
        <w:rPr>
          <w:sz w:val="28"/>
          <w:szCs w:val="24"/>
          <w:lang w:val="en-US"/>
        </w:rPr>
      </w:pPr>
    </w:p>
    <w:p w:rsidR="0001533D" w:rsidRDefault="0001533D" w:rsidP="00752E34">
      <w:pPr>
        <w:widowControl/>
        <w:shd w:val="clear" w:color="000000" w:fill="auto"/>
        <w:spacing w:line="360" w:lineRule="auto"/>
        <w:ind w:firstLine="709"/>
        <w:jc w:val="both"/>
        <w:rPr>
          <w:sz w:val="28"/>
          <w:szCs w:val="24"/>
          <w:lang w:val="en-US"/>
        </w:rPr>
      </w:pP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 xml:space="preserve">Целями проводимых операций с ценными бумагами являются: </w:t>
      </w: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 формирование и увеличение капитала;</w:t>
      </w: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 привлечение заемных средств для использования в активных операциях и инвестициях;</w:t>
      </w: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 получение денежных доходов от операций с ценными бумагами;</w:t>
      </w: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 получение прибыли от инвестиций в фондовые инструменты;</w:t>
      </w: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 участие в уставном капитале акционерного общества для контроля над собственностью;</w:t>
      </w: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w:t>
      </w:r>
      <w:r>
        <w:rPr>
          <w:sz w:val="28"/>
          <w:szCs w:val="24"/>
        </w:rPr>
        <w:t xml:space="preserve"> </w:t>
      </w:r>
      <w:r w:rsidRPr="00FE41DC">
        <w:rPr>
          <w:sz w:val="28"/>
          <w:szCs w:val="24"/>
        </w:rPr>
        <w:t>использование ценных бумаг в качестве залога и т.д.</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 xml:space="preserve">Среди стоящих сегодня проблем наиболее острыми являются: </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 определение специфического места и роли коммерческих банков на фондовом рынке;</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 xml:space="preserve">- выявление факторов определяющих эффективность той или иной модели банковского дела в отдельно взятой стране; </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 xml:space="preserve">- формирование единой концепции регулирования деятельности банков на фондовом рынке. </w:t>
      </w:r>
    </w:p>
    <w:p w:rsidR="00752E34" w:rsidRPr="00FE41DC" w:rsidRDefault="00752E34" w:rsidP="00752E34">
      <w:pPr>
        <w:widowControl/>
        <w:numPr>
          <w:ilvl w:val="12"/>
          <w:numId w:val="0"/>
        </w:numPr>
        <w:shd w:val="clear" w:color="000000" w:fill="auto"/>
        <w:spacing w:line="360" w:lineRule="auto"/>
        <w:ind w:firstLine="709"/>
        <w:jc w:val="both"/>
        <w:rPr>
          <w:sz w:val="28"/>
          <w:szCs w:val="28"/>
        </w:rPr>
      </w:pPr>
      <w:r w:rsidRPr="00FE41DC">
        <w:rPr>
          <w:sz w:val="28"/>
          <w:szCs w:val="28"/>
        </w:rPr>
        <w:t>Организация крупномасштабного рынка для обращающихся ценных</w:t>
      </w:r>
      <w:r>
        <w:rPr>
          <w:sz w:val="28"/>
          <w:szCs w:val="28"/>
        </w:rPr>
        <w:t xml:space="preserve"> </w:t>
      </w:r>
      <w:r w:rsidRPr="00FE41DC">
        <w:rPr>
          <w:sz w:val="28"/>
          <w:szCs w:val="28"/>
        </w:rPr>
        <w:t>бумаг,</w:t>
      </w:r>
      <w:r>
        <w:rPr>
          <w:sz w:val="28"/>
          <w:szCs w:val="28"/>
        </w:rPr>
        <w:t xml:space="preserve"> </w:t>
      </w:r>
      <w:r w:rsidRPr="00FE41DC">
        <w:rPr>
          <w:sz w:val="28"/>
          <w:szCs w:val="28"/>
        </w:rPr>
        <w:t>очевидно,</w:t>
      </w:r>
      <w:r>
        <w:rPr>
          <w:sz w:val="28"/>
          <w:szCs w:val="28"/>
        </w:rPr>
        <w:t xml:space="preserve"> </w:t>
      </w:r>
      <w:r w:rsidRPr="00FE41DC">
        <w:rPr>
          <w:sz w:val="28"/>
          <w:szCs w:val="28"/>
        </w:rPr>
        <w:t>является сложным</w:t>
      </w:r>
      <w:r>
        <w:rPr>
          <w:sz w:val="28"/>
          <w:szCs w:val="28"/>
        </w:rPr>
        <w:t xml:space="preserve"> </w:t>
      </w:r>
      <w:r w:rsidRPr="00FE41DC">
        <w:rPr>
          <w:sz w:val="28"/>
          <w:szCs w:val="28"/>
        </w:rPr>
        <w:t>и длительным процессом.</w:t>
      </w:r>
      <w:r>
        <w:rPr>
          <w:sz w:val="28"/>
          <w:szCs w:val="28"/>
        </w:rPr>
        <w:t xml:space="preserve"> </w:t>
      </w:r>
      <w:r w:rsidRPr="00FE41DC">
        <w:rPr>
          <w:sz w:val="28"/>
          <w:szCs w:val="28"/>
        </w:rPr>
        <w:t>Массовому обращению акций должно предшествовать массовое создание корпоративных предприятий. Этот процесс идет с большим трудом. И сегодня мы стоим перед фактом, что фондовый рынок функционирует на 10 %. Причем эти самые 10 %, являясь только частью структуры фондового рынка, по сути растянуты на 100%, и наш фондовый рынок представляет из себя исключительно спекулятивный рынок.</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Целью данной работы является выявление особенностей организации операций банков с ценными бумагами и перспективных путей</w:t>
      </w:r>
      <w:r>
        <w:rPr>
          <w:color w:val="000000"/>
          <w:sz w:val="28"/>
          <w:szCs w:val="28"/>
        </w:rPr>
        <w:t xml:space="preserve"> </w:t>
      </w:r>
      <w:r w:rsidRPr="00FE41DC">
        <w:rPr>
          <w:color w:val="000000"/>
          <w:sz w:val="28"/>
          <w:szCs w:val="28"/>
        </w:rPr>
        <w:t>развития.</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 xml:space="preserve">Поставленная цель предопределила необходимость решения следующих задач: </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 xml:space="preserve">1. Определить место коммерческого банка на финансовом рынке вообще и рынке ценных бумаг в частности. </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 xml:space="preserve">2. Проанализировать сущность ценных бумаг и на этой основе построить классификацию операций банков с ценными бумагами. </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3. Провести анализ деятельности российских коммерческих банков на рынке ценных бумаг и выявить основные тенденции его развития.</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 xml:space="preserve">Объектом данного исследования выступают коммерческие банки России, в частности, Сбербанк РФ. Организация деятельности банков на фондовом рынке, рассматриваемая как система и процесс, представляет собой предмет исследования. </w:t>
      </w:r>
    </w:p>
    <w:p w:rsidR="00752E34" w:rsidRPr="00FE41DC" w:rsidRDefault="00752E34" w:rsidP="00752E34">
      <w:pPr>
        <w:widowControl/>
        <w:shd w:val="clear" w:color="000000" w:fill="auto"/>
        <w:spacing w:line="360" w:lineRule="auto"/>
        <w:ind w:firstLine="709"/>
        <w:jc w:val="both"/>
        <w:rPr>
          <w:color w:val="000000"/>
          <w:sz w:val="28"/>
          <w:szCs w:val="28"/>
        </w:rPr>
      </w:pPr>
      <w:r w:rsidRPr="00FE41DC">
        <w:rPr>
          <w:color w:val="000000"/>
          <w:sz w:val="28"/>
          <w:szCs w:val="28"/>
        </w:rPr>
        <w:t>Операции банков с ценными бумагами привлекают к себе внимание широкого круга ученых. Современные подходы к исследованию операций банков с ценными бумагами представлены в работах Букато В. И., Головина Ю. В., Львова Ю. И., Коробовой Г. Г., Лаврушина О. И., Белоглазовой Г. Н., Жукова Е. Ф. и многих других.</w:t>
      </w:r>
    </w:p>
    <w:p w:rsidR="00752E34" w:rsidRPr="0017333C" w:rsidRDefault="00752E34" w:rsidP="00752E34">
      <w:pPr>
        <w:widowControl/>
        <w:shd w:val="clear" w:color="000000" w:fill="auto"/>
        <w:spacing w:line="360" w:lineRule="auto"/>
        <w:ind w:firstLine="709"/>
        <w:jc w:val="both"/>
        <w:rPr>
          <w:b/>
          <w:caps/>
          <w:sz w:val="28"/>
          <w:szCs w:val="32"/>
        </w:rPr>
      </w:pPr>
      <w:r>
        <w:rPr>
          <w:color w:val="000000"/>
          <w:sz w:val="28"/>
          <w:szCs w:val="28"/>
        </w:rPr>
        <w:br w:type="page"/>
      </w:r>
      <w:r w:rsidRPr="0017333C">
        <w:rPr>
          <w:b/>
          <w:caps/>
          <w:sz w:val="28"/>
          <w:szCs w:val="32"/>
        </w:rPr>
        <w:t>1</w:t>
      </w:r>
      <w:r>
        <w:rPr>
          <w:b/>
          <w:caps/>
          <w:sz w:val="28"/>
          <w:szCs w:val="32"/>
        </w:rPr>
        <w:t>.</w:t>
      </w:r>
      <w:r w:rsidRPr="0017333C">
        <w:rPr>
          <w:b/>
          <w:caps/>
          <w:sz w:val="28"/>
          <w:szCs w:val="32"/>
        </w:rPr>
        <w:t xml:space="preserve"> </w:t>
      </w:r>
      <w:r w:rsidRPr="0017333C">
        <w:rPr>
          <w:b/>
          <w:sz w:val="28"/>
          <w:szCs w:val="32"/>
        </w:rPr>
        <w:t xml:space="preserve">Теоретические основы деятельности банков на рынке ценных бумаг </w:t>
      </w:r>
    </w:p>
    <w:p w:rsidR="00752E34" w:rsidRPr="0017333C" w:rsidRDefault="00752E34" w:rsidP="00752E34">
      <w:pPr>
        <w:widowControl/>
        <w:shd w:val="clear" w:color="000000" w:fill="auto"/>
        <w:spacing w:line="360" w:lineRule="auto"/>
        <w:ind w:firstLine="709"/>
        <w:jc w:val="both"/>
        <w:rPr>
          <w:b/>
          <w:sz w:val="28"/>
          <w:szCs w:val="32"/>
        </w:rPr>
      </w:pPr>
    </w:p>
    <w:p w:rsidR="00752E34" w:rsidRPr="0017333C" w:rsidRDefault="00752E34" w:rsidP="00752E34">
      <w:pPr>
        <w:widowControl/>
        <w:shd w:val="clear" w:color="000000" w:fill="auto"/>
        <w:spacing w:line="360" w:lineRule="auto"/>
        <w:ind w:firstLine="709"/>
        <w:jc w:val="both"/>
        <w:rPr>
          <w:b/>
          <w:sz w:val="28"/>
          <w:szCs w:val="32"/>
        </w:rPr>
      </w:pPr>
      <w:r w:rsidRPr="0017333C">
        <w:rPr>
          <w:b/>
          <w:sz w:val="28"/>
          <w:szCs w:val="32"/>
        </w:rPr>
        <w:t xml:space="preserve">1.1 Виды ценных бумаг и банковских операций на фондовом рынке </w:t>
      </w:r>
    </w:p>
    <w:p w:rsidR="00752E34" w:rsidRPr="00FE41DC" w:rsidRDefault="00752E34" w:rsidP="00752E34">
      <w:pPr>
        <w:widowControl/>
        <w:shd w:val="clear" w:color="000000" w:fill="auto"/>
        <w:spacing w:line="360" w:lineRule="auto"/>
        <w:ind w:firstLine="709"/>
        <w:jc w:val="both"/>
        <w:rPr>
          <w:sz w:val="28"/>
          <w:szCs w:val="32"/>
        </w:rPr>
      </w:pPr>
    </w:p>
    <w:p w:rsidR="00752E34" w:rsidRPr="00FE41DC" w:rsidRDefault="00752E34" w:rsidP="00752E34">
      <w:pPr>
        <w:pStyle w:val="a6"/>
        <w:shd w:val="clear" w:color="000000" w:fill="auto"/>
      </w:pPr>
      <w:r w:rsidRPr="00FE41DC">
        <w:t xml:space="preserve">Рынок ценных бумаг </w:t>
      </w:r>
      <w:r w:rsidRPr="00FE41DC">
        <w:rPr>
          <w:szCs w:val="28"/>
        </w:rPr>
        <w:sym w:font="Symbol" w:char="F02D"/>
      </w:r>
      <w:r w:rsidRPr="00FE41DC">
        <w:t xml:space="preserve"> совокупность экономических отношений по поводу выпуска и обращения ценных бумаг между его участниками. Основой рынка ценных бумаг являются товарный рынок, деньги и денежный капитал.[6]</w:t>
      </w:r>
    </w:p>
    <w:p w:rsidR="00752E34" w:rsidRPr="00FE41DC" w:rsidRDefault="00752E34" w:rsidP="00752E34">
      <w:pPr>
        <w:pStyle w:val="a6"/>
        <w:shd w:val="clear" w:color="000000" w:fill="auto"/>
      </w:pPr>
      <w:r w:rsidRPr="00FE41DC">
        <w:t xml:space="preserve">Цель функционирования рынка ценных бумаг </w:t>
      </w:r>
      <w:r w:rsidRPr="00FE41DC">
        <w:rPr>
          <w:szCs w:val="28"/>
        </w:rPr>
        <w:sym w:font="Symbol" w:char="F02D"/>
      </w:r>
      <w:r w:rsidRPr="00FE41DC">
        <w:t xml:space="preserve"> состоит в том, чтобы обеспечивать наличие механизма для привлечения инвестиций в экономику путем установления необходимых контактов между теми, кто нуждается</w:t>
      </w:r>
      <w:r>
        <w:t xml:space="preserve"> </w:t>
      </w:r>
      <w:r w:rsidRPr="00FE41DC">
        <w:t>в средствах, и теми, кто хотел бы инвестировать избыточный доход.</w:t>
      </w:r>
    </w:p>
    <w:p w:rsidR="00752E34" w:rsidRPr="00FE41DC" w:rsidRDefault="00752E34" w:rsidP="00752E34">
      <w:pPr>
        <w:widowControl/>
        <w:shd w:val="clear" w:color="000000" w:fill="auto"/>
        <w:spacing w:line="360" w:lineRule="auto"/>
        <w:ind w:firstLine="709"/>
        <w:jc w:val="both"/>
        <w:rPr>
          <w:sz w:val="28"/>
          <w:szCs w:val="24"/>
        </w:rPr>
      </w:pPr>
      <w:r w:rsidRPr="00FE41DC">
        <w:rPr>
          <w:sz w:val="28"/>
          <w:szCs w:val="24"/>
        </w:rPr>
        <w:t>Классификация видов рынков ценных бумаг.[8]</w:t>
      </w:r>
    </w:p>
    <w:p w:rsidR="00752E34" w:rsidRPr="00FE41DC" w:rsidRDefault="00752E34" w:rsidP="00752E34">
      <w:pPr>
        <w:widowControl/>
        <w:numPr>
          <w:ilvl w:val="0"/>
          <w:numId w:val="1"/>
        </w:numPr>
        <w:shd w:val="clear" w:color="000000" w:fill="auto"/>
        <w:spacing w:line="360" w:lineRule="auto"/>
        <w:ind w:left="0" w:firstLine="709"/>
        <w:jc w:val="both"/>
        <w:rPr>
          <w:sz w:val="28"/>
          <w:szCs w:val="24"/>
        </w:rPr>
      </w:pPr>
      <w:r w:rsidRPr="00FE41DC">
        <w:rPr>
          <w:sz w:val="28"/>
          <w:szCs w:val="24"/>
        </w:rPr>
        <w:t>международные национальные рынки ценных бумаг;</w:t>
      </w:r>
    </w:p>
    <w:p w:rsidR="00752E34" w:rsidRPr="00FE41DC" w:rsidRDefault="00752E34" w:rsidP="00752E34">
      <w:pPr>
        <w:widowControl/>
        <w:numPr>
          <w:ilvl w:val="0"/>
          <w:numId w:val="1"/>
        </w:numPr>
        <w:shd w:val="clear" w:color="000000" w:fill="auto"/>
        <w:spacing w:line="360" w:lineRule="auto"/>
        <w:ind w:left="0" w:firstLine="709"/>
        <w:jc w:val="both"/>
        <w:rPr>
          <w:sz w:val="28"/>
          <w:szCs w:val="24"/>
        </w:rPr>
      </w:pPr>
      <w:r w:rsidRPr="00FE41DC">
        <w:rPr>
          <w:sz w:val="28"/>
          <w:szCs w:val="24"/>
        </w:rPr>
        <w:t>национальные региональные (региональные) рынки;</w:t>
      </w:r>
    </w:p>
    <w:p w:rsidR="00752E34" w:rsidRPr="00FE41DC" w:rsidRDefault="00752E34" w:rsidP="00752E34">
      <w:pPr>
        <w:widowControl/>
        <w:numPr>
          <w:ilvl w:val="0"/>
          <w:numId w:val="1"/>
        </w:numPr>
        <w:shd w:val="clear" w:color="000000" w:fill="auto"/>
        <w:spacing w:line="360" w:lineRule="auto"/>
        <w:ind w:left="0" w:firstLine="709"/>
        <w:jc w:val="both"/>
        <w:rPr>
          <w:sz w:val="28"/>
          <w:szCs w:val="24"/>
        </w:rPr>
      </w:pPr>
      <w:r w:rsidRPr="00FE41DC">
        <w:rPr>
          <w:sz w:val="28"/>
          <w:szCs w:val="24"/>
        </w:rPr>
        <w:t>рынки конкретных видов ценных бумаг (акций, облигаций);</w:t>
      </w:r>
    </w:p>
    <w:p w:rsidR="00752E34" w:rsidRPr="00FE41DC" w:rsidRDefault="00752E34" w:rsidP="00752E34">
      <w:pPr>
        <w:widowControl/>
        <w:numPr>
          <w:ilvl w:val="0"/>
          <w:numId w:val="1"/>
        </w:numPr>
        <w:shd w:val="clear" w:color="000000" w:fill="auto"/>
        <w:spacing w:line="360" w:lineRule="auto"/>
        <w:ind w:left="0" w:firstLine="709"/>
        <w:jc w:val="both"/>
        <w:rPr>
          <w:sz w:val="28"/>
          <w:szCs w:val="24"/>
        </w:rPr>
      </w:pPr>
      <w:r w:rsidRPr="00FE41DC">
        <w:rPr>
          <w:sz w:val="28"/>
          <w:szCs w:val="24"/>
        </w:rPr>
        <w:t>рынки государственных и корпоративных (негосударственных) ценных бумаг;</w:t>
      </w:r>
    </w:p>
    <w:p w:rsidR="00752E34" w:rsidRPr="00FE41DC" w:rsidRDefault="00752E34" w:rsidP="00752E34">
      <w:pPr>
        <w:widowControl/>
        <w:numPr>
          <w:ilvl w:val="0"/>
          <w:numId w:val="1"/>
        </w:numPr>
        <w:shd w:val="clear" w:color="000000" w:fill="auto"/>
        <w:spacing w:line="360" w:lineRule="auto"/>
        <w:ind w:left="0" w:firstLine="709"/>
        <w:jc w:val="both"/>
        <w:rPr>
          <w:sz w:val="28"/>
          <w:szCs w:val="24"/>
        </w:rPr>
      </w:pPr>
      <w:r w:rsidRPr="00FE41DC">
        <w:rPr>
          <w:sz w:val="28"/>
          <w:szCs w:val="24"/>
        </w:rPr>
        <w:t>рынки первичных и производных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Согласно Гражданскому кодексу РФ ценной бумагой признается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В случаях, предусмотренных законом или в установленном законом порядке, для осуществления и передачи прав, удостоверенных ценной бумагой, достаточно доказательств их закрепления в специальном реестре.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К ценным бумагам относятся: государственная облигация, облигация, вексель, чек, депозитный и сберегательный сертификаты, ,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 Гражданский кодекс РФ, перечисляя различные виды ценных бумаг, не делает их список исчерпывающим и закрытым. Вместе с тем он указывает, что новые ценные бумаги могут появляться лишь в порядке, установленном законами. Отсутствие обязательных реквизитов ценной бумаги или несоответствие ценной бумаги установленной для нее форме влечет ее ничтожность.[15]</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xml:space="preserve">Ценная бумага может существовать как в документарной, так и в бездокументарной форме. Бездокументарная форма не может быть применена к предъявительским ценным бумагам, которые в принципе не могут существовать иначе, как на бумажных носителях. Не касается она и таких ценных бумаг, как векселя, чеки, депозитные и сберегательные сертификаты, коносаменты, варранты, закладные. </w:t>
      </w:r>
    </w:p>
    <w:p w:rsidR="00752E34" w:rsidRPr="00FE41DC" w:rsidRDefault="00752E34" w:rsidP="00752E34">
      <w:pPr>
        <w:pStyle w:val="a6"/>
        <w:shd w:val="clear" w:color="000000" w:fill="auto"/>
      </w:pPr>
    </w:p>
    <w:p w:rsidR="00752E34" w:rsidRPr="00FE41DC" w:rsidRDefault="00752E34" w:rsidP="00752E34">
      <w:pPr>
        <w:pStyle w:val="a6"/>
        <w:shd w:val="clear" w:color="000000" w:fill="auto"/>
      </w:pPr>
      <w:r w:rsidRPr="00FE41DC">
        <w:t>Таблица 1.1</w:t>
      </w:r>
    </w:p>
    <w:p w:rsidR="00752E34" w:rsidRPr="00FE41DC" w:rsidRDefault="00752E34" w:rsidP="00752E34">
      <w:pPr>
        <w:pStyle w:val="a6"/>
        <w:shd w:val="clear" w:color="000000" w:fill="auto"/>
      </w:pPr>
      <w:r w:rsidRPr="00FE41DC">
        <w:t xml:space="preserve">Классификация ценных бумаг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8"/>
        <w:gridCol w:w="4785"/>
      </w:tblGrid>
      <w:tr w:rsidR="00752E34" w:rsidRPr="00FE41DC">
        <w:trPr>
          <w:trHeight w:val="441"/>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jc w:val="both"/>
            </w:pPr>
            <w:r w:rsidRPr="0017333C">
              <w:t>Классификационный признак</w:t>
            </w:r>
          </w:p>
        </w:tc>
        <w:tc>
          <w:tcPr>
            <w:tcW w:w="4785"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jc w:val="both"/>
            </w:pPr>
            <w:r w:rsidRPr="0017333C">
              <w:t>Виды ценных бумаг</w:t>
            </w:r>
          </w:p>
        </w:tc>
      </w:tr>
      <w:tr w:rsidR="00752E34" w:rsidRPr="00FE41DC">
        <w:trPr>
          <w:trHeight w:val="559"/>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Срок существования</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Срочные</w:t>
            </w:r>
          </w:p>
          <w:p w:rsidR="00752E34" w:rsidRPr="0017333C" w:rsidRDefault="00752E34" w:rsidP="006626BF">
            <w:pPr>
              <w:widowControl/>
              <w:shd w:val="clear" w:color="000000" w:fill="auto"/>
              <w:spacing w:line="360" w:lineRule="auto"/>
              <w:ind w:hanging="10"/>
              <w:jc w:val="both"/>
            </w:pPr>
            <w:r w:rsidRPr="0017333C">
              <w:t>Бессрочные</w:t>
            </w:r>
          </w:p>
        </w:tc>
      </w:tr>
      <w:tr w:rsidR="00752E34" w:rsidRPr="00FE41DC">
        <w:trPr>
          <w:trHeight w:val="556"/>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Форма существования</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Бумажные(документарные)</w:t>
            </w:r>
          </w:p>
          <w:p w:rsidR="00752E34" w:rsidRPr="0017333C" w:rsidRDefault="00752E34" w:rsidP="006626BF">
            <w:pPr>
              <w:widowControl/>
              <w:shd w:val="clear" w:color="000000" w:fill="auto"/>
              <w:spacing w:line="360" w:lineRule="auto"/>
              <w:ind w:hanging="10"/>
              <w:jc w:val="both"/>
            </w:pPr>
            <w:r w:rsidRPr="0017333C">
              <w:t>Безбумажные(бездокументарные)</w:t>
            </w:r>
          </w:p>
        </w:tc>
      </w:tr>
      <w:tr w:rsidR="00752E34" w:rsidRPr="00FE41DC">
        <w:trPr>
          <w:trHeight w:val="566"/>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Национальная принадлежность</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Отечественные</w:t>
            </w:r>
          </w:p>
          <w:p w:rsidR="00752E34" w:rsidRPr="0017333C" w:rsidRDefault="00752E34" w:rsidP="006626BF">
            <w:pPr>
              <w:widowControl/>
              <w:shd w:val="clear" w:color="000000" w:fill="auto"/>
              <w:spacing w:line="360" w:lineRule="auto"/>
              <w:ind w:hanging="10"/>
              <w:jc w:val="both"/>
            </w:pPr>
            <w:r w:rsidRPr="0017333C">
              <w:t>Иностранные</w:t>
            </w:r>
          </w:p>
        </w:tc>
      </w:tr>
      <w:tr w:rsidR="00752E34" w:rsidRPr="00FE41DC">
        <w:trPr>
          <w:trHeight w:val="770"/>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rPr>
                <w:lang w:val="en-US"/>
              </w:rPr>
              <w:t>Цель</w:t>
            </w:r>
            <w:r w:rsidRPr="0017333C">
              <w:t xml:space="preserve"> использования</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Инвестиционные ( цель- получения дохода)</w:t>
            </w:r>
          </w:p>
          <w:p w:rsidR="00752E34" w:rsidRPr="0017333C" w:rsidRDefault="00752E34" w:rsidP="006626BF">
            <w:pPr>
              <w:widowControl/>
              <w:shd w:val="clear" w:color="000000" w:fill="auto"/>
              <w:spacing w:line="360" w:lineRule="auto"/>
              <w:ind w:hanging="10"/>
              <w:jc w:val="both"/>
            </w:pPr>
            <w:r w:rsidRPr="0017333C">
              <w:t>Неинвестиционные (обслуживают оборот на товарных рынках)</w:t>
            </w:r>
          </w:p>
        </w:tc>
      </w:tr>
      <w:tr w:rsidR="00752E34" w:rsidRPr="00FE41DC">
        <w:trPr>
          <w:trHeight w:val="506"/>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Порядок владения</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Предъявительские</w:t>
            </w:r>
          </w:p>
          <w:p w:rsidR="00752E34" w:rsidRPr="0017333C" w:rsidRDefault="00752E34" w:rsidP="006626BF">
            <w:pPr>
              <w:widowControl/>
              <w:shd w:val="clear" w:color="000000" w:fill="auto"/>
              <w:spacing w:line="360" w:lineRule="auto"/>
              <w:ind w:hanging="10"/>
              <w:jc w:val="both"/>
            </w:pPr>
            <w:r w:rsidRPr="0017333C">
              <w:t>Именные</w:t>
            </w:r>
          </w:p>
        </w:tc>
      </w:tr>
      <w:tr w:rsidR="00752E34" w:rsidRPr="00FE41DC">
        <w:trPr>
          <w:trHeight w:val="516"/>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Форма выпуска</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Эмиссионные</w:t>
            </w:r>
          </w:p>
          <w:p w:rsidR="00752E34" w:rsidRPr="0017333C" w:rsidRDefault="00752E34" w:rsidP="006626BF">
            <w:pPr>
              <w:widowControl/>
              <w:shd w:val="clear" w:color="000000" w:fill="auto"/>
              <w:spacing w:line="360" w:lineRule="auto"/>
              <w:ind w:hanging="10"/>
              <w:jc w:val="both"/>
            </w:pPr>
            <w:r w:rsidRPr="0017333C">
              <w:t>Неэмиссионные</w:t>
            </w:r>
          </w:p>
        </w:tc>
      </w:tr>
      <w:tr w:rsidR="00752E34" w:rsidRPr="00FE41DC">
        <w:trPr>
          <w:trHeight w:val="762"/>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Вид эмитента</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Государственные (федеральные или муниципальные)</w:t>
            </w:r>
          </w:p>
          <w:p w:rsidR="00752E34" w:rsidRPr="0017333C" w:rsidRDefault="00752E34" w:rsidP="006626BF">
            <w:pPr>
              <w:widowControl/>
              <w:shd w:val="clear" w:color="000000" w:fill="auto"/>
              <w:spacing w:line="360" w:lineRule="auto"/>
              <w:ind w:hanging="10"/>
              <w:jc w:val="both"/>
            </w:pPr>
            <w:r w:rsidRPr="0017333C">
              <w:t>Негосударственные (корпоративные или частные)</w:t>
            </w:r>
          </w:p>
        </w:tc>
      </w:tr>
      <w:tr w:rsidR="00752E34" w:rsidRPr="00FE41DC">
        <w:trPr>
          <w:trHeight w:val="637"/>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Характер обращаемости</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Рыночные</w:t>
            </w:r>
          </w:p>
          <w:p w:rsidR="00752E34" w:rsidRPr="0017333C" w:rsidRDefault="00752E34" w:rsidP="006626BF">
            <w:pPr>
              <w:widowControl/>
              <w:shd w:val="clear" w:color="000000" w:fill="auto"/>
              <w:spacing w:line="360" w:lineRule="auto"/>
              <w:ind w:hanging="10"/>
              <w:jc w:val="both"/>
            </w:pPr>
            <w:r w:rsidRPr="0017333C">
              <w:t>Нерыночные</w:t>
            </w:r>
          </w:p>
        </w:tc>
      </w:tr>
      <w:tr w:rsidR="00752E34" w:rsidRPr="00FE41DC">
        <w:trPr>
          <w:trHeight w:val="705"/>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Уровень риска</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Безрисковые и малорисковые</w:t>
            </w:r>
          </w:p>
          <w:p w:rsidR="00752E34" w:rsidRPr="0017333C" w:rsidRDefault="00752E34" w:rsidP="006626BF">
            <w:pPr>
              <w:widowControl/>
              <w:shd w:val="clear" w:color="000000" w:fill="auto"/>
              <w:spacing w:line="360" w:lineRule="auto"/>
              <w:ind w:hanging="10"/>
              <w:jc w:val="both"/>
            </w:pPr>
            <w:r w:rsidRPr="0017333C">
              <w:t>Рисковые</w:t>
            </w:r>
          </w:p>
        </w:tc>
      </w:tr>
      <w:tr w:rsidR="00752E34" w:rsidRPr="00FE41DC">
        <w:trPr>
          <w:trHeight w:val="642"/>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Наличие дохода</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Доходные ( процентные, дивидендные, дисконтные)</w:t>
            </w:r>
          </w:p>
          <w:p w:rsidR="00752E34" w:rsidRPr="0017333C" w:rsidRDefault="00752E34" w:rsidP="006626BF">
            <w:pPr>
              <w:widowControl/>
              <w:shd w:val="clear" w:color="000000" w:fill="auto"/>
              <w:spacing w:line="360" w:lineRule="auto"/>
              <w:ind w:hanging="10"/>
              <w:jc w:val="both"/>
            </w:pPr>
            <w:r w:rsidRPr="0017333C">
              <w:t>Бездоходные</w:t>
            </w:r>
          </w:p>
        </w:tc>
      </w:tr>
      <w:tr w:rsidR="00752E34" w:rsidRPr="00FE41DC">
        <w:trPr>
          <w:trHeight w:val="712"/>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Форма обращения</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Передаваемые по соглашению сторон (путем вручения, цессии)</w:t>
            </w:r>
          </w:p>
          <w:p w:rsidR="00752E34" w:rsidRPr="0017333C" w:rsidRDefault="00752E34" w:rsidP="006626BF">
            <w:pPr>
              <w:widowControl/>
              <w:shd w:val="clear" w:color="000000" w:fill="auto"/>
              <w:spacing w:line="360" w:lineRule="auto"/>
              <w:ind w:hanging="10"/>
              <w:jc w:val="both"/>
            </w:pPr>
            <w:r w:rsidRPr="0017333C">
              <w:t>Ордерные ( передаваемые путем приказа владельца- индоссамента)</w:t>
            </w:r>
          </w:p>
        </w:tc>
      </w:tr>
      <w:tr w:rsidR="00752E34" w:rsidRPr="00FE41DC">
        <w:trPr>
          <w:trHeight w:val="712"/>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Номинал</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Постоянные</w:t>
            </w:r>
          </w:p>
          <w:p w:rsidR="00752E34" w:rsidRPr="0017333C" w:rsidRDefault="00752E34" w:rsidP="006626BF">
            <w:pPr>
              <w:widowControl/>
              <w:shd w:val="clear" w:color="000000" w:fill="auto"/>
              <w:spacing w:line="360" w:lineRule="auto"/>
              <w:ind w:hanging="10"/>
              <w:jc w:val="both"/>
            </w:pPr>
            <w:r w:rsidRPr="0017333C">
              <w:t>Переменный</w:t>
            </w:r>
          </w:p>
        </w:tc>
      </w:tr>
      <w:tr w:rsidR="00752E34" w:rsidRPr="00FE41DC">
        <w:trPr>
          <w:trHeight w:val="1049"/>
        </w:trPr>
        <w:tc>
          <w:tcPr>
            <w:tcW w:w="3578" w:type="dxa"/>
            <w:tcBorders>
              <w:top w:val="single" w:sz="6" w:space="0" w:color="auto"/>
              <w:left w:val="single" w:sz="6" w:space="0" w:color="auto"/>
              <w:bottom w:val="single" w:sz="6" w:space="0" w:color="auto"/>
              <w:right w:val="single" w:sz="6" w:space="0" w:color="auto"/>
            </w:tcBorders>
            <w:vAlign w:val="center"/>
          </w:tcPr>
          <w:p w:rsidR="00752E34" w:rsidRPr="0017333C" w:rsidRDefault="00752E34" w:rsidP="006626BF">
            <w:pPr>
              <w:widowControl/>
              <w:shd w:val="clear" w:color="000000" w:fill="auto"/>
              <w:spacing w:line="360" w:lineRule="auto"/>
              <w:ind w:hanging="10"/>
            </w:pPr>
            <w:r w:rsidRPr="0017333C">
              <w:t>Экономическая сущность</w:t>
            </w:r>
          </w:p>
          <w:p w:rsidR="00752E34" w:rsidRPr="0017333C" w:rsidRDefault="00752E34" w:rsidP="006626BF">
            <w:pPr>
              <w:widowControl/>
              <w:shd w:val="clear" w:color="000000" w:fill="auto"/>
              <w:spacing w:line="360" w:lineRule="auto"/>
              <w:ind w:hanging="10"/>
            </w:pPr>
            <w:r w:rsidRPr="0017333C">
              <w:t>(вид прав)</w:t>
            </w:r>
          </w:p>
        </w:tc>
        <w:tc>
          <w:tcPr>
            <w:tcW w:w="4785" w:type="dxa"/>
            <w:tcBorders>
              <w:top w:val="single" w:sz="6" w:space="0" w:color="auto"/>
              <w:left w:val="single" w:sz="6" w:space="0" w:color="auto"/>
              <w:bottom w:val="single" w:sz="6" w:space="0" w:color="auto"/>
              <w:right w:val="single" w:sz="6" w:space="0" w:color="auto"/>
            </w:tcBorders>
            <w:vAlign w:val="bottom"/>
          </w:tcPr>
          <w:p w:rsidR="00752E34" w:rsidRPr="0017333C" w:rsidRDefault="00752E34" w:rsidP="006626BF">
            <w:pPr>
              <w:widowControl/>
              <w:shd w:val="clear" w:color="000000" w:fill="auto"/>
              <w:spacing w:line="360" w:lineRule="auto"/>
              <w:ind w:hanging="10"/>
              <w:jc w:val="both"/>
            </w:pPr>
            <w:r w:rsidRPr="0017333C">
              <w:t>Акции</w:t>
            </w:r>
          </w:p>
          <w:p w:rsidR="00752E34" w:rsidRPr="0017333C" w:rsidRDefault="00752E34" w:rsidP="006626BF">
            <w:pPr>
              <w:widowControl/>
              <w:shd w:val="clear" w:color="000000" w:fill="auto"/>
              <w:spacing w:line="360" w:lineRule="auto"/>
              <w:ind w:hanging="10"/>
              <w:jc w:val="both"/>
            </w:pPr>
            <w:r w:rsidRPr="0017333C">
              <w:t>Облигации</w:t>
            </w:r>
          </w:p>
          <w:p w:rsidR="00752E34" w:rsidRPr="0017333C" w:rsidRDefault="00752E34" w:rsidP="006626BF">
            <w:pPr>
              <w:widowControl/>
              <w:shd w:val="clear" w:color="000000" w:fill="auto"/>
              <w:spacing w:line="360" w:lineRule="auto"/>
              <w:ind w:hanging="10"/>
              <w:jc w:val="both"/>
            </w:pPr>
            <w:r w:rsidRPr="0017333C">
              <w:t>Векселя и др.</w:t>
            </w:r>
          </w:p>
        </w:tc>
      </w:tr>
    </w:tbl>
    <w:p w:rsidR="00752E34" w:rsidRPr="00FE41DC" w:rsidRDefault="00752E34" w:rsidP="00752E34">
      <w:pPr>
        <w:shd w:val="clear" w:color="000000" w:fill="auto"/>
        <w:spacing w:line="360" w:lineRule="auto"/>
        <w:ind w:firstLine="709"/>
        <w:jc w:val="both"/>
        <w:rPr>
          <w:snapToGrid w:val="0"/>
          <w:sz w:val="28"/>
          <w:szCs w:val="28"/>
        </w:rPr>
      </w:pP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Практически в бездокументарной форме могут выпускаться только акции и облигации, которые в силу своего строгого именного характера допускают форму закрепления удостоверяемых ими прав, не основанную на документе. Операции с бездокументарными ценными бумагами могут совершаться только при обращении к лицу, которое официально совершает записи по переходу прав собственности на ценные бумаги.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 зависимости от характера выпуска различают эмиссионные и неэмиссионные ценные бумаги. Отношения, возникающие при эмиссии и обращении эмиссионных ценных бумаг, регулируются Федеральными законами «О рынке ценных бумаг» и «О государственных и муниципальных ценных бумагах»[1].</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Эмиссионная ценная бумага — любая ценная бумага, в том числе бездокументарная, которая характеризуется одновременно следующими признаками: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размещается выпусками;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имеет равные объем и сроки осуществления прав внутри одного выпуска вне зависимости от времени приобретения ценной бумаги.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Эмиссионные ценные бумаги могут выпускаться в одной из следующих форм:</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именные документарные ценные бумаги;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именные бездокументарные ценные бумаги;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документарные ценные бумаги на предъявителя.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Большое значение имеет форма удостоверения прав собственности на эмиссионную ценную бумагу. Права владельцев на эмиссионные ценные бумаги документарной формы выпуска удостоверяются сертификатами (если сертификаты находятся у владельцев) либо сертификатами и записями по счетам ДЕПО в депозитариях (если сертификаты переданы на хранение в депозитарии). Права владельцев на эмиссионные ценные бумаги бездокументарной формы выпуска удостоверяются: в системе ведения реестра — записями на лицевых счетах у держателя реестра; в случае учета прав на ценные бумаги в депозитарии — записями по счетам ДЕПО в депозитариях.</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Переход прав на ценные бумаги и реализация прав, закрепленных ценными бумагами, осуществляются различным образом в зависимости от того, как определяется владелец ценной бумаги и в какой форме она выпущена.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Право на предъявительскую документарную ценную бумагу переходит к приобретателю:</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в случае нахождения ее сертификата у владельца — в момент передачи этого сертификата приобретателю;</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в случае хранения сертификата и/или учета прав на такие ценные бумаги в депозитарии — в момент осуществления приходной записи по счету ДЕПО приобретателя.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Право на именную бездокументарную ценную бумагу переходит к другому владельцу:</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в случае учета прав на ценные бумаги в системе ведения реестра — с момента внесения приходной записи по лицевому счету приобретателя.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Право на именную документарную ценную бумагу переходит к приобретателю:</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в случае учета прав приобретателя на ценные бумаги в системе ведения реестра — с момента передачи ему сертификата ценной бумаги после внесения приходной записи по лицевому счету приобретателя;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в случае учета прав приобретателя на ценные бумаги у лица, осуществляющего депозитарную деятельность, с депонированием сертификата ценной бумаги у депозитария — с момента внесения приходной записи по счету ДЕПО приобретателя.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Права, закрепленные эмиссионной ценной бумагой, переходят к их приобретателю с момента перехода прав на эту ценную бумагу. Переход прав, закрепленных именной эмиссионной ценной бумагой, должен сопровождаться уведомлением держателя реестра, или депозитария, или номинального держателя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Осуществление права по предъявительским эмиссионным ценным бумагам производится по предъявлении их владельцем либо его доверенным лицом. Осуществление прав по именным документарным эмиссионным ценным бумагам производится по предъявлении владельцем либо его доверенным лицом сертификатов этих ценных бумаг эмитенту.</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Федеральный закон «О рынке ценных бумаг»[1] регламентирует не только порядок выпуска и обращения эмиссионных ценных бумаг, но и особенности создания и деятельности профессиональных участников рынка ценных бумаг. Настоящим законом также определены требования о раскрытии информации о ценных бумагах, основы регулирования рынка ценных бумаг, ответственность за нарушения законодательства.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Особенность деятельности российских банков на рынке ценных бумаг заключается в том, что они осуществляют операции на этом рынке по общим правилам, действующим для всех участников рынка ценных бумаг, но при этом должны соблюдать еще и дополнительные правила, устанавливаемые Банком России.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Деятельность банков на рынке ценных бумаг можно разделить на четыре вида, которые отражают различную роль, выполняемую банками при проведении определенных операций с ценными бумагами: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деятельность банков как эмитентов;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деятельность банков как инвесторов;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профессиональная деятельность банков на рынке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традиционные банковские операции, связанные с обслуживанием рынка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Каждый вид деятельности включает в себя широкий спектр разнообразных операций, опосредующих как движение самих ценных бумаг, так и реализацию прав, вытекающих из этих ценных бумаг (приложение 1).</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Деятельность банков как эмитентов включает в себя операции по эмиссии (выпуску) собственных ценных бумаг и их первичному размещению, а также операции и другую деятельность по обеспечению реализации прав инвесторов, удостоверенных ценными бумагами, эмитированными банками: выплату процентов и дивидендов; погашение долговых ценных бумаг при наступлении срока; создание условий для участия владельцев акций в управлении банком, включая проведение общих собраний акционеров; предоставление информации о деятельности банка-эмитента.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 соответствии с действующим законодательством эмитенты публично размещаемых ценных бумаг обязаны раскрывать информацию по ценным бумагам в форме: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ежеквартального отчета по ценным бумагам, который составляется по итогам каждого квартала и представляется не позднее 30 календарных дней после его окончания в территориальные учреждения ЦБ РФ на бумажных носителях и в электронной форме, а также владельцам ценных бумаг эмитента по их требованию за плату, не превышающую накладные расходы по изготовлению отчета;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сообщения о существенных событиях и действиях, затрагивающих финансово-хозяйственную деятельность эмитента, перечень которых законодательно установлен, представляемого в электронном виде распространителю, заключившему договор с ЦБ РФ. Сообщения должны быть опубликованы в печати не позднее 5 дней с момента осуществления этих событий.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Деятельность банков как инвесторов предполагает проведение операций по покупке и продаже ценных бумаг; привлечение кредитов под залог приобретенных ценных бумаг; операции по реализации банком-инвестором прав, удостоверенных приобретенными ценными бумагами; получение процентов, дивидендов и сумм, причитающихся</w:t>
      </w:r>
      <w:r>
        <w:rPr>
          <w:snapToGrid w:val="0"/>
          <w:sz w:val="28"/>
          <w:szCs w:val="28"/>
        </w:rPr>
        <w:t xml:space="preserve"> </w:t>
      </w:r>
      <w:r w:rsidRPr="00FE41DC">
        <w:rPr>
          <w:snapToGrid w:val="0"/>
          <w:sz w:val="28"/>
          <w:szCs w:val="28"/>
        </w:rPr>
        <w:t>в</w:t>
      </w:r>
      <w:r>
        <w:rPr>
          <w:snapToGrid w:val="0"/>
          <w:sz w:val="28"/>
          <w:szCs w:val="28"/>
        </w:rPr>
        <w:t xml:space="preserve"> </w:t>
      </w:r>
      <w:r w:rsidRPr="00FE41DC">
        <w:rPr>
          <w:snapToGrid w:val="0"/>
          <w:sz w:val="28"/>
          <w:szCs w:val="28"/>
        </w:rPr>
        <w:t>погашение</w:t>
      </w:r>
      <w:r>
        <w:rPr>
          <w:snapToGrid w:val="0"/>
          <w:sz w:val="28"/>
          <w:szCs w:val="28"/>
        </w:rPr>
        <w:t xml:space="preserve"> </w:t>
      </w:r>
      <w:r w:rsidRPr="00FE41DC">
        <w:rPr>
          <w:snapToGrid w:val="0"/>
          <w:sz w:val="28"/>
          <w:szCs w:val="28"/>
        </w:rPr>
        <w:t>ценных</w:t>
      </w:r>
      <w:r>
        <w:rPr>
          <w:snapToGrid w:val="0"/>
          <w:sz w:val="28"/>
          <w:szCs w:val="28"/>
        </w:rPr>
        <w:t xml:space="preserve"> </w:t>
      </w:r>
      <w:r w:rsidRPr="00FE41DC">
        <w:rPr>
          <w:snapToGrid w:val="0"/>
          <w:sz w:val="28"/>
          <w:szCs w:val="28"/>
        </w:rPr>
        <w:t>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участие в управлении акционерным обществом-эмитентом; участие в процедуре банкротства в качестве кредитора или акционера; получение причитающейся доли имущества в случае ликвидации общества.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 рамках инвестиционной деятельности банки осуществляют операции с производными инструментами (фьючерсными и форвардными контрактами, опционами), которые подразделяются на спекулятивные и хеджинговые.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Банки, являющиеся владельцами ценных бумаг, обязаны раскрывать информацию о своем владении ценными бумагами какого-либо эмитента в случаях: вступления во владение 20% и более любого вида эмиссионных ценных бумаг эмитента и увеличения (уменьшения) своей доли владения до уровня, кратного каждым 5%, свыше 20%, любого вида ценных бумаг. Банки обязаны раскрыть данную информацию не позднее 5 дней после соответствующих действий путем уведомления в электронном виде распространителя, заключившего договор с ЦБ РФ.</w:t>
      </w:r>
    </w:p>
    <w:p w:rsidR="00752E34" w:rsidRPr="00FE41DC" w:rsidRDefault="00752E34" w:rsidP="00752E34">
      <w:pPr>
        <w:shd w:val="clear" w:color="000000" w:fill="auto"/>
        <w:tabs>
          <w:tab w:val="left" w:pos="1080"/>
        </w:tabs>
        <w:spacing w:line="360" w:lineRule="auto"/>
        <w:ind w:firstLine="709"/>
        <w:jc w:val="both"/>
        <w:rPr>
          <w:snapToGrid w:val="0"/>
          <w:sz w:val="28"/>
          <w:szCs w:val="28"/>
        </w:rPr>
      </w:pPr>
      <w:r w:rsidRPr="00FE41DC">
        <w:rPr>
          <w:snapToGrid w:val="0"/>
          <w:sz w:val="28"/>
          <w:szCs w:val="28"/>
        </w:rPr>
        <w:t>Оказание некоторых видов услуг на рынке ценных бумаг в РФ регулируется особым образом. Российское законодательство, в частности Федеральный закон «О рынке ценных бумаг», определяет следующие виды деятельности на рынке ценных бумаг как профессиональную деятельность[1]:</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брокерская — совершение банком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дилерская — совершение банком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им ценам;</w:t>
      </w:r>
    </w:p>
    <w:p w:rsidR="00752E34" w:rsidRPr="00FE41DC" w:rsidRDefault="00752E34" w:rsidP="00752E34">
      <w:pPr>
        <w:shd w:val="clear" w:color="000000" w:fill="auto"/>
        <w:tabs>
          <w:tab w:val="left" w:pos="1080"/>
        </w:tabs>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деятельность по управлению ценными бумагами — осуществление банком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ценными бумагами; денежными средствами, предназначенными для инвестирования в ценные бумаги; денежными средствами и ценными бумагами, получаемыми в процессе управления ценными бумагами;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клиринговая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депозитарная — оказание услуг по хранению сертификатов ценных бумаг и/или учету и переходу прав на ценные бумаги;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деятельность по ведению реестра владельцев ценных бумаг — сбор, фиксация, обработка, хранение и предоставление данных, составляющих систему ведения реестра владельцев ценных бумаг; имеют право заниматься только юридические лица, именуемые в этом случае держателями реестра; держателем реестра может быть эмитент или профессиональный участник рынка ценных бумаг, осуществляющий деятельность на основании поручения эмитента;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деятельность по организации торговли на рынке ценных бумаг —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Участники фондового рынка, в том числе банки, осуществляющие профессиональную деятельность, именуются профессиональными участниками рынка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Все виды профессиональной деятельности на рынке ценных бумаг осуществляются на основании специального разрешения — лицензии, которая выдается Федеральной комиссией по рынку ценных бумаг или уполномоченными ею органами на основании генеральной лицензии. Деятельность профессиональных участников рынка ценных бумаг лицензируется тремя видами лицензий: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лицензией профессионального участника рынка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лицензией на осуществление деятельности по ведению реестра;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лицензией фондовой биржи.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Исторически сложилось, что кредитные организации получают лицензии профессионального участника и осуществляют такие виды профессиональной деятельности на рынке ценных бумаг, как брокерская, дилерская, деятельность по доверительному управлению ценными бумагами, депозитарная, клиринговая.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Осуществление деятельности по ведению реестра не допускает ее совмещения с другими видами профессиональной деятельности на рынке ценных бумаг. В связи с этим данными операциями занимаются профессиональные участники рынка ценных бумаг, именуемые регистраторами, для которых эта деятельность является исключительной. Банки, активно занимавшиеся регистраторской деятельностью до выхода в свет Федерального закона «О рынке ценных бумаг», вынуждены были от нее отказаться. Кредитные организации не занимаются деятельностью по организации торговли на рынке ценных бумаг, в силу того, что данный вид профессиональной деятельности на рынке ценных бумаг осуществляется фондовыми биржами.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Банк как профессиональный участник рынка ценных бумаг обязан раскрывать информацию о проведенных им операциях в случаях, когда он произвел в течение одного квартала операции с одним видом ценных бумаг одного эмитента, если количество ценных бумаг по этим операциям составило не менее 100 % общего количества эмитированных ценных бумаг, либо когда он произвел разовую операцию с одним видом ценных бумаг одного эмитента, если количество ценных бумаг по этой операции составило не менее 15 % общего количества эмитированных ценных бумаг. Информация должна быть раскрыта не позднее 5 дней после окончания соответствующего квартала или после разовой операции путем уведомления в электронном виде распространителя, заключившего договор с Центральным Банком Российской Федерации.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Традиционные банковские операции, связанные с обслуживанием рынка ценных бумаг, включают в себя: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предоставление кредитов на приобретение ценных бумаг и под залог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предоставление банковских гарантий по выпускам облигаций и иных ценных бумаг (например, жилищных сертификатов);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выполнение функций платежных агентов эмитентов, ведение счетов участников рынка ценных бумаг и осуществление денежных расчетов по итогам операций на рынке ценных бумаг.</w:t>
      </w:r>
    </w:p>
    <w:p w:rsidR="00752E34" w:rsidRPr="00FE41DC" w:rsidRDefault="00752E34" w:rsidP="00752E34">
      <w:pPr>
        <w:pStyle w:val="a3"/>
        <w:shd w:val="clear" w:color="000000" w:fill="auto"/>
        <w:spacing w:before="0" w:beforeAutospacing="0" w:after="0" w:afterAutospacing="0" w:line="360" w:lineRule="auto"/>
        <w:ind w:firstLine="709"/>
        <w:rPr>
          <w:sz w:val="28"/>
          <w:szCs w:val="28"/>
        </w:rPr>
      </w:pPr>
      <w:r w:rsidRPr="00FE41DC">
        <w:rPr>
          <w:sz w:val="28"/>
          <w:szCs w:val="28"/>
        </w:rPr>
        <w:t xml:space="preserve">Как видим, наблюдается значительное разнообразие видов операций с ценными бумагами. Некоторые из показанных выше операций осуществляются практически каждым банком, другие - присущи только крупным или специализированным банкам. Классификация операций позволяет взглянуть на деятельность банка на рынке ценных бумаг под разными ракурсами, выявить ключевые моменты и направления в их деятельности. Это даст возможность оптимизировать организационную структуру подразделений банка с учетом информационных потоков, отыскать способы стимулирования эффективности работы на основе центров прибыли, более качественно ставить цели и задачи на рынке ценных бумаг. </w:t>
      </w:r>
    </w:p>
    <w:p w:rsidR="00752E34" w:rsidRPr="00FE41DC" w:rsidRDefault="00752E34" w:rsidP="00752E34">
      <w:pPr>
        <w:pStyle w:val="ConsNormal"/>
        <w:shd w:val="clear" w:color="000000" w:fill="auto"/>
        <w:spacing w:line="360" w:lineRule="auto"/>
        <w:ind w:firstLine="709"/>
        <w:jc w:val="both"/>
        <w:rPr>
          <w:rFonts w:ascii="Times New Roman" w:hAnsi="Times New Roman" w:cs="Times New Roman"/>
          <w:sz w:val="28"/>
          <w:szCs w:val="28"/>
        </w:rPr>
      </w:pPr>
    </w:p>
    <w:p w:rsidR="00752E34" w:rsidRPr="0017333C" w:rsidRDefault="00752E34" w:rsidP="00752E34">
      <w:pPr>
        <w:widowControl/>
        <w:shd w:val="clear" w:color="000000" w:fill="auto"/>
        <w:tabs>
          <w:tab w:val="left" w:pos="1620"/>
        </w:tabs>
        <w:spacing w:line="360" w:lineRule="auto"/>
        <w:ind w:firstLine="709"/>
        <w:jc w:val="both"/>
        <w:rPr>
          <w:b/>
          <w:sz w:val="28"/>
          <w:szCs w:val="32"/>
        </w:rPr>
      </w:pPr>
      <w:r w:rsidRPr="0017333C">
        <w:rPr>
          <w:b/>
          <w:sz w:val="28"/>
          <w:szCs w:val="32"/>
        </w:rPr>
        <w:t>1.2 Правовое регулирование операций банков с ценными бумагами</w:t>
      </w:r>
    </w:p>
    <w:p w:rsidR="00752E34" w:rsidRPr="00FE41DC" w:rsidRDefault="00752E34" w:rsidP="00752E34">
      <w:pPr>
        <w:widowControl/>
        <w:shd w:val="clear" w:color="000000" w:fill="auto"/>
        <w:tabs>
          <w:tab w:val="left" w:pos="1620"/>
        </w:tabs>
        <w:spacing w:line="360" w:lineRule="auto"/>
        <w:ind w:firstLine="709"/>
        <w:jc w:val="both"/>
        <w:rPr>
          <w:sz w:val="28"/>
          <w:szCs w:val="28"/>
        </w:rPr>
      </w:pPr>
    </w:p>
    <w:p w:rsidR="00752E34" w:rsidRPr="00FE41DC" w:rsidRDefault="00752E34" w:rsidP="00752E34">
      <w:pPr>
        <w:pStyle w:val="ConsNormal"/>
        <w:shd w:val="clear" w:color="000000" w:fill="auto"/>
        <w:spacing w:line="360" w:lineRule="auto"/>
        <w:ind w:firstLine="709"/>
        <w:jc w:val="both"/>
        <w:rPr>
          <w:rFonts w:ascii="Times New Roman" w:hAnsi="Times New Roman" w:cs="Times New Roman"/>
          <w:sz w:val="28"/>
          <w:szCs w:val="28"/>
        </w:rPr>
      </w:pPr>
      <w:r w:rsidRPr="00FE41DC">
        <w:rPr>
          <w:rFonts w:ascii="Times New Roman" w:hAnsi="Times New Roman" w:cs="Times New Roman"/>
          <w:sz w:val="28"/>
          <w:szCs w:val="28"/>
        </w:rPr>
        <w:t>Одним из критериев уровня развития финансовых отношений в экономике государства являются системы нормативных документов, регламентирующих вопросы организации, ведения бухгалтерского учета, форм отчетности, методики и системы показателей анализа и оценки деятельности коммерческих банков, а также определения роли государственных институтов в ее создании.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 настоящее время в Российской Федерации созданы основные правовые и организационные основы развития рынка ценных бумаг: приняты федеральные законы, регламентирующие эмиссию и обращение ценных бумаг; в развитие этих законов изданы ряд указов Президента РФ и постановлений Правительства РФ; создан единый орган государственного регулирования рынка — Федеральная служба по финансовым рынкам (Ранее Федеральная</w:t>
      </w:r>
      <w:r>
        <w:rPr>
          <w:snapToGrid w:val="0"/>
          <w:sz w:val="28"/>
          <w:szCs w:val="28"/>
        </w:rPr>
        <w:t xml:space="preserve"> </w:t>
      </w:r>
      <w:r w:rsidRPr="00FE41DC">
        <w:rPr>
          <w:snapToGrid w:val="0"/>
          <w:sz w:val="28"/>
          <w:szCs w:val="28"/>
        </w:rPr>
        <w:t>комиссия по рынку ценных бумаг - ФКЦБ)[5].</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Система государственного регулирования рынка ценных бумаг России в себя включает:</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установление обязательных требований к деятельности эмитентов, профессиональных участников рынка ценных бумаг и ее стандартов;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регистрацию выпусков эмиссионных ценных бумаг и проспектов эмиссии и контроля за соблюдением эмитентами условий и обязательств, предусмотренных в них;</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лицензирование деятельности профессиональных участников рынка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создание системы защиты прав владельцев и контроля за соблюдением их прав эмитентами и профессиональными участниками рынка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запрещение и пресечение деятельности лиц, осуществляющих предпринимательскую деятельность на рынке ценных бумаг без соответствующих лицензий.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xml:space="preserve">При осуществлении операций на финансовых рынках банк обязан строить отношения с клиентами на принципах добросовестности, честности, полноты раскрытия необходимой информации, выполнения поручений клиента исключительно в его интересах. Эти принципы закреплены в разрабатываемых банком внутрибанковских документах — Положениях, регламентирующих порядок проведения операций, структуру и функции подразделений, осуществляющих профессиональную деятельность на рынке ценных бумаг, полномочия должностных лиц банка и т.п. Необходимость создания кредитной организацией внутренних документов, регламентирующих права и обязанности сотрудников в сфере оперативной деятельности на финансовых рынках, установлена Указанием Банка России «Об упорядочении актов Банка России» от 16 декабря </w:t>
      </w:r>
      <w:smartTag w:uri="urn:schemas-microsoft-com:office:smarttags" w:element="metricconverter">
        <w:smartTagPr>
          <w:attr w:name="ProductID" w:val="2003 г"/>
        </w:smartTagPr>
        <w:r w:rsidRPr="00FE41DC">
          <w:rPr>
            <w:snapToGrid w:val="0"/>
            <w:sz w:val="28"/>
            <w:szCs w:val="28"/>
          </w:rPr>
          <w:t>2003 г</w:t>
        </w:r>
      </w:smartTag>
      <w:r w:rsidRPr="00FE41DC">
        <w:rPr>
          <w:snapToGrid w:val="0"/>
          <w:sz w:val="28"/>
          <w:szCs w:val="28"/>
        </w:rPr>
        <w:t>. № 1354-У</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Условия предоставления профессиональными участниками, в том числе и банками, услуг инвесторам, не являющимся профессиональными участниками, в части предоставления информации также регулируются Законом РФ «О защите прав и законных интересов инвесторов на рынке ценных бумаг». Этот же закон определяет и ответственность эмитентов и иных лиц за нарушения прав и интересов инвесторов на рынке ценных бумаг. Профессиональный участник обязан информировать инвестора о его праве получать информацию, определенную данным законом, а также о порядке представления жалоб и заявлений инвесторов.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Банки как профессиональные участники финансового рынка должны также соблюдать требования антимонопольного законодательства. Оно осуществляется на основе Федерального закона «О конкуренции и ограничении монополистической деятельности на товарных рынках». Действие данного закона распространяется на случаи приобретения голосующих акций, в сумме составляющих не менее 20% общего числа голосов. Отношения, влияющие на конкуренцию на рынке ценных бумаг, рынке банковских услуг, рынке страховых услуг и рынке иных финансовых услуг регулирует Федеральный закон «О защите конкуренции на рынке финансовых услуг». Этим Законом запрещаются следующие действия финансовых организаций, занимающих доминирующее положение на рынке финансовых услуг, затрудняющие доступ на рынок финансовых услуг других организаций: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включение в договор дискриминационных условий, которые ставят финансовую организацию в неравное положение с другими организациями;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согласие заключить договор лишь при условии внесения в него положений, в которых другая сторона не заинтересована;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установление при заключении договора необоснованно высокой (низкой) цены на предоставляемую финансовую услугу.</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Не допускаются и признаются полностью или частично недействительными соглашения или согласованные действия финансовых организаций между собой с федеральными органами исполнительной власти, органами исполнительной власти субъектов РФ и с любыми юридическими лицами, если такие соглашения ограничивают конкуренцию на рынке финансовых услуг.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Регулирование инвестиционной деятельности банков Банком России как органом банковского регулирования и надзора направлено на обеспечение стабильности банковской системы в целом, на защиту интересов кредиторов и вкладчиков банков. В рамках данных ему полномочий Банк России устанавливает для банков дополнительные ограничения на инвестиционную деятельность, которые не действуют в отношении других институциональных инвесторов. Это, прежде всего, относится к ограничению рисков, принимаемых банками по их инвестиционным операциям.</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С целью ограничения рисков, связанных с операциями с ценными бумагами, Банк России: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устанавливает обязательные экономические нормативы, определяет порядок расчета кредитного и рыночного рисков кредитных организаций и ограничивает их размер;</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устанавливает правила переоценки вложений в ценные бумаги и создания резервов под различные виды риска по операциям с ценными бумагами;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устанавливает требования к организационной структуре банка в части операций с ценными бумагами.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Кроме того, Банк России определяет правила проведения сделок с ценными бумагами, их отражения по счетам бухгалтерского учета, устанавливает периодичность и формы отчетности по ним с учетом действующего законодательства.</w:t>
      </w:r>
    </w:p>
    <w:p w:rsidR="00752E34" w:rsidRDefault="00752E34" w:rsidP="00752E34">
      <w:pPr>
        <w:shd w:val="clear" w:color="000000" w:fill="auto"/>
        <w:spacing w:line="360" w:lineRule="auto"/>
        <w:ind w:firstLine="709"/>
        <w:jc w:val="both"/>
        <w:rPr>
          <w:b/>
          <w:sz w:val="28"/>
          <w:szCs w:val="32"/>
        </w:rPr>
      </w:pPr>
    </w:p>
    <w:p w:rsidR="00752E34" w:rsidRPr="0017333C" w:rsidRDefault="00752E34" w:rsidP="00752E34">
      <w:pPr>
        <w:shd w:val="clear" w:color="000000" w:fill="auto"/>
        <w:spacing w:line="360" w:lineRule="auto"/>
        <w:ind w:firstLine="709"/>
        <w:jc w:val="both"/>
        <w:rPr>
          <w:b/>
          <w:snapToGrid w:val="0"/>
          <w:sz w:val="28"/>
          <w:szCs w:val="32"/>
        </w:rPr>
      </w:pPr>
      <w:r w:rsidRPr="0017333C">
        <w:rPr>
          <w:b/>
          <w:sz w:val="28"/>
          <w:szCs w:val="32"/>
        </w:rPr>
        <w:t>1.3 Эмиссионные операции банков</w:t>
      </w:r>
    </w:p>
    <w:p w:rsidR="00752E34" w:rsidRPr="00FE41DC" w:rsidRDefault="00752E34" w:rsidP="00752E34">
      <w:pPr>
        <w:shd w:val="clear" w:color="000000" w:fill="auto"/>
        <w:spacing w:line="360" w:lineRule="auto"/>
        <w:ind w:firstLine="709"/>
        <w:jc w:val="both"/>
        <w:rPr>
          <w:snapToGrid w:val="0"/>
          <w:sz w:val="28"/>
          <w:szCs w:val="28"/>
        </w:rPr>
      </w:pP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Коммерческие банки выпускают акции с целью формирования собственного капитала в форме уставного капитала, если они создаются в виде акционерного общества и в последующем при увеличении уставного капитала.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Все выпуски ценных бумаг независимо от величины выпуска и количества инвесторов подлежат обязательной государственной регистрации в ЦБ РФ. При этом выпуски акций акционерных банков с уставным капиталом 400 млн. руб. и более (включая в расчет предполагаемые итоги выпуска, выпуски банком акций с иностранными учредителями или с долей иностранного участия более 50%, с долей иностранного участия юридических и физических лиц из стран СНГ более 50%) регистрируются в Департаменте контроля за деятельностью кредитных организаций на финансовых рынках ЦБ РФ. Там же регистрируется выпуск облигаций на сумму от 50 млн. руб. и более. Во всех остальных случаях выпуски ценных бумаг банков регистрируются в главных территориальных управлениях Банка России и в национальных банках республик в составе Российской Федерации.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Согласно законодательству РФ выпускаемые банками акции могут быть именными и на предъявителя (прилож.2). Акции считаются именными в том случае, если для реализации имущественных прав, связанных с их владением, необходима регистрация имени владельца акции в книгах учета эмитента или по его поручению в организации, осуществляющей профессиональную деятельность по ценным бумагам. При передаче именной ценной бумаги от одного владельца другому должны быть внесены соответствующие записи в реестр.</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Все акции банка независимо от порядкового номера и времени выпуска должны иметь одинаковую номинальную стоимость (в рублях), если они предоставляют право голоса на собрании акционеров. Это требование распространяется и на привилегированные акции, если уставными документами банка эти акции наделяются правом голоса.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xml:space="preserve">При учреждении акционерного банка или преобразовании его из паевого в акционерный все акций должны быть распределены среда участников этого банка. Если преобразование банка из паевого в акционерный сопровождается увеличением его уставного капитала, то это увеличение может осуществляться лишь за счет дополнительных взносов участников или распределяться между участниками - при увеличении </w:t>
      </w:r>
      <w:r w:rsidRPr="00FE41DC">
        <w:rPr>
          <w:snapToGrid w:val="0"/>
          <w:sz w:val="28"/>
          <w:szCs w:val="28"/>
          <w:lang w:val="en-US"/>
        </w:rPr>
        <w:t>y</w:t>
      </w:r>
      <w:r w:rsidRPr="00FE41DC">
        <w:rPr>
          <w:snapToGrid w:val="0"/>
          <w:sz w:val="28"/>
          <w:szCs w:val="28"/>
        </w:rPr>
        <w:t>ставного капитала банка за счет капитализации других его фондов.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Первый выпуск акций банка регистрируется по общему правилу без одновременной регистрации проспекта эмиссии. Регистрация первого выпуска акций банка должна сопровождаться регистрацией проспекта эмиссии в случае, если выполняются одновременно два следующих условия: при наличии объема размещаемых ценных бумаг среди учредителей, число которых превышает 500; если общий объем эмиссии превышает 50 тыс. минимальных размеров оплаты труда на дату принятия решения о выпуске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Первый выпуск акций банка должен полностью состоять из обыкновенных именных акций. Выпуск привилегированных акций в этом случае не допускается. Такое положение вызвано тем, что банк в первый год функционирования может не обеспечить выплату дивидендов по привилегированным акциям в установленном размере.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Для увеличения уставного капитала акционерный банк может осуществлять выпуск акций только после полной оплаты акционерами всех ранее выпущенных банком акций. Регистрация повторных выпусков акций сопровождается регистрацией проспекта эмиссии.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Регистрация повторного выпуска акций может не сопровождаться регистрацией проспекта эмиссии в том случае, если выполняются одновременно два следующих условия: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1) общий объем эмиссии не превышает 50 тыс. минимальных размеров оплаты труда на дату принятия решения;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2)</w:t>
      </w:r>
      <w:r>
        <w:rPr>
          <w:snapToGrid w:val="0"/>
          <w:sz w:val="28"/>
          <w:szCs w:val="28"/>
        </w:rPr>
        <w:t xml:space="preserve"> </w:t>
      </w:r>
      <w:r w:rsidRPr="00FE41DC">
        <w:rPr>
          <w:snapToGrid w:val="0"/>
          <w:sz w:val="28"/>
          <w:szCs w:val="28"/>
        </w:rPr>
        <w:t>банк после завершения выпуска будет иметь не более 500 акционеров.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При увеличении уставного капитала могут выпускаться как обыкновенные, так и привилегированные акции. Привилегированные акции банка могут иметь разную номинальную стоимость, если это не противоречит уставным документам банка, наделяющим правом голоса привилегированные акции.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Процедура выпуска банком акций может различаться в зависимости от того, сопровождается ли регистрация выпуска ценных бумаг регистрацией проспекта эмиссии. Если регистрация выпуска ценных бумаг банка производится без регистрации проспекта эмиссии, то процедура выпуска будет включать следующие этапы:</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1)</w:t>
      </w:r>
      <w:r>
        <w:rPr>
          <w:snapToGrid w:val="0"/>
          <w:sz w:val="28"/>
          <w:szCs w:val="28"/>
        </w:rPr>
        <w:t xml:space="preserve"> </w:t>
      </w:r>
      <w:r w:rsidRPr="00FE41DC">
        <w:rPr>
          <w:snapToGrid w:val="0"/>
          <w:sz w:val="28"/>
          <w:szCs w:val="28"/>
        </w:rPr>
        <w:t>принятие эмитентом решения о выпуске;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2)</w:t>
      </w:r>
      <w:r>
        <w:rPr>
          <w:snapToGrid w:val="0"/>
          <w:sz w:val="28"/>
          <w:szCs w:val="28"/>
        </w:rPr>
        <w:t xml:space="preserve"> </w:t>
      </w:r>
      <w:r w:rsidRPr="00FE41DC">
        <w:rPr>
          <w:snapToGrid w:val="0"/>
          <w:sz w:val="28"/>
          <w:szCs w:val="28"/>
        </w:rPr>
        <w:t>регистрация выпуска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3)</w:t>
      </w:r>
      <w:r>
        <w:rPr>
          <w:snapToGrid w:val="0"/>
          <w:sz w:val="28"/>
          <w:szCs w:val="28"/>
        </w:rPr>
        <w:t xml:space="preserve"> </w:t>
      </w:r>
      <w:r w:rsidRPr="00FE41DC">
        <w:rPr>
          <w:snapToGrid w:val="0"/>
          <w:sz w:val="28"/>
          <w:szCs w:val="28"/>
        </w:rPr>
        <w:t>регистрация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4)</w:t>
      </w:r>
      <w:r>
        <w:rPr>
          <w:snapToGrid w:val="0"/>
          <w:sz w:val="28"/>
          <w:szCs w:val="28"/>
        </w:rPr>
        <w:t xml:space="preserve"> </w:t>
      </w:r>
      <w:r w:rsidRPr="00FE41DC">
        <w:rPr>
          <w:snapToGrid w:val="0"/>
          <w:sz w:val="28"/>
          <w:szCs w:val="28"/>
        </w:rPr>
        <w:t>регистрация итогов выпуска.</w:t>
      </w:r>
    </w:p>
    <w:p w:rsidR="00752E34" w:rsidRDefault="00752E34" w:rsidP="00752E34">
      <w:pPr>
        <w:shd w:val="clear" w:color="000000" w:fill="auto"/>
        <w:spacing w:line="360" w:lineRule="auto"/>
        <w:ind w:firstLine="709"/>
        <w:jc w:val="both"/>
        <w:rPr>
          <w:snapToGrid w:val="0"/>
          <w:sz w:val="28"/>
          <w:szCs w:val="28"/>
        </w:rPr>
      </w:pPr>
      <w:r w:rsidRPr="00FE41DC">
        <w:rPr>
          <w:snapToGrid w:val="0"/>
          <w:sz w:val="28"/>
          <w:szCs w:val="28"/>
        </w:rPr>
        <w:t>Если регистрация выпуска ценных бумаг банка сопровождается регистрацией проспекта эмиссии, то процедура выпуска будет включать следующие этапы (рис.1.1):</w:t>
      </w:r>
    </w:p>
    <w:p w:rsidR="00752E34" w:rsidRPr="00FE41DC" w:rsidRDefault="00752E34" w:rsidP="00752E34">
      <w:pPr>
        <w:shd w:val="clear" w:color="000000" w:fill="auto"/>
        <w:spacing w:line="360" w:lineRule="auto"/>
        <w:ind w:firstLine="709"/>
        <w:jc w:val="both"/>
        <w:rPr>
          <w:snapToGrid w:val="0"/>
          <w:sz w:val="28"/>
          <w:szCs w:val="28"/>
        </w:rPr>
      </w:pPr>
    </w:p>
    <w:tbl>
      <w:tblPr>
        <w:tblW w:w="8760" w:type="dxa"/>
        <w:tblInd w:w="280" w:type="dxa"/>
        <w:tblLayout w:type="fixed"/>
        <w:tblCellMar>
          <w:left w:w="40" w:type="dxa"/>
          <w:right w:w="40" w:type="dxa"/>
        </w:tblCellMar>
        <w:tblLook w:val="0000" w:firstRow="0" w:lastRow="0" w:firstColumn="0" w:lastColumn="0" w:noHBand="0" w:noVBand="0"/>
      </w:tblPr>
      <w:tblGrid>
        <w:gridCol w:w="360"/>
        <w:gridCol w:w="500"/>
        <w:gridCol w:w="7900"/>
      </w:tblGrid>
      <w:tr w:rsidR="00752E34" w:rsidRPr="0017333C">
        <w:trPr>
          <w:cantSplit/>
          <w:trHeight w:hRule="exact" w:val="480"/>
        </w:trPr>
        <w:tc>
          <w:tcPr>
            <w:tcW w:w="360" w:type="dxa"/>
            <w:vMerge w:val="restart"/>
            <w:tcBorders>
              <w:top w:val="single" w:sz="6" w:space="0" w:color="auto"/>
              <w:left w:val="single" w:sz="6" w:space="0" w:color="auto"/>
              <w:right w:val="single" w:sz="6" w:space="0" w:color="auto"/>
            </w:tcBorders>
            <w:textDirection w:val="btLr"/>
            <w:vAlign w:val="center"/>
          </w:tcPr>
          <w:p w:rsidR="00752E34" w:rsidRPr="0017333C" w:rsidRDefault="00752E34" w:rsidP="006626BF">
            <w:pPr>
              <w:widowControl/>
              <w:shd w:val="clear" w:color="000000" w:fill="auto"/>
              <w:spacing w:line="360" w:lineRule="auto"/>
              <w:ind w:left="113" w:right="113"/>
              <w:jc w:val="center"/>
            </w:pPr>
            <w:r w:rsidRPr="0017333C">
              <w:t>ЭМИССИЯ</w:t>
            </w:r>
          </w:p>
        </w:tc>
        <w:tc>
          <w:tcPr>
            <w:tcW w:w="500" w:type="dxa"/>
            <w:vMerge w:val="restart"/>
            <w:tcBorders>
              <w:top w:val="nil"/>
              <w:left w:val="single" w:sz="6" w:space="0" w:color="auto"/>
              <w:right w:val="single" w:sz="6" w:space="0" w:color="auto"/>
            </w:tcBorders>
          </w:tcPr>
          <w:p w:rsidR="00752E34" w:rsidRPr="0017333C" w:rsidRDefault="00CC200C" w:rsidP="006626BF">
            <w:pPr>
              <w:widowControl/>
              <w:shd w:val="clear" w:color="000000" w:fill="auto"/>
              <w:spacing w:line="360" w:lineRule="auto"/>
              <w:jc w:val="both"/>
            </w:pPr>
            <w:r>
              <w:rPr>
                <w:noProof/>
              </w:rPr>
              <w:pict>
                <v:line id="_x0000_s1032" style="position:absolute;left:0;text-align:left;z-index:251660800;mso-position-horizontal-relative:text;mso-position-vertical-relative:text" from="1.55pt,158.45pt" to="23.15pt,158.45pt">
                  <v:stroke endarrow="block"/>
                </v:line>
              </w:pict>
            </w:r>
            <w:r>
              <w:rPr>
                <w:noProof/>
              </w:rPr>
              <w:pict>
                <v:line id="_x0000_s1031" style="position:absolute;left:0;text-align:left;z-index:251659776;mso-position-horizontal-relative:text;mso-position-vertical-relative:text" from="1.55pt,140.45pt" to="23.15pt,140.45pt">
                  <v:stroke endarrow="block"/>
                </v:line>
              </w:pict>
            </w:r>
            <w:r>
              <w:rPr>
                <w:noProof/>
              </w:rPr>
              <w:pict>
                <v:line id="_x0000_s1030" style="position:absolute;left:0;text-align:left;z-index:251658752;mso-position-horizontal-relative:text;mso-position-vertical-relative:text" from="1.55pt,113.45pt" to="23.15pt,113.45pt">
                  <v:stroke endarrow="block"/>
                </v:line>
              </w:pict>
            </w:r>
            <w:r>
              <w:rPr>
                <w:noProof/>
              </w:rPr>
              <w:pict>
                <v:line id="_x0000_s1026" style="position:absolute;left:0;text-align:left;z-index:251654656;mso-position-horizontal-relative:text;mso-position-vertical-relative:text" from="1.55pt,86.45pt" to="23.15pt,86.45pt">
                  <v:stroke endarrow="block"/>
                </v:line>
              </w:pict>
            </w:r>
            <w:r>
              <w:rPr>
                <w:noProof/>
              </w:rPr>
              <w:pict>
                <v:line id="_x0000_s1029" style="position:absolute;left:0;text-align:left;z-index:251657728;mso-position-horizontal-relative:text;mso-position-vertical-relative:text" from="1.55pt,59.45pt" to="23.15pt,59.45pt">
                  <v:stroke endarrow="block"/>
                </v:line>
              </w:pict>
            </w:r>
            <w:r>
              <w:rPr>
                <w:noProof/>
              </w:rPr>
              <w:pict>
                <v:line id="_x0000_s1028" style="position:absolute;left:0;text-align:left;z-index:251656704;mso-position-horizontal-relative:text;mso-position-vertical-relative:text" from="1.55pt,32.45pt" to="23.15pt,32.45pt">
                  <v:stroke endarrow="block"/>
                </v:line>
              </w:pict>
            </w:r>
            <w:r>
              <w:rPr>
                <w:noProof/>
              </w:rPr>
              <w:pict>
                <v:line id="_x0000_s1027" style="position:absolute;left:0;text-align:left;z-index:251655680;mso-position-horizontal-relative:text;mso-position-vertical-relative:text" from="1.55pt,14.45pt" to="23.15pt,14.45pt">
                  <v:stroke endarrow="block"/>
                </v:line>
              </w:pict>
            </w:r>
          </w:p>
        </w:tc>
        <w:tc>
          <w:tcPr>
            <w:tcW w:w="7900" w:type="dxa"/>
            <w:tcBorders>
              <w:top w:val="single" w:sz="6" w:space="0" w:color="auto"/>
              <w:left w:val="single" w:sz="6" w:space="0" w:color="auto"/>
              <w:bottom w:val="single" w:sz="6" w:space="0" w:color="auto"/>
              <w:right w:val="single" w:sz="6" w:space="0" w:color="auto"/>
            </w:tcBorders>
          </w:tcPr>
          <w:p w:rsidR="00752E34" w:rsidRPr="0017333C" w:rsidRDefault="00752E34" w:rsidP="006626BF">
            <w:pPr>
              <w:widowControl/>
              <w:shd w:val="clear" w:color="000000" w:fill="auto"/>
              <w:spacing w:line="360" w:lineRule="auto"/>
              <w:jc w:val="both"/>
            </w:pPr>
            <w:r w:rsidRPr="0017333C">
              <w:t>Первый этап. Принятие решения о выпуске ценных бумаг</w:t>
            </w:r>
          </w:p>
        </w:tc>
      </w:tr>
      <w:tr w:rsidR="00752E34" w:rsidRPr="0017333C">
        <w:trPr>
          <w:cantSplit/>
          <w:trHeight w:hRule="exact" w:val="440"/>
        </w:trPr>
        <w:tc>
          <w:tcPr>
            <w:tcW w:w="36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50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7900" w:type="dxa"/>
            <w:tcBorders>
              <w:top w:val="single" w:sz="6" w:space="0" w:color="auto"/>
              <w:left w:val="single" w:sz="6" w:space="0" w:color="auto"/>
              <w:bottom w:val="single" w:sz="6" w:space="0" w:color="auto"/>
              <w:right w:val="single" w:sz="6" w:space="0" w:color="auto"/>
            </w:tcBorders>
          </w:tcPr>
          <w:p w:rsidR="00752E34" w:rsidRPr="0017333C" w:rsidRDefault="00752E34" w:rsidP="006626BF">
            <w:pPr>
              <w:widowControl/>
              <w:shd w:val="clear" w:color="000000" w:fill="auto"/>
              <w:spacing w:line="360" w:lineRule="auto"/>
              <w:jc w:val="both"/>
            </w:pPr>
            <w:r w:rsidRPr="0017333C">
              <w:t>Второй этап. Подготовка проспекта эмиссии</w:t>
            </w:r>
          </w:p>
        </w:tc>
      </w:tr>
      <w:tr w:rsidR="00752E34" w:rsidRPr="0017333C">
        <w:trPr>
          <w:cantSplit/>
          <w:trHeight w:hRule="exact" w:val="444"/>
        </w:trPr>
        <w:tc>
          <w:tcPr>
            <w:tcW w:w="36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50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7900" w:type="dxa"/>
            <w:tcBorders>
              <w:top w:val="single" w:sz="6" w:space="0" w:color="auto"/>
              <w:left w:val="single" w:sz="6" w:space="0" w:color="auto"/>
              <w:bottom w:val="single" w:sz="6" w:space="0" w:color="auto"/>
              <w:right w:val="single" w:sz="6" w:space="0" w:color="auto"/>
            </w:tcBorders>
          </w:tcPr>
          <w:p w:rsidR="00752E34" w:rsidRPr="0017333C" w:rsidRDefault="00752E34" w:rsidP="006626BF">
            <w:pPr>
              <w:widowControl/>
              <w:shd w:val="clear" w:color="000000" w:fill="auto"/>
              <w:spacing w:line="360" w:lineRule="auto"/>
              <w:jc w:val="both"/>
            </w:pPr>
            <w:r w:rsidRPr="0017333C">
              <w:t>Третий этап. Регистрация выпуска ценных бумаг и проспекта эмиссии</w:t>
            </w:r>
          </w:p>
        </w:tc>
      </w:tr>
      <w:tr w:rsidR="00752E34" w:rsidRPr="0017333C">
        <w:trPr>
          <w:cantSplit/>
          <w:trHeight w:val="705"/>
        </w:trPr>
        <w:tc>
          <w:tcPr>
            <w:tcW w:w="36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500" w:type="dxa"/>
            <w:vMerge/>
            <w:tcBorders>
              <w:left w:val="single" w:sz="6" w:space="0" w:color="auto"/>
              <w:bottom w:val="nil"/>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7900" w:type="dxa"/>
            <w:tcBorders>
              <w:top w:val="single" w:sz="6" w:space="0" w:color="auto"/>
              <w:left w:val="single" w:sz="6" w:space="0" w:color="auto"/>
              <w:bottom w:val="single" w:sz="6" w:space="0" w:color="auto"/>
              <w:right w:val="single" w:sz="6" w:space="0" w:color="auto"/>
            </w:tcBorders>
          </w:tcPr>
          <w:p w:rsidR="00752E34" w:rsidRPr="0017333C" w:rsidRDefault="00752E34" w:rsidP="006626BF">
            <w:pPr>
              <w:widowControl/>
              <w:shd w:val="clear" w:color="000000" w:fill="auto"/>
              <w:spacing w:line="360" w:lineRule="auto"/>
              <w:jc w:val="both"/>
            </w:pPr>
            <w:r w:rsidRPr="0017333C">
              <w:t>Четвертый этап. Издание проспекта эмиссии и публикация сообщения о выпуске ценных бумаг</w:t>
            </w:r>
          </w:p>
        </w:tc>
      </w:tr>
      <w:tr w:rsidR="00752E34" w:rsidRPr="0017333C">
        <w:trPr>
          <w:cantSplit/>
          <w:trHeight w:hRule="exact" w:val="440"/>
        </w:trPr>
        <w:tc>
          <w:tcPr>
            <w:tcW w:w="36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50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7900" w:type="dxa"/>
            <w:tcBorders>
              <w:top w:val="single" w:sz="6" w:space="0" w:color="auto"/>
              <w:left w:val="single" w:sz="6" w:space="0" w:color="auto"/>
              <w:bottom w:val="single" w:sz="6" w:space="0" w:color="auto"/>
              <w:right w:val="single" w:sz="6" w:space="0" w:color="auto"/>
            </w:tcBorders>
          </w:tcPr>
          <w:p w:rsidR="00752E34" w:rsidRPr="0017333C" w:rsidRDefault="00752E34" w:rsidP="006626BF">
            <w:pPr>
              <w:widowControl/>
              <w:shd w:val="clear" w:color="000000" w:fill="auto"/>
              <w:spacing w:line="360" w:lineRule="auto"/>
              <w:jc w:val="both"/>
            </w:pPr>
            <w:r w:rsidRPr="0017333C">
              <w:t>Пятый этап. Реализация ценных бумаг</w:t>
            </w:r>
          </w:p>
        </w:tc>
      </w:tr>
      <w:tr w:rsidR="00752E34" w:rsidRPr="0017333C">
        <w:trPr>
          <w:cantSplit/>
          <w:trHeight w:hRule="exact" w:val="460"/>
        </w:trPr>
        <w:tc>
          <w:tcPr>
            <w:tcW w:w="36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500" w:type="dxa"/>
            <w:vMerge/>
            <w:tcBorders>
              <w:left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7900" w:type="dxa"/>
            <w:tcBorders>
              <w:top w:val="single" w:sz="6" w:space="0" w:color="auto"/>
              <w:left w:val="single" w:sz="6" w:space="0" w:color="auto"/>
              <w:bottom w:val="single" w:sz="6" w:space="0" w:color="auto"/>
              <w:right w:val="single" w:sz="6" w:space="0" w:color="auto"/>
            </w:tcBorders>
          </w:tcPr>
          <w:p w:rsidR="00752E34" w:rsidRPr="0017333C" w:rsidRDefault="00752E34" w:rsidP="006626BF">
            <w:pPr>
              <w:widowControl/>
              <w:shd w:val="clear" w:color="000000" w:fill="auto"/>
              <w:spacing w:line="360" w:lineRule="auto"/>
              <w:jc w:val="both"/>
            </w:pPr>
            <w:r w:rsidRPr="0017333C">
              <w:t>Шестой этап. Регистрация итогов выпуска</w:t>
            </w:r>
          </w:p>
        </w:tc>
      </w:tr>
      <w:tr w:rsidR="00752E34" w:rsidRPr="0017333C">
        <w:trPr>
          <w:cantSplit/>
          <w:trHeight w:hRule="exact" w:val="480"/>
        </w:trPr>
        <w:tc>
          <w:tcPr>
            <w:tcW w:w="360" w:type="dxa"/>
            <w:vMerge/>
            <w:tcBorders>
              <w:left w:val="single" w:sz="6" w:space="0" w:color="auto"/>
              <w:bottom w:val="single" w:sz="6" w:space="0" w:color="auto"/>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500" w:type="dxa"/>
            <w:vMerge/>
            <w:tcBorders>
              <w:left w:val="single" w:sz="6" w:space="0" w:color="auto"/>
              <w:bottom w:val="nil"/>
              <w:right w:val="single" w:sz="6" w:space="0" w:color="auto"/>
            </w:tcBorders>
          </w:tcPr>
          <w:p w:rsidR="00752E34" w:rsidRPr="0017333C" w:rsidRDefault="00752E34" w:rsidP="006626BF">
            <w:pPr>
              <w:widowControl/>
              <w:shd w:val="clear" w:color="000000" w:fill="auto"/>
              <w:spacing w:line="360" w:lineRule="auto"/>
              <w:ind w:firstLine="709"/>
              <w:jc w:val="both"/>
            </w:pPr>
          </w:p>
        </w:tc>
        <w:tc>
          <w:tcPr>
            <w:tcW w:w="7900" w:type="dxa"/>
            <w:tcBorders>
              <w:top w:val="single" w:sz="6" w:space="0" w:color="auto"/>
              <w:left w:val="single" w:sz="6" w:space="0" w:color="auto"/>
              <w:bottom w:val="single" w:sz="6" w:space="0" w:color="auto"/>
              <w:right w:val="single" w:sz="6" w:space="0" w:color="auto"/>
            </w:tcBorders>
          </w:tcPr>
          <w:p w:rsidR="00752E34" w:rsidRPr="0017333C" w:rsidRDefault="00752E34" w:rsidP="006626BF">
            <w:pPr>
              <w:widowControl/>
              <w:shd w:val="clear" w:color="000000" w:fill="auto"/>
              <w:spacing w:line="360" w:lineRule="auto"/>
              <w:jc w:val="both"/>
            </w:pPr>
            <w:r w:rsidRPr="0017333C">
              <w:t>Седьмой этап. Публикация итогов выпуска</w:t>
            </w:r>
          </w:p>
        </w:tc>
      </w:tr>
    </w:tbl>
    <w:p w:rsidR="00752E34" w:rsidRPr="00FE41DC" w:rsidRDefault="00752E34" w:rsidP="00752E34">
      <w:pPr>
        <w:pStyle w:val="a4"/>
        <w:shd w:val="clear" w:color="000000" w:fill="auto"/>
        <w:spacing w:line="360" w:lineRule="auto"/>
        <w:ind w:firstLine="709"/>
        <w:jc w:val="both"/>
        <w:rPr>
          <w:sz w:val="28"/>
          <w:szCs w:val="28"/>
        </w:rPr>
      </w:pPr>
      <w:r w:rsidRPr="00FE41DC">
        <w:rPr>
          <w:sz w:val="28"/>
          <w:szCs w:val="28"/>
        </w:rPr>
        <w:t>Рис. 1.1 Эмиссия ценных бумаг</w:t>
      </w:r>
    </w:p>
    <w:p w:rsidR="00752E34" w:rsidRDefault="00752E34" w:rsidP="00752E34">
      <w:pPr>
        <w:shd w:val="clear" w:color="000000" w:fill="auto"/>
        <w:spacing w:line="360" w:lineRule="auto"/>
        <w:ind w:firstLine="709"/>
        <w:jc w:val="both"/>
        <w:rPr>
          <w:snapToGrid w:val="0"/>
          <w:sz w:val="28"/>
          <w:szCs w:val="28"/>
        </w:rPr>
      </w:pP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Решение о выпуске ценных бумаг принимается тем органом управления банка, который имеет соответствующие полномочия согласно действующему законодательству и уставным документам банка. Собрание акционеров банка может уполномочить Совет директоров банка в промежутке между годовыми собраниями акционеров принимать решения об установлении периодов осуществления выпусков акций и их объемах с установлением максимального прироста уставного капитала. При этом Совет банка отчитывается перед очередным собранием акционеров о выполнении установленного на истекший год прироста уставного капитала. Решение о выпуске должно содержать общие данные о порядке, источниках, методах и сроках осуществления мероприятий, связанных с выпуском.</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Проспект эмиссии готовится Правлением банка, подписывается председателем Правления, главным бухгалтером, сшивается, его страницы нумеруются, прошнуровываются и скрепляются печатью банка. Проспект эмиссии должен быть заверен независимой аудиторской фирмой: а) при последующем выпуске акций; б) при первом выпуске акций, осуществляемом в процессе преобразования ранее созданного банка из паевого в акционерный.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Проспект эмиссии должен содержать: а) основные данные об эмитенте; б) данные о финансовом положении эмитента; в) сведения о предстоящем выпуске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Для регистрации выпуска своих ценных бумаг банк-эмитент представляет соответственно в главное территориальное управление ЦБ РФ или в Управление ценных бумаг ЦБ РФ следующие документы: а) заявление на регистрацию; б) проспект эмиссии (если регистрация выпуска ценных бумаг сопровождается регистрацией проспекта эмиссии).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Документы на внесение изменений в устав банка в связи с увеличением уставного капитала банк должен подать в ЦБ РФ после регистрации итогов выпуска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Банк, выпускающий акции, должен быть безубыточным в течение последних трех завершенных финансовых лет либо с момента образования, если этот срок менее трех лет. Для вновь созданных банков предусматривается, что при их функционировании менее финансового года и наличии убытков за этот период выпуск акций возможен только при условии представления банком соответствующих расчетов и гарантий, подтверждающих, что по итогам полного финансового года банк будет иметь прибыль.</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Наряду с перечисленным от банков-эмитентов также требуется, чтобы они не подвергались санкциям со стороны государственных органов. Банки-эмитенты не должны иметь просроченной задолженности по налогам бюджету и кредитам на момент составления проспекта эмиссии, дебетового сальдо по корреспондентскому счету, открытому в ЦБ РФ, включая корреспондентские субсчета своих филиалов. Отказ в регистрации ценных бумаг по иным основаниям не допускается.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При регистрации выпуска акций им присваивается государственный регистрационный номер. Если банк осуществляет одновременно выпуск нескольких типов акций, то на них оформляется единый комплект регистрационных документов, но каждый из типов акций получает свой порядковый номер по исчислению банка-эмитента и отдельный государственный регистрационный номер. Если банк при осуществлении повторного выпуска акций предусматривает параметры, аналогичные ранее выпущенному типу акций, то за акциями нового выпуска сохраняется государственный регистрационный номер, присвоенный акциям аналогичного ему предшествующего выпуска.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После регистрации проспекта эмиссии банк-эмитент публикует зарегистрированный проспект эмиссии отдельной брошюрой в достаточном для информации потенциальных покупателей количестве. Одновременно банк публикует сообщение в средствах массовой информации о предстоящей продаже акций, указав в нем тип выпускаемых акций, объем и цену реализации, сроки начала и завершения продажи; места, где покупатели могут ознакомиться с содержанием проспекта и приобрести акции.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Банки могут принимать в оплату акции: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денежные средства в национальной валюте;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материальные ценности, необходимые для деятельности банка. При этом доля материальных активов в первые два года с момента регистрации не должна превышать 20% общей суммы уставного капитала, а в последующем она должна быть снижена до 10%.</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Банки могут увеличить уставный капитал путем капитализации собственных средств: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средств резервного фонда, созданного за счет чистой прибыли (после налогообложения), при условии сохранения в этом фонде минимальной суммы в размере 15% оплаченной суммы уставного капитала: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средств, полученных банком от продажи акций первым владельцам сверх номинальной стоимости;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средств, полученных в результате переоценки основных фондов, проведенной по решению Правительства России;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неиспользованных остатков фондов экономического стимулирования по итогам деятельности за прошлый год;</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основных средств и хозяйственного инвентаря, приобретенного банком за счет собственной прибыли, за минусом начисленной по ним амортизации;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начисленных, но невыплаченных дивидендов по итогам отчетного года;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нераспределенной прибыли по итогам предыдущего года;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путем замены ранее выпущенных банком конвертируемых облигаций на акции - в соответствии с условиями их выпуска и действующим законодательством.</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Реализация акций первой эмиссии должна быть завершена не позднее чем через 30 дней после получения уведомления ЦБ РФ о регистрации учредительских документов банка, при последующих выпусках - в течение года с момента регистрации проспекта эмиссии. При продаже акций в объеме не менее 50% заявленной суммы эмиссии банк регистрирует итоги выпуска, а оставшаяся неоплаченная часть акций продается в течение года. Доля каждого из учредителей акционеров в уставном капитале банка не должна превышать 35%, а доля связанных между собой общими интересами акционеров - не более 20% без уведомления ЦБ РФ.</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Отчет об итогах выпуска представляется в соответствующее подразделение ЦБ РФ. При этом отчет о первом выпуске акций представляется одновременно с документами на получение постоянной банковской лицензии.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После регистрации отчета об итогах выпуска банк-эмитент публикует итоги выпуска в печатном органе, где предварительно было опубликовано сообщение о выпуске.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xml:space="preserve">Банки, осуществляющие выпуск акций, ежегодно представляют территориальным управлениям ЦБ РФ ежегодные отчеты по установленной форме. </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С целью привлечения дополнительных денежных средств для осуществления активных операций коммерческие банки могут выпускать облигации. Обязательным условием выпуска облигаций является полная оплата всех выпущенных банком акций (для акционерного банка) или полная оплата участниками своих долей в уставном капитали банка (для банка, созданного в виде общества с ограниченной ответственностью). Действующими законодательными и нормативными документами запрещается одновременный выпуск акций и облигаций.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Наряду с этим также установлено, что выпуск облигаций допускается банками не ранее третьего года их существования и при условии надлежащего утверждения к этому времени двух годовых балансов. Банки могут выпускать облигации ранее установленного срока только при наличии обеспечения, предоставленного третьими лицами. Объем выпускаемых акций не может превышать сумму уставного капитала банка. При выпуске облигаций на величину, превышающую размер уставного капитала, необходимо обеспечение, представленное банку третьими лицами. При этом обеспечение, представляемое третьими лицами по облигационным займам, должно предусматривать конкретную сумму, равную объему выпуска облигаций по номинальной стоимости, и общую сумму процентов, причитающихся по облигациям. При выпуске дисконтных облигаций величина обеспечения должна быть равна объему выпуска облигаций номинальной стоимости.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Облигации могут выпускаться как именными, так и на предъявителя, на бумажных носителях либо в безналичной форме. Банки имеют право выпускать облигации только в валюте Российской Федерации, т.е. в рублях, и реализовывать только за рубли. Минимальный срок обращения облигаций - 1 год. В рамках одного выпуска облигации могут реализовываться по различным ценам, т.е. требование о единой цене размещения на облигации не распространяется.</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Регистрация выпуска облигаций осуществляется аналогично порядку, установленному для выпуска акций, и сопровождается регистрацией проспекта эмиссии. Коммерческие банки могут не регистрировать проспект эмиссии, если выполняются одновременно два условия: а) планируемый объем выпуска не превышает 50 тыс. минимальных размеров оплаты труда; б) количество покупателей облигаций этого выпуска после его завершения никогда не сможет превысить 500 лиц. Таким образом банки могут осуществлять выпуск облигаций с регистрацией либо без регистрации проспекта эмиссии.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Регистрационные документы по выпуску облигаций должны быть представлены банком в территориальные управления либо в Управление ценных бумаг ЦБ РФ в месячный срок с момента принятия решения о таком выпуске. После регистрации и публикации проспекта эмиссии банк-эмитент имеет право приступить к реализации выпускаемых облигаций. Реализация облигаций осуществляется банком-эмитентом на основании заключаемых договоров с покупателями на оговоренное число облигаций. Банк-эмитент может пользоваться услугами посредников. Наряду с этим банк может заменить ранее выпущенные банком конвертируемые облигации и другие ценные бумаги на вновь выпущенные в соответствии с условиями их выпуска и действующим законодательством. Облигации должны быть реализованы не позднее чем через 6 месяцев после регистрации их выпуска.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ЦБ РФ не устанавливает минимальной оплаченной доли выпуска облигаций по отношению к первоначально заявленному его объему, достижение которой необходимо для регистрации итогов выпуска.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Банки могут реализовывать облигации по номинальной стоимости либо с дисконтом. Последний является величиной будущего дохода покупателя облигаций.</w:t>
      </w:r>
    </w:p>
    <w:p w:rsidR="00752E34" w:rsidRPr="00FE41DC" w:rsidRDefault="00752E34" w:rsidP="00752E34">
      <w:pPr>
        <w:shd w:val="clear" w:color="000000" w:fill="auto"/>
        <w:spacing w:line="360" w:lineRule="auto"/>
        <w:ind w:firstLine="709"/>
        <w:jc w:val="both"/>
        <w:rPr>
          <w:snapToGrid w:val="0"/>
          <w:sz w:val="28"/>
          <w:szCs w:val="28"/>
        </w:rPr>
      </w:pPr>
    </w:p>
    <w:p w:rsidR="00752E34" w:rsidRPr="0017333C" w:rsidRDefault="00752E34" w:rsidP="00752E34">
      <w:pPr>
        <w:shd w:val="clear" w:color="000000" w:fill="auto"/>
        <w:spacing w:line="360" w:lineRule="auto"/>
        <w:ind w:firstLine="709"/>
        <w:jc w:val="both"/>
        <w:rPr>
          <w:b/>
          <w:snapToGrid w:val="0"/>
          <w:sz w:val="28"/>
          <w:szCs w:val="32"/>
        </w:rPr>
      </w:pPr>
      <w:r w:rsidRPr="0017333C">
        <w:rPr>
          <w:b/>
          <w:sz w:val="28"/>
          <w:szCs w:val="32"/>
        </w:rPr>
        <w:t>1.4 Выпуск и обращение банковских сертификатов и векселей</w:t>
      </w:r>
    </w:p>
    <w:p w:rsidR="00752E34" w:rsidRPr="00FE41DC" w:rsidRDefault="00752E34" w:rsidP="00752E34">
      <w:pPr>
        <w:shd w:val="clear" w:color="000000" w:fill="auto"/>
        <w:spacing w:line="360" w:lineRule="auto"/>
        <w:ind w:firstLine="709"/>
        <w:jc w:val="both"/>
        <w:rPr>
          <w:snapToGrid w:val="0"/>
          <w:sz w:val="28"/>
          <w:szCs w:val="28"/>
        </w:rPr>
      </w:pP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К другим ценным бумагам, эмитируемым коммерческими банками, относятся депозитные и сберегательные сертификаты. Порядок их выпуска и обращения установлен указаниями ЦБ РФ от 31.08.1998 г. № 333-У, которыми утверждено "Положение о сберегательных и депозитных сертификатах кредитных организаций".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Депозитный или сберегательный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депозита (вклада) и процентов по нему. Из определения сертификата следует, что он является передаваемой ценной бумагой.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Право выпуска сберегательных сертификатов предоставляется коммерческим банкам при условии осуществления ими банковской деятельности не менее 2 лет; публикации годовой отчетности, подтвержденной аудиторской фирмой; соблюдения банковского законодательства и нормативных актов ЦБ РФ, в том числе директивных экономических нормативов; наличии законодательно создаваемого резервного фонда в размере не менее 15% от фактически оплаченной суммы уставного капитала и резервов на покрытие кредитных рисков, созданных в соответствии с требованиями ЦБ РФ.</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Коммерческие банки имеют право приступить к выпуску сертификатов только после утверждения условий их выпуска и обращения главными территориальными управлениями ЦБ РФ. Условия должны содержать полный порядок выпуска и обращения сертификатов, описание внешнего вида и образец (макет) сертификата.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Сертификат должен содержать следующие обязательные реквизиты:</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наименование "депозитный" (или "сберегательный") сертификат;</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причина выдачи сертификата (внесение депозита или сберегательного вклада):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дата внесения, сумма (прописью и цифрами);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безусловное обязательство банка вернуть сумму, внесенную на депозит или на вклад;</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дата востребования суммы сертификата;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ставка процента и сумма причитающихся процентов;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наименование и адрес банка-эмитента; для именного сертификата-владельца;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подписи двух лиц, уполномоченных на подписание такого рода обязательств, скрепленные печатью банка.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ЦБ РФ может запретить либо признать выпуск недействительным с возвратом всех собранных от выпуска сертификатов средств вкладчикам, а также потребовать досрочной оплаты сертификатов в случаях, если: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условия выпуска сертификатов противоречат действующему законодательству или Правилам по выпуску и оформлению депозитных и сберегательных сертификатов;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не своевременно представлены условия выпуска сертификатов в ГУ ЦБ РФ;</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в рекламе о выпуске сертификатов указываются сведения, противоречащие условиям их выпуска, действительному состоянию дел, действующему законодательству или нормативным актам ЦБ РФ;</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банк нарушает действующее законодательство и правила, установленные письмом ЦБ РФ, в процессе выпуска, обращения и оплаты сертификатов.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Банки могут выпускать сертификаты в разовом порядке и сериями. При этом сертификаты могут быть именными и на предъявителя. В зависимости от статуса вкладчика сертификаты делятся на депозитные и сберегательные.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Депозитные сертификаты выпускаются для продажи только юридическим лицам, а сберегательные - физическим. Оба вида сертификатов выпускаются в рублях. Сертификаты являются срочной ценной бумагой, т.е. в нем указывается срок обращения. Максимальный срок обращения депозитных сертификатов ограничен 1 годом, сберегательных - 3 годами.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Депозитные и сберегательные сертификаты - это вид доходной ценной бумаги, поэтому они не могут служить расчетным или платежным средством за проданные товары или оказанные услуги. Имеются также и ограничения по передаче их от одного владельца к другому. Депозитный сертификат может быть передан только от юридического лица к юридическому, а сберегательный - соответственно от физического лица к физическому. Бланк именного сертификата должен иметь место для передаточных надписей, или дополнительный лист.</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Выпускаемые банком сертификаты должны быть изготовлены типографским способом, отвечать требованиям, предъявляемым к подобного рода ценным бумагам.</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 практике российских банков широкое распространение получил выпуск собственных векселей, что позволяет им увеличить объем привлеченных средств, а его клиенты получают универсальное платежное средство. Банковский вексель удостоверяет, что юридическое или физическое лицо внесло в банк депозит в сумме и в валюте, указанной в векселе. Банк, в свою очередь, обязуется погасить такой вексель при предъявлении его к оплате в указанный на нем срок. При этом на вексель начисляется определенный процентный доход, если он продан по номинальной стоимости. При продаже векселя с дисконтом сумма дисконта является будущим доходом векселедержателя. Коммерческие банки выпускают только простые векселя в рублях и иностранной валюте.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Вексель может использоваться векселедержателем для расчетов по любым видам платежей, его передача не ограничивается статусом векселедержателя (физическое или юридическое лицо). Передача векселя осуществляется с помощью индоссамента на обратной стороне векселя либо листа, выпускаемого дополнительно к векселю и носящего название "алонж".</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 соответствии с Законом "О банках и банковской деятельности в РФ"[2] банки могут выпускать, покупать, продавать и хранить платежные документы и ценные бумаги (чеки, векселя), осуществлять иные операции с ними как в рублях, так и в иностранной валюте. В соответствии с ним валютный вексель является платежным документом в иностранной валюте, относится к валютным ценностям, а операции с валютными векселями рассматриваются в качестве валютных операций.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xml:space="preserve">К очевидным достоинствам валютного векселя как инструмента привлечения валютных средств относится возможность варьирования срока платежа и выбора способа платежа. В случае если вексель выписан на определенную сумму в иностранной валюте, например в долларах США, то платеж по нему может быть осуществлен как в этой валюте, так и в российских рублях. Для закрепления способа платежа непосредственно в валюте векселя в его тексте должна присутствовать фраза типа "векселедатель обязуется уплатить </w:t>
      </w:r>
      <w:r w:rsidRPr="00FE41DC">
        <w:rPr>
          <w:snapToGrid w:val="0"/>
          <w:sz w:val="28"/>
          <w:szCs w:val="28"/>
          <w:lang w:val="en-US"/>
        </w:rPr>
        <w:t>n</w:t>
      </w:r>
      <w:r w:rsidRPr="00FE41DC">
        <w:rPr>
          <w:snapToGrid w:val="0"/>
          <w:sz w:val="28"/>
          <w:szCs w:val="28"/>
        </w:rPr>
        <w:t xml:space="preserve"> долларов США". В ином случае векселедатель имеет право совершить оплату в местной валюте по официальному курсу доллара США на день совершения платежа.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Ликвидность векселя может быть обеспечена по крайней мере двумя способами: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досрочным погашением векселя в банке-эмитенте;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посредством учета векселя в одном из коммерческих банков.</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 настоящее время валютные векселя, выпускаемые коммерческими банками, в основном используются как средство привлечения валютных ресурсов.</w:t>
      </w:r>
    </w:p>
    <w:p w:rsidR="00752E34" w:rsidRPr="00FE41DC" w:rsidRDefault="00752E34" w:rsidP="00752E34">
      <w:pPr>
        <w:shd w:val="clear" w:color="000000" w:fill="auto"/>
        <w:spacing w:line="360" w:lineRule="auto"/>
        <w:ind w:firstLine="709"/>
        <w:jc w:val="both"/>
        <w:rPr>
          <w:snapToGrid w:val="0"/>
          <w:sz w:val="28"/>
          <w:szCs w:val="28"/>
        </w:rPr>
      </w:pPr>
      <w:r>
        <w:rPr>
          <w:sz w:val="28"/>
          <w:szCs w:val="32"/>
        </w:rPr>
        <w:br w:type="page"/>
      </w:r>
      <w:r w:rsidRPr="00FE41DC">
        <w:rPr>
          <w:snapToGrid w:val="0"/>
          <w:sz w:val="28"/>
          <w:szCs w:val="28"/>
        </w:rPr>
        <w:t>Дилерская деятельность кредитных организаций связана с биржевым рынком ценных бумаг РФ.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ценам.</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Брокерская деятельность осуществляется банками на биржевом и на внебиржевом рынках; на последнем — в значительно меньших объемах. Брокерской деятельностью является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По договору поручения (гл. 49 ГК РФ) брокер (поверенный) за вознаграждение совершает сделки купли-продажи ценных бумаг от имени и за счет клиента (доверителя). В рамках договора комиссии (гл. 51 ГК РФ) указанные сделки брокер (комиссионер) совершает за счет клиента (комитента), но от своего имени.</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На биржевом рынке ценных бумаг применяются, как правило, типовые формы договоров на брокерское обслуживание. На внебиржевом рынке соглашения в каждом случае носят индивидуальный характер.</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Брокер:</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хранит, использует и учитывает денежные средства клиентов, предназначенные для инвестирования в ценные бумаги или полученные от продажи ценных бумаг, если это предусмотрено условиями договора;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удостоверяется в способности клиентов — физических лиц своими действиями приобретать и осуществлять гражданские права, создавать для себя гражданские обязанности и исполнять их в полном объеме или частично;</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удостоверяется в правомочности руководителей клиентов — юридических лиц представлять интересы юридических лиц и осуществлять действия, влекущие юридические последствия для указанных юридических лиц;</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оказывает консультационные услуги по вопросам приобретения ценных бумаг и иных инвестиций;</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w:t>
      </w:r>
      <w:r>
        <w:rPr>
          <w:snapToGrid w:val="0"/>
          <w:sz w:val="28"/>
          <w:szCs w:val="28"/>
        </w:rPr>
        <w:t xml:space="preserve"> </w:t>
      </w:r>
      <w:r w:rsidRPr="00FE41DC">
        <w:rPr>
          <w:snapToGrid w:val="0"/>
          <w:sz w:val="28"/>
          <w:szCs w:val="28"/>
        </w:rPr>
        <w:t>выступает андеррайтером при размещении эмиссионных ценных бумаг;</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вправе запрашивать у клиентов сведения об их финансовом состоянии (платежеспособности) и целях инвестиций, которые могут помочь в правильном и своевременном исполнении обязательств перед клиентами.</w:t>
      </w:r>
    </w:p>
    <w:p w:rsidR="00752E34" w:rsidRPr="00FE41DC" w:rsidRDefault="00752E34" w:rsidP="00752E34">
      <w:pPr>
        <w:widowControl/>
        <w:shd w:val="clear" w:color="000000" w:fill="auto"/>
        <w:spacing w:line="360" w:lineRule="auto"/>
        <w:ind w:firstLine="709"/>
        <w:jc w:val="both"/>
        <w:rPr>
          <w:snapToGrid w:val="0"/>
          <w:sz w:val="28"/>
          <w:szCs w:val="28"/>
        </w:rPr>
      </w:pPr>
      <w:r w:rsidRPr="00FE41DC">
        <w:rPr>
          <w:snapToGrid w:val="0"/>
          <w:sz w:val="28"/>
          <w:szCs w:val="28"/>
        </w:rPr>
        <w:t>Для осуществления брокерской деятельности предусмотрены дополнительные правила: лично исполнять поручения клиентов за исключением случаев, предусмотренных законодательством о рынке ценных бумаг; исполнять обязательства по заключенным с клиентами договорам, действуя добросовестно и исключительно в интересах клиентов; исполнять поручения клиентов в порядке их поступления, действуя исключительно в интересах клиентов, и обеспечивать наилучшие условия исполнения поручений клиентов в соответствии с условиями поручений; при заключении договора на брокерское обслуживание письменно уведомить клиента о рисках, связанных с осуществлением операций на рынке ценных бумаг; доводить до сведения клиентов всю необходимую информацию, связанную с осуществлением поручений клиентов и исполнением обязательств по договору купли-продажи ценных бумаг; обеспечить сохранность и отдельный учет ценных бумаг клиентов; в сроки, устанавливаемые договором, представлять клиенту отчеты о ходе исполнения договора, выписки по движению денежных средств и ценных бумаг по учетным счетам клиента (включая данные о размерах комиссии и иных вознаграждениях брокера) и иные документы, связанные с исполнением договора с клиентом и поручений клиента; в установленные договором с клиентом сроки принимать меры к устранению возникших с клиентом разногласий при представлении клиенту отчетов о ходе исполнения договора.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Все сделки, заключаемые брокером, в интересах клиента совершаются только на основании его поручения. Поручения клиентов могут быть оформлены различным образом: в виде заявки установленной формы, сообщения в электронной форме, факсимильного документа и др. В отдельных случаях поручением (поручениями) клиента могут являться условия договора на брокерское обслуживание. Конкретный порядок предоставления клиентом поручений указывается в заключаемом договоре или в дополнительном соглашении к нему. В большинстве случаев используются письменные заявки. На внебиржевом рынке зачастую в качестве поручений клиента рассматриваются условия договора с брокером.</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После совершения сделки брокер составляет распорядительную записку, содержащую сведения о параметрах совершенной сделки. На основании распорядительной записки сведения о сделке заносятся в регистры внутреннего учета.</w:t>
      </w:r>
    </w:p>
    <w:p w:rsidR="00752E34" w:rsidRPr="00FE41DC" w:rsidRDefault="00752E34" w:rsidP="00752E34">
      <w:pPr>
        <w:shd w:val="clear" w:color="000000" w:fill="auto"/>
        <w:spacing w:line="360" w:lineRule="auto"/>
        <w:ind w:firstLine="709"/>
        <w:jc w:val="both"/>
        <w:rPr>
          <w:snapToGrid w:val="0"/>
          <w:sz w:val="28"/>
          <w:szCs w:val="28"/>
        </w:rPr>
      </w:pPr>
      <w:r w:rsidRPr="00FE41DC">
        <w:rPr>
          <w:snapToGrid w:val="0"/>
          <w:sz w:val="28"/>
          <w:szCs w:val="28"/>
        </w:rPr>
        <w:t xml:space="preserve">Брокеры обязаны регулярно предоставлять клиентам отчетность: по сделкам и операциям с ценными бумагами, совершенным в интересах клиента в течение дня; по срочным сделкам и операциям, с ними связанным, совершенным в интересах клиента в течение дня; о состоянии счетов клиента по сделкам и операциям с ценными бумагами клиента за месяц (квартал); о состоянии счетов клиента по срочным сделкам и операциям, с ними связанным, за месяц (квартал). </w:t>
      </w:r>
    </w:p>
    <w:p w:rsidR="00752E34" w:rsidRDefault="00752E34" w:rsidP="00752E34">
      <w:bookmarkStart w:id="0" w:name="_GoBack"/>
      <w:bookmarkEnd w:id="0"/>
    </w:p>
    <w:sectPr w:rsidR="00752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E34"/>
    <w:rsid w:val="0001533D"/>
    <w:rsid w:val="006626BF"/>
    <w:rsid w:val="00752E34"/>
    <w:rsid w:val="007B6765"/>
    <w:rsid w:val="009227A9"/>
    <w:rsid w:val="00CC2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D7C9E003-36E5-4549-8D87-26EA1743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E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52E34"/>
    <w:pPr>
      <w:autoSpaceDE w:val="0"/>
      <w:autoSpaceDN w:val="0"/>
      <w:adjustRightInd w:val="0"/>
      <w:ind w:firstLine="720"/>
    </w:pPr>
    <w:rPr>
      <w:rFonts w:ascii="Arial" w:hAnsi="Arial" w:cs="Arial"/>
    </w:rPr>
  </w:style>
  <w:style w:type="paragraph" w:styleId="a3">
    <w:name w:val="Normal (Web)"/>
    <w:basedOn w:val="a"/>
    <w:rsid w:val="00752E34"/>
    <w:pPr>
      <w:widowControl/>
      <w:spacing w:before="100" w:beforeAutospacing="1" w:after="100" w:afterAutospacing="1"/>
      <w:ind w:firstLine="356"/>
      <w:jc w:val="both"/>
    </w:pPr>
    <w:rPr>
      <w:color w:val="000000"/>
      <w:sz w:val="24"/>
      <w:szCs w:val="24"/>
    </w:rPr>
  </w:style>
  <w:style w:type="paragraph" w:styleId="a4">
    <w:name w:val="header"/>
    <w:basedOn w:val="a"/>
    <w:link w:val="a5"/>
    <w:rsid w:val="00752E34"/>
    <w:pPr>
      <w:widowControl/>
      <w:tabs>
        <w:tab w:val="center" w:pos="4677"/>
        <w:tab w:val="right" w:pos="9355"/>
      </w:tabs>
    </w:pPr>
  </w:style>
  <w:style w:type="character" w:customStyle="1" w:styleId="a5">
    <w:name w:val="Верхній колонтитул Знак"/>
    <w:basedOn w:val="a0"/>
    <w:link w:val="a4"/>
    <w:semiHidden/>
    <w:locked/>
    <w:rsid w:val="00752E34"/>
    <w:rPr>
      <w:lang w:val="ru-RU" w:eastAsia="ru-RU" w:bidi="ar-SA"/>
    </w:rPr>
  </w:style>
  <w:style w:type="paragraph" w:styleId="a6">
    <w:name w:val="Body Text Indent"/>
    <w:basedOn w:val="a"/>
    <w:link w:val="a7"/>
    <w:rsid w:val="00752E34"/>
    <w:pPr>
      <w:widowControl/>
      <w:spacing w:line="360" w:lineRule="auto"/>
      <w:ind w:firstLine="709"/>
      <w:jc w:val="both"/>
    </w:pPr>
    <w:rPr>
      <w:sz w:val="28"/>
    </w:rPr>
  </w:style>
  <w:style w:type="character" w:customStyle="1" w:styleId="a7">
    <w:name w:val="Основний текст з відступом Знак"/>
    <w:basedOn w:val="a0"/>
    <w:link w:val="a6"/>
    <w:semiHidden/>
    <w:locked/>
    <w:rsid w:val="00752E34"/>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7920</Words>
  <Characters>45145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Irina</cp:lastModifiedBy>
  <cp:revision>2</cp:revision>
  <dcterms:created xsi:type="dcterms:W3CDTF">2014-08-19T16:40:00Z</dcterms:created>
  <dcterms:modified xsi:type="dcterms:W3CDTF">2014-08-19T16:40:00Z</dcterms:modified>
</cp:coreProperties>
</file>