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78" w:rsidRDefault="00E83F78" w:rsidP="00AE41B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101A6A" w:rsidRPr="00AE41BA" w:rsidRDefault="00101A6A" w:rsidP="00AE41B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AE41BA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Основные положения системного подхода И. В. Блауберга</w:t>
      </w:r>
    </w:p>
    <w:p w:rsidR="00101A6A" w:rsidRPr="00AE41BA" w:rsidRDefault="00101A6A" w:rsidP="00AE41B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Опираясь на сочинения </w:t>
      </w:r>
      <w:hyperlink r:id="rId4" w:tooltip="Аристотель" w:history="1">
        <w:r w:rsidRPr="00AE41B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Аристотеля</w:t>
        </w:r>
      </w:hyperlink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5" w:tooltip="Шеллинг" w:history="1">
        <w:r w:rsidRPr="00AE41B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Шеллинга</w:t>
        </w:r>
      </w:hyperlink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6" w:tooltip="Гегель" w:history="1">
        <w:r w:rsidRPr="00AE41B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Гегеля</w:t>
        </w:r>
      </w:hyperlink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других классиков философии, И. В. Блауберг сформулировал следу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ющи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главные </w:t>
      </w:r>
      <w:hyperlink r:id="rId7" w:tooltip="Антиномия" w:history="1">
        <w:r w:rsidRPr="00AE41B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антиномии</w:t>
        </w:r>
      </w:hyperlink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целостности: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  <w:t>1) Положение: целое есть сумма частей. Противоположение: целое больше суммы частей.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  <w:t>2) Части предшествуют целому. Целое предшествует частям.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  <w:t>3) Целое причинно обусловлено частями. Целостный подход противоположен причинному и исключает его.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  <w:t>4) Целое познается через знание частей. Части, как продукт расчленения целого, могут познаваться лишь на основе знания о целом.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  <w:t>Заслуга И. В. Блабурга состоит не только в том,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он четко сформулировал эти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антиномии и в ряде своих работ провел их детальный анализ — он аргументированно показал, как возможно преодолеть эти антиномии.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  <w:t>Излагая основные положения системного подхода И. В. Блауберга, нельзя не привести разработанные данным ученым конкретные определения понятий целого, целостности, системы и установление взаимоотношений между ними. Итак, по И. В. Блаубергу: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hyperlink r:id="rId8" w:tooltip="Целое" w:history="1">
        <w:r w:rsidRPr="00AE41BA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  <w:lang w:eastAsia="ru-RU"/>
          </w:rPr>
          <w:t>Целое</w:t>
        </w:r>
      </w:hyperlink>
      <w:r w:rsidRPr="00AE41B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(whole, das Ganze, le tout)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— конкретный объект, обладающий интегративными («эмерджентными») свойствами. С </w:t>
      </w:r>
      <w:hyperlink r:id="rId9" w:tooltip="Гносеология" w:history="1">
        <w:r w:rsidRPr="00AE41B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гносеологической</w:t>
        </w:r>
      </w:hyperlink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точки зрения интегративность выступает как результирующая обо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>щающей функции понятия целостности, связанной с уже познанными особенностями сложноорганизованных объектов.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hyperlink r:id="rId10" w:tooltip="Целостность" w:history="1">
        <w:r w:rsidRPr="00AE41BA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  <w:lang w:eastAsia="ru-RU"/>
          </w:rPr>
          <w:t>Целостность</w:t>
        </w:r>
      </w:hyperlink>
      <w:r w:rsidRPr="00AE41B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(wholeness, die Ganzeit, la integrite)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— представления о полноте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хвата явления и вместе с тем о сущности </w:t>
      </w:r>
      <w:hyperlink r:id="rId11" w:tooltip="Интеграция" w:history="1">
        <w:r w:rsidRPr="00AE41B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интеграции</w:t>
        </w:r>
      </w:hyperlink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>, процессах новообразования, структурных уровнях, иерархической организации процессов и явления и т. п., существующие в каждый данный момент в философском и научном познании. Это — фон, на котором развертывается познание целостных объектов, ориентир познавательной деятельности. Эту функцию понятие целостности выполняет в силу того, что оно имеет своеобразную двуслойную структуру, включая в себя не только актуальное, но и потенциальное знание.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hyperlink r:id="rId12" w:tooltip="Система" w:history="1">
        <w:r w:rsidRPr="00AE41BA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  <w:lang w:eastAsia="ru-RU"/>
          </w:rPr>
          <w:t>Система</w:t>
        </w:r>
      </w:hyperlink>
      <w:r w:rsidRPr="00AE41B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(system, das System, systeme)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— понятие, которое служит для воспроизведения в </w:t>
      </w:r>
      <w:hyperlink r:id="rId13" w:tooltip="Знание" w:history="1">
        <w:r w:rsidRPr="00AE41B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знании</w:t>
        </w:r>
      </w:hyperlink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целостного объекта с помощью специфических принципов, определенных понятийных и формальных средств; как правило, это воспроизведение осуществляется с определенной практической направленностью (например, в связи с задачами управления). Следует иметь в виду, что изображение целостного объекта (целого) в виде системы не является единственно возможной формой его отображения в знании, поскольку могут существовать, скажем, структурное, функциональное, структурно-функциональное, поэлементное и другие его изображения.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Используя эти определения, утверждает И. В. Блауберг, легко установить взаимоотношения целого к целостности и системы к целостности. Целое — это конкретный </w:t>
      </w:r>
      <w:hyperlink r:id="rId14" w:tooltip="Объект" w:history="1">
        <w:r w:rsidRPr="00AE41B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объект</w:t>
        </w:r>
      </w:hyperlink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(класс объектов), в котором на основе применения соответствующих исследовательских процедур обнаружено наличие интегративных свойств. Таким образом, понятие целого формулируется как результат применения понятия целостности и связано с осуществлением познавательной деятельности, а не является изначальной характеристикой объекта самого по себе. Поэтому столь важным этапом в развитии любой науки становится выработка в ней адекватных представлений об изучаемом объекте как целом.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  <w:t>Что же касается взамоотношения системы и целостности, то, по мнению И. В. Блауберга, понятие системы всегда описывает целое и неразрывно с ним связано и тем самым связано и с понятием целостности. Целостность же не исчерпывается системным описанием в силу неформализуемости этого понятия.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  <w:t>Важно положение о том, что понятия целого, целостности и системы в реальном процессе научного познания не стоят рядом друг с другом, а образуют определенную иерархию, включающую в себя, помимо названных, и ряд других связанных с ними понятий. Эта целостная, иерархически организованная понятийная система представляет собой подсистему научного знания в целом, взятого в определенном срезе — под углом зрения интеграции, синтеза знаний. При этом понятие целостности выступает как интегральная характеристика синтетических тенденций научного познания.</w:t>
      </w:r>
      <w:r w:rsidRPr="00AE41BA">
        <w:rPr>
          <w:rFonts w:ascii="Times New Roman" w:hAnsi="Times New Roman"/>
          <w:color w:val="000000"/>
          <w:sz w:val="24"/>
          <w:szCs w:val="24"/>
          <w:lang w:eastAsia="ru-RU"/>
        </w:rPr>
        <w:br/>
        <w:t>Приведенные определения понятий целого, целостности и системы по праву были признаны классическими в системной литературе, и они лежат в основе многих последующих разработок этой проблематики.</w:t>
      </w:r>
    </w:p>
    <w:p w:rsidR="00101A6A" w:rsidRPr="00AE41BA" w:rsidRDefault="00101A6A">
      <w:pPr>
        <w:rPr>
          <w:color w:val="000000"/>
        </w:rPr>
      </w:pPr>
      <w:bookmarkStart w:id="0" w:name=".D0.98.D1.81.D0.BF.D0.BE.D0.BB.D1.8C.D0."/>
      <w:bookmarkStart w:id="1" w:name="_GoBack"/>
      <w:bookmarkEnd w:id="0"/>
      <w:bookmarkEnd w:id="1"/>
    </w:p>
    <w:sectPr w:rsidR="00101A6A" w:rsidRPr="00AE41BA" w:rsidSect="008F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1BA"/>
    <w:rsid w:val="00101A6A"/>
    <w:rsid w:val="00697422"/>
    <w:rsid w:val="008F1F5B"/>
    <w:rsid w:val="00A868EF"/>
    <w:rsid w:val="00AE41BA"/>
    <w:rsid w:val="00C90BB3"/>
    <w:rsid w:val="00E83F78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F3A6C-079A-47A6-B574-1A9F895A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AE41BA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E41BA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mw-headline">
    <w:name w:val="mw-headline"/>
    <w:basedOn w:val="a0"/>
    <w:rsid w:val="00AE41BA"/>
    <w:rPr>
      <w:rFonts w:cs="Times New Roman"/>
    </w:rPr>
  </w:style>
  <w:style w:type="paragraph" w:styleId="a3">
    <w:name w:val="Normal (Web)"/>
    <w:basedOn w:val="a"/>
    <w:semiHidden/>
    <w:rsid w:val="00AE41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AE41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1187176" TargetMode="External"/><Relationship Id="rId13" Type="http://schemas.openxmlformats.org/officeDocument/2006/relationships/hyperlink" Target="http://dic.academic.ru/dic.nsf/ruwiki/111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ruwiki/117791" TargetMode="External"/><Relationship Id="rId12" Type="http://schemas.openxmlformats.org/officeDocument/2006/relationships/hyperlink" Target="http://dic.academic.ru/dic.nsf/ruwiki/601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862936" TargetMode="External"/><Relationship Id="rId11" Type="http://schemas.openxmlformats.org/officeDocument/2006/relationships/hyperlink" Target="http://dic.academic.ru/dic.nsf/ruwiki/41504" TargetMode="External"/><Relationship Id="rId5" Type="http://schemas.openxmlformats.org/officeDocument/2006/relationships/hyperlink" Target="http://dic.academic.ru/dic.nsf/ruwiki/11995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ic.academic.ru/dic.nsf/ruwiki/1187179" TargetMode="External"/><Relationship Id="rId4" Type="http://schemas.openxmlformats.org/officeDocument/2006/relationships/hyperlink" Target="http://dic.academic.ru/dic.nsf/ruwiki/767" TargetMode="External"/><Relationship Id="rId9" Type="http://schemas.openxmlformats.org/officeDocument/2006/relationships/hyperlink" Target="http://dic.academic.ru/dic.nsf/ruwiki/872024" TargetMode="External"/><Relationship Id="rId14" Type="http://schemas.openxmlformats.org/officeDocument/2006/relationships/hyperlink" Target="http://dic.academic.ru/dic.nsf/ruwiki/73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положения системного подхода И</vt:lpstr>
    </vt:vector>
  </TitlesOfParts>
  <Company/>
  <LinksUpToDate>false</LinksUpToDate>
  <CharactersWithSpaces>4991</CharactersWithSpaces>
  <SharedDoc>false</SharedDoc>
  <HLinks>
    <vt:vector size="66" baseType="variant">
      <vt:variant>
        <vt:i4>4128882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http://dic.academic.ru/dic.nsf/ruwiki/73197</vt:lpwstr>
      </vt:variant>
      <vt:variant>
        <vt:lpwstr/>
      </vt:variant>
      <vt:variant>
        <vt:i4>3145844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http://dic.academic.ru/dic.nsf/ruwiki/11143</vt:lpwstr>
      </vt:variant>
      <vt:variant>
        <vt:lpwstr/>
      </vt:variant>
      <vt:variant>
        <vt:i4>3211379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http://dic.academic.ru/dic.nsf/ruwiki/6014</vt:lpwstr>
      </vt:variant>
      <vt:variant>
        <vt:lpwstr/>
      </vt:variant>
      <vt:variant>
        <vt:i4>3407989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http://dic.academic.ru/dic.nsf/ruwiki/41504</vt:lpwstr>
      </vt:variant>
      <vt:variant>
        <vt:lpwstr/>
      </vt:variant>
      <vt:variant>
        <vt:i4>262220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http://dic.academic.ru/dic.nsf/ruwiki/1187179</vt:lpwstr>
      </vt:variant>
      <vt:variant>
        <vt:lpwstr/>
      </vt:variant>
      <vt:variant>
        <vt:i4>393292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http://dic.academic.ru/dic.nsf/ruwiki/872024</vt:lpwstr>
      </vt:variant>
      <vt:variant>
        <vt:lpwstr/>
      </vt:variant>
      <vt:variant>
        <vt:i4>262220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http://dic.academic.ru/dic.nsf/ruwiki/1187176</vt:lpwstr>
      </vt:variant>
      <vt:variant>
        <vt:lpwstr/>
      </vt:variant>
      <vt:variant>
        <vt:i4>131147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http://dic.academic.ru/dic.nsf/ruwiki/117791</vt:lpwstr>
      </vt:variant>
      <vt:variant>
        <vt:lpwstr/>
      </vt:variant>
      <vt:variant>
        <vt:i4>786509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http://dic.academic.ru/dic.nsf/ruwiki/862936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http://dic.academic.ru/dic.nsf/ruwiki/1199502</vt:lpwstr>
      </vt:variant>
      <vt:variant>
        <vt:lpwstr/>
      </vt:variant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http://dic.academic.ru/dic.nsf/ruwiki/767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 системного подхода И</dc:title>
  <dc:subject/>
  <dc:creator>Катя</dc:creator>
  <cp:keywords/>
  <dc:description/>
  <cp:lastModifiedBy>admin</cp:lastModifiedBy>
  <cp:revision>2</cp:revision>
  <dcterms:created xsi:type="dcterms:W3CDTF">2014-04-27T05:04:00Z</dcterms:created>
  <dcterms:modified xsi:type="dcterms:W3CDTF">2014-04-27T05:04:00Z</dcterms:modified>
</cp:coreProperties>
</file>