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38" w:rsidRDefault="00D07638" w:rsidP="009F2A1A">
      <w:pPr>
        <w:spacing w:line="240" w:lineRule="auto"/>
        <w:jc w:val="both"/>
        <w:rPr>
          <w:rFonts w:ascii="Times New Roman" w:hAnsi="Times New Roman"/>
          <w:b/>
          <w:sz w:val="28"/>
          <w:szCs w:val="28"/>
          <w:lang w:val="en-US"/>
        </w:rPr>
      </w:pPr>
    </w:p>
    <w:p w:rsidR="009F2A1A" w:rsidRPr="00935D56" w:rsidRDefault="009F2A1A" w:rsidP="009F2A1A">
      <w:pPr>
        <w:spacing w:line="240" w:lineRule="auto"/>
        <w:jc w:val="both"/>
        <w:rPr>
          <w:rFonts w:ascii="Times New Roman" w:hAnsi="Times New Roman"/>
          <w:b/>
          <w:sz w:val="28"/>
          <w:szCs w:val="28"/>
        </w:rPr>
      </w:pPr>
      <w:r>
        <w:rPr>
          <w:rFonts w:ascii="Times New Roman" w:hAnsi="Times New Roman"/>
          <w:b/>
          <w:sz w:val="28"/>
          <w:szCs w:val="28"/>
          <w:lang w:val="en-US"/>
        </w:rPr>
        <w:t>C</w:t>
      </w:r>
      <w:r>
        <w:rPr>
          <w:rFonts w:ascii="Times New Roman" w:hAnsi="Times New Roman"/>
          <w:b/>
          <w:sz w:val="28"/>
          <w:szCs w:val="28"/>
        </w:rPr>
        <w:t>ЛАБОРАЗВИТЫЕ СТРАНЫ,,</w:t>
      </w:r>
    </w:p>
    <w:p w:rsidR="009F2A1A" w:rsidRPr="00315254" w:rsidRDefault="009F2A1A" w:rsidP="009F2A1A">
      <w:pPr>
        <w:spacing w:line="240" w:lineRule="auto"/>
        <w:jc w:val="both"/>
        <w:rPr>
          <w:rFonts w:ascii="Times New Roman" w:hAnsi="Times New Roman"/>
          <w:b/>
          <w:sz w:val="28"/>
          <w:szCs w:val="28"/>
        </w:rPr>
      </w:pPr>
      <w:r w:rsidRPr="00315254">
        <w:rPr>
          <w:rFonts w:ascii="Times New Roman" w:hAnsi="Times New Roman"/>
          <w:b/>
          <w:sz w:val="28"/>
          <w:szCs w:val="28"/>
        </w:rPr>
        <w:t>Государство Афганистан</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Афганистан - пустынная, преимущecтвенно, горная страна c субтропическим засушливым континентальным климатом. Расположена на стыке Иранского нагорья c горными системами Центральной Азии (Гиндукуш c высшей точкой страны c Тиргаран, 6843 м и Пароламиз). На юге плоскогорья и холмистые равнины, на севере предгорная лёссовая равнина. Воды рек, большая часть которых принадлежит бecстoчной области Евразии (Герируд, Гильменд, Амударья, Мургаб и др.), активно разбираются на орошение.</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Общая площадь: 645,81 тыс. км2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Население: 28,57 млн. чел.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Столица: Кабул - 3,1 млн. чел.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Государственное устройство: исламское государство</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Глава государства: президент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Законодательный орган: двухпалaтнoe Национальное собрание</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Административно-территориальное деление: 34 провинции (велаята)</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Официальные языки: дари, пушту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Денежная единица: афгани</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Демография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Средняя плотность населения: 44,2 чел./км2</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Городское население: 23,3 %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Возрастной состав населения: младше 15 лет - 44 %; 15-65 лет - 53,6 %;старше 65 лет - 2,4 %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Естественный прирост населения: 24 %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Продолжительность жизни: мужчин - 43 года; женщин - 43,5 года</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Экономика</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Аграрная страна c неразвитой промышленностью. B результате непрекращающихся почти 20 лет войн экономика страны находится в упадке. Международная помощь Афганистану, направленная на восстановление разрушенного хозяйства, позволила добиться определенных улучшений за последние 2 года</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ВВП: 5,25 млрд. долл.</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ВВП на душу населения: 184 долл.</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ВВП на душу населения по ППС: 800 долл.</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Занятость трудоспособного населения: сельское хозяйство - 80 %; промышленность - 10 %; сфера услуг – 10</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Состав ВВП: сельское хозяйство - 38 %; промышленность - 24 %; сфера услуг - 38</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Промышленность. Добываются природный газ, каменный уголь, драгоценные и полудрагоценные камни. Действует гидроэлектростанция.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На мелких предприятиях осуществляется производство текстиля, мебели, мыла, обуви, удобрений, цемента. Сохранилось кустарное производство шерстяной пряжи и шерстяных ковров, пользующихся известностью.</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Сельское хозяйство</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Главная отрасль - овцеводство, преимущественно каракульской породы (по выходу каракуля -ведущее место в мире), также разводят крупный рогатый скот, коз. B долинах на орошаемых землях выращивают пшеницу, рис, кукурузу, ячмень, сахарный тростник, хлопчатник. Развиты садоводство, виноградарство. Последние десятилетия ведущей сельскохозяйственной культурой стал опийный мак. Афганистан превратился в крупнейшего производителя и поставщика опиума и героина (3/4 мирового объема).</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Транспорт</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Длина железных дорог 10 км, автодорог - 21 тыс. км. Амударья судоходна. Широко применяется гужевой и вьючный транспорт.</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Внешняя торговля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Экспортируются: опиум, фрукты, орехи, хлопок, шерсть, ковры ручной работы, каракулевые шкурки, драгоценные и полудрагоценные камни. Импортируются: нефтепродукты, продовольствие, оборудование.</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Главные партнеры: Пакистан, Индия, США, Германия, Туркменистан, Россия.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b/>
          <w:sz w:val="28"/>
          <w:szCs w:val="28"/>
        </w:rPr>
        <w:t>Непал -</w:t>
      </w:r>
      <w:r w:rsidRPr="00315254">
        <w:rPr>
          <w:rFonts w:ascii="Times New Roman" w:hAnsi="Times New Roman"/>
          <w:sz w:val="28"/>
          <w:szCs w:val="28"/>
        </w:rPr>
        <w:t xml:space="preserve"> государство в Южной Азии, не имеющее выхода к морю. От узкой полосы Индо-Гангской равнины на юге, c субэкваториальным муссонным, очень влажным климатом и тропическими, часто заболоченными, лесами, поверхность поднимается к северным границам до высот более 8000 м c вечными снегами и ледниками. На границе c Китаем расположена г. Джомолунгма (Эверест), 8848 м - высочайшая вершина мира. Наиболее освоены густонаселенные межгорные котловины c субтропическим климатом в средней полосе страны.</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Общая площадь: 140,8 тыс. км2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Население: 26,6 млн. чел.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Столица: Катманду 822,9 тыс. чел.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Государственное устройство: конституционная монархия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Глава государства: король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Законодательный орган: двухпалатный парламент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Административно-территориальное деление: 14 зон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Официальный язык: непали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Денежная единица: непальская рупия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Демография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Средняя плотность населения: 188,9 чел./км2</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Городское население: 15 %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Возрастной состав населения: младше 15 лет - 41 %; 15-65 лет - 55,3 %;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старше 65 лет - 3,7 %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Естественный прирост населения: 23,4 %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Продолжительность жизни: мужчин - 60,1 года; женщин - 59,6 года</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Экономика</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Аграрная страна c низким уровнем развития хозяйства и сохранившимися феодальными и полуфеодальными отношениями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ВВП: 6,5 млрд. долл.</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ВВП на душу населения: 245 долл.</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ВВП на душу населения по ППС: 1500 долл.</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Занятость трудоспособного населения: сельское хозяйство - 81 %; промышленность - 3 %; сфера услуг - 16 %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Состав ВВП: сельское хозяйство - 40,3 %; промышленность - 22,4 %; сфера услуг - 37,3 %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Промышленность. добывающая промышленность развита крайне слабо по причине плохой разведанности природных ресурсов и отсутствия средств на их добычу. Кустарным способом добываются немного руд черных и цветных металлов, уголь, стройматериалы. Электроэнергия производится на ГЭС, имеет экспортное значение, эта отрасль продолжает развиваться. Обрабатывающая промышленность представлена, в первую очередь, небольшими предприятиями по первичной переработке сельскохозяйственной продукции, a также производством тканей, одежды, ковров. Развиты ремесла: изготовление ковров, резьба по дереву, бpoнзовое литье, изготовление боевых ножей кхикури.</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Сельское хозяйство</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У подножия гор выpaщивaют сахарный тростник, джут, чай, пряности. В среднем поясе гор выращивают рис, кукурузу, пшеницу, ячмень, картофель. Разводит буйволов, яков (в высокогорьях), овец, коз. В лесах собирают дикоpacтyщие плоды и растения.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 xml:space="preserve">Транспорт </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Железных дорог 59 км, автомобильных - 13,2 тыс. км. Широко используется гужевой транспорт.</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Внешняя торговля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На экспорт идут ковры, ткани, одежда, кожи, живой Скот, изделия художественных промыслов. Импортируются различные промышленные товары, нефтепродукты, yдoбpeния, золото. Основные внепшеторговые партнеры: Индия, США, Китай, Германия.</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Туризм</w:t>
      </w:r>
    </w:p>
    <w:p w:rsidR="009F2A1A" w:rsidRPr="00315254" w:rsidRDefault="009F2A1A" w:rsidP="009F2A1A">
      <w:pPr>
        <w:spacing w:line="240" w:lineRule="auto"/>
        <w:jc w:val="both"/>
        <w:rPr>
          <w:rFonts w:ascii="Times New Roman" w:hAnsi="Times New Roman"/>
          <w:sz w:val="28"/>
          <w:szCs w:val="28"/>
        </w:rPr>
      </w:pPr>
      <w:r w:rsidRPr="00315254">
        <w:rPr>
          <w:rFonts w:ascii="Times New Roman" w:hAnsi="Times New Roman"/>
          <w:sz w:val="28"/>
          <w:szCs w:val="28"/>
        </w:rPr>
        <w:t>Страну посещают 300-400 тыс. туристов в год, которых привлекают высокогорный альпинизм, гималайская природа и архитектурные памятники. Это важная и успешно развивающаяся отрасль экономики страны.</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b/>
          <w:sz w:val="28"/>
          <w:szCs w:val="28"/>
        </w:rPr>
        <w:t xml:space="preserve">Йемен - </w:t>
      </w:r>
      <w:r w:rsidRPr="00935D56">
        <w:rPr>
          <w:rFonts w:ascii="Times New Roman" w:hAnsi="Times New Roman"/>
          <w:sz w:val="28"/>
          <w:szCs w:val="28"/>
        </w:rPr>
        <w:t>расположен на юге Аравийского полуострова и имеет широкий выход к морям Индийского океана. Горы, наиболее высокие в западной части (до 3760 м - г. Эи-Наби-Шуайб), резко обрываются к прибрежной песчаной пустынной низменности и плавно снижаются на восток и на север, к пустыне Руб-эль-К</w:t>
      </w:r>
      <w:r w:rsidRPr="00AD15C6">
        <w:rPr>
          <w:rFonts w:ascii="Times New Roman" w:hAnsi="Times New Roman"/>
          <w:sz w:val="28"/>
          <w:szCs w:val="28"/>
          <w:lang w:val="en-US"/>
        </w:rPr>
        <w:t>a</w:t>
      </w:r>
      <w:r w:rsidRPr="00935D56">
        <w:rPr>
          <w:rFonts w:ascii="Times New Roman" w:hAnsi="Times New Roman"/>
          <w:sz w:val="28"/>
          <w:szCs w:val="28"/>
        </w:rPr>
        <w:t>ли. Климат т</w:t>
      </w:r>
      <w:r w:rsidRPr="00AD15C6">
        <w:rPr>
          <w:rFonts w:ascii="Times New Roman" w:hAnsi="Times New Roman"/>
          <w:sz w:val="28"/>
          <w:szCs w:val="28"/>
          <w:lang w:val="en-US"/>
        </w:rPr>
        <w:t>po</w:t>
      </w:r>
      <w:r w:rsidRPr="00935D56">
        <w:rPr>
          <w:rFonts w:ascii="Times New Roman" w:hAnsi="Times New Roman"/>
          <w:sz w:val="28"/>
          <w:szCs w:val="28"/>
        </w:rPr>
        <w:t xml:space="preserve">пический, жаркий и сухой на равнинах, более влажный и прохладный в горах. Реки большую часть года пересыхают. На равнинах пустынные ландшафты </w:t>
      </w:r>
      <w:r w:rsidRPr="00AD15C6">
        <w:rPr>
          <w:rFonts w:ascii="Times New Roman" w:hAnsi="Times New Roman"/>
          <w:sz w:val="28"/>
          <w:szCs w:val="28"/>
          <w:lang w:val="en-US"/>
        </w:rPr>
        <w:t>c</w:t>
      </w:r>
      <w:r w:rsidRPr="00935D56">
        <w:rPr>
          <w:rFonts w:ascii="Times New Roman" w:hAnsi="Times New Roman"/>
          <w:sz w:val="28"/>
          <w:szCs w:val="28"/>
        </w:rPr>
        <w:t xml:space="preserve"> оазисами из финиковой и кокосовой п</w:t>
      </w:r>
      <w:r w:rsidRPr="00AD15C6">
        <w:rPr>
          <w:rFonts w:ascii="Times New Roman" w:hAnsi="Times New Roman"/>
          <w:sz w:val="28"/>
          <w:szCs w:val="28"/>
          <w:lang w:val="en-US"/>
        </w:rPr>
        <w:t>a</w:t>
      </w:r>
      <w:r w:rsidRPr="00935D56">
        <w:rPr>
          <w:rFonts w:ascii="Times New Roman" w:hAnsi="Times New Roman"/>
          <w:sz w:val="28"/>
          <w:szCs w:val="28"/>
        </w:rPr>
        <w:t>льм, в горах - саванны и тропические кустарники.</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Общая площадь: 528 тыс. км2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Население: 20,3 млн. чел.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Столица: Сана - 2,4 млн. чел.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Государственное устройство: республика</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Глава государства: президент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Законодательный орган: Совет депутатов</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Административно-территориальное деление: 19 губернаторств (мухафаз)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Официальный язык: арабский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Денежная единица: йеменский ри</w:t>
      </w:r>
      <w:r w:rsidRPr="00AD15C6">
        <w:rPr>
          <w:rFonts w:ascii="Times New Roman" w:hAnsi="Times New Roman"/>
          <w:sz w:val="28"/>
          <w:szCs w:val="28"/>
          <w:lang w:val="en-US"/>
        </w:rPr>
        <w:t>a</w:t>
      </w:r>
      <w:r w:rsidRPr="00935D56">
        <w:rPr>
          <w:rFonts w:ascii="Times New Roman" w:hAnsi="Times New Roman"/>
          <w:sz w:val="28"/>
          <w:szCs w:val="28"/>
        </w:rPr>
        <w:t>л</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Демография</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Средняя плотность населения: 38,4 чел./км2</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Городское население: 25,6 %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Возрастной состав населения: младше 15 лет - 46,4 %; 15-65 лет - 51 %;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старше 65 лет - 2,6 %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Естественный прирост населения: 33,6 %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Продолжительность жизни: мужчин - 60,7 года; женщин - 64 года</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Экономика</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Аграрная страна </w:t>
      </w:r>
      <w:r w:rsidRPr="00AD15C6">
        <w:rPr>
          <w:rFonts w:ascii="Times New Roman" w:hAnsi="Times New Roman"/>
          <w:sz w:val="28"/>
          <w:szCs w:val="28"/>
          <w:lang w:val="en-US"/>
        </w:rPr>
        <w:t>c</w:t>
      </w:r>
      <w:r w:rsidRPr="00935D56">
        <w:rPr>
          <w:rFonts w:ascii="Times New Roman" w:hAnsi="Times New Roman"/>
          <w:sz w:val="28"/>
          <w:szCs w:val="28"/>
        </w:rPr>
        <w:t xml:space="preserve"> низким уровнем развития экономики</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ВВП: 13,08 млрд. долл.</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ВВП на душу населения: 640 долл.</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ВВП на душу населения по ППС: 800 доля.</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Занятость трудоспособного населения: сельское хозяйство - 63 %; промышленность - 11 %; сфера услуг - 26 %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Состав ВВП: сельское хозяйство - 15,4 %; промышленность - 46,2 %; сфера услуг - 38,4 %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Промышленность. В последнее время активно развивается нефтедобыча, которая становится основой экономики страны. Добываются также газ, поваренная соль. </w:t>
      </w:r>
      <w:r w:rsidRPr="00AD15C6">
        <w:rPr>
          <w:rFonts w:ascii="Times New Roman" w:hAnsi="Times New Roman"/>
          <w:sz w:val="28"/>
          <w:szCs w:val="28"/>
          <w:lang w:val="en-US"/>
        </w:rPr>
        <w:t>II</w:t>
      </w:r>
      <w:r w:rsidRPr="00935D56">
        <w:rPr>
          <w:rFonts w:ascii="Times New Roman" w:hAnsi="Times New Roman"/>
          <w:sz w:val="28"/>
          <w:szCs w:val="28"/>
        </w:rPr>
        <w:t xml:space="preserve">остроены предприятия по нефтепереработке. Электроэнергия вырабатывается на ТЭС, использующих нефтепродукты. По производству электроэнергии на душу населения страна занимает одно из последних мест в мире. Развивается строительная (производство цемента), легкая (производство хлопковых тканей, изделий из кожи) и пищевая промышленность. Заметная роль в хозяйстве принадлежит кустарно-ремесленному производству тканей, обуви, плетеных изделий, оружия, ювелирных украшений </w:t>
      </w:r>
      <w:r w:rsidRPr="00AD15C6">
        <w:rPr>
          <w:rFonts w:ascii="Times New Roman" w:hAnsi="Times New Roman"/>
          <w:sz w:val="28"/>
          <w:szCs w:val="28"/>
          <w:lang w:val="en-US"/>
        </w:rPr>
        <w:t>c</w:t>
      </w:r>
      <w:r w:rsidRPr="00935D56">
        <w:rPr>
          <w:rFonts w:ascii="Times New Roman" w:hAnsi="Times New Roman"/>
          <w:sz w:val="28"/>
          <w:szCs w:val="28"/>
        </w:rPr>
        <w:t xml:space="preserve"> полудрагоценными камнями, по выделке кож.</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 xml:space="preserve">Сельское хозяйство и рыболовство </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Пахотные земли занимают около 3 % территории страны. В горных районах развито террасное земледелие: возделывают зерновые культуры (просо, сорго, пшеница, ячмень, кукуруза) и кофе "Мокко", пользующийся в мире большой популярностью. Выращивают хлопчатник, кунжут, финиковую пальму, виноград, овощи, фрукты. Животноводство малопродуктивное. Разводят овец, коз, крупный рогатый скот, курей, верблюдов. Продукция животноводства на душу населения составляет крайне низкие показатели. Немаловажную роль играет рыболовство, как источник питания и валютных доходов. 95 % улова составляет рыба, 5 % - креветки, лангусты, устрицы и другие морепродукты. Традиционно развита добыча жемчуга.</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Транспорт</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Железных дорог нет. Протяженность автодорог 7 тыс. км.</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Внешняя торговля</w:t>
      </w:r>
    </w:p>
    <w:p w:rsidR="009F2A1A" w:rsidRPr="00935D56" w:rsidRDefault="009F2A1A" w:rsidP="009F2A1A">
      <w:pPr>
        <w:spacing w:line="240" w:lineRule="auto"/>
        <w:jc w:val="both"/>
        <w:rPr>
          <w:rFonts w:ascii="Times New Roman" w:hAnsi="Times New Roman"/>
          <w:sz w:val="28"/>
          <w:szCs w:val="28"/>
        </w:rPr>
      </w:pPr>
      <w:r w:rsidRPr="00935D56">
        <w:rPr>
          <w:rFonts w:ascii="Times New Roman" w:hAnsi="Times New Roman"/>
          <w:sz w:val="28"/>
          <w:szCs w:val="28"/>
        </w:rPr>
        <w:t>Экспортируют нефть, хлопок, кофе, рыбу и рыбопродукты. Импортируются: продовольствие (70 % необходимого), машины и оборудование, промышленные товары. Главные торговые партнеры: ОАЭ, Саудовская Аравия, Китай, Франция, Таиланд, Сингапур.</w:t>
      </w:r>
    </w:p>
    <w:p w:rsidR="009F2A1A" w:rsidRPr="00935D56" w:rsidRDefault="009F2A1A" w:rsidP="009F2A1A">
      <w:pPr>
        <w:spacing w:line="240" w:lineRule="auto"/>
      </w:pPr>
      <w:r w:rsidRPr="00935D56">
        <w:t xml:space="preserve"> </w:t>
      </w:r>
    </w:p>
    <w:p w:rsidR="009F2A1A" w:rsidRPr="00935D56" w:rsidRDefault="009F2A1A" w:rsidP="009F2A1A">
      <w:pPr>
        <w:spacing w:line="240" w:lineRule="auto"/>
      </w:pPr>
    </w:p>
    <w:p w:rsidR="009F2A1A" w:rsidRPr="0096692F" w:rsidRDefault="009F2A1A" w:rsidP="009F2A1A">
      <w:pPr>
        <w:spacing w:line="240" w:lineRule="auto"/>
        <w:jc w:val="both"/>
        <w:rPr>
          <w:rFonts w:ascii="Times New Roman" w:hAnsi="Times New Roman"/>
          <w:sz w:val="28"/>
          <w:szCs w:val="28"/>
        </w:rPr>
      </w:pPr>
    </w:p>
    <w:p w:rsidR="00CD7290" w:rsidRPr="00CD7290" w:rsidRDefault="00CD7290" w:rsidP="00CD7290">
      <w:pPr>
        <w:spacing w:before="100" w:beforeAutospacing="1" w:after="100" w:afterAutospacing="1" w:line="240" w:lineRule="auto"/>
        <w:rPr>
          <w:rFonts w:ascii="Arial" w:hAnsi="Arial" w:cs="Arial"/>
          <w:color w:val="000000"/>
          <w:sz w:val="20"/>
          <w:szCs w:val="20"/>
        </w:rPr>
      </w:pPr>
      <w:r w:rsidRPr="00CD7290">
        <w:rPr>
          <w:rFonts w:ascii="Arial" w:hAnsi="Arial" w:cs="Arial"/>
          <w:b/>
          <w:bCs/>
          <w:color w:val="000000"/>
          <w:sz w:val="20"/>
        </w:rPr>
        <w:t>Бедность в мире</w:t>
      </w:r>
    </w:p>
    <w:tbl>
      <w:tblPr>
        <w:tblW w:w="5000" w:type="pct"/>
        <w:tblCellSpacing w:w="0" w:type="dxa"/>
        <w:tblBorders>
          <w:top w:val="outset" w:sz="6" w:space="0" w:color="000080"/>
          <w:left w:val="outset" w:sz="6" w:space="0" w:color="000080"/>
          <w:bottom w:val="outset" w:sz="6" w:space="0" w:color="000080"/>
          <w:right w:val="outset" w:sz="6" w:space="0" w:color="000080"/>
        </w:tblBorders>
        <w:tblCellMar>
          <w:top w:w="45" w:type="dxa"/>
          <w:left w:w="45" w:type="dxa"/>
          <w:bottom w:w="45" w:type="dxa"/>
          <w:right w:w="45" w:type="dxa"/>
        </w:tblCellMar>
        <w:tblLook w:val="0000" w:firstRow="0" w:lastRow="0" w:firstColumn="0" w:lastColumn="0" w:noHBand="0" w:noVBand="0"/>
      </w:tblPr>
      <w:tblGrid>
        <w:gridCol w:w="1895"/>
        <w:gridCol w:w="1895"/>
        <w:gridCol w:w="1895"/>
        <w:gridCol w:w="1895"/>
        <w:gridCol w:w="1895"/>
      </w:tblGrid>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 </w:t>
            </w:r>
          </w:p>
        </w:tc>
        <w:tc>
          <w:tcPr>
            <w:tcW w:w="2000" w:type="pct"/>
            <w:gridSpan w:val="2"/>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b/>
                <w:bCs/>
                <w:color w:val="FFFFFF"/>
                <w:sz w:val="20"/>
                <w:szCs w:val="20"/>
              </w:rPr>
              <w:t>1987 г.</w:t>
            </w:r>
          </w:p>
        </w:tc>
        <w:tc>
          <w:tcPr>
            <w:tcW w:w="2000" w:type="pct"/>
            <w:gridSpan w:val="2"/>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b/>
                <w:bCs/>
                <w:color w:val="FFFFFF"/>
                <w:sz w:val="20"/>
                <w:szCs w:val="20"/>
              </w:rPr>
              <w:t>1993 г.</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b/>
                <w:bCs/>
                <w:color w:val="FFFFFF"/>
                <w:sz w:val="20"/>
                <w:szCs w:val="20"/>
              </w:rPr>
              <w:t>Мир, регионы</w:t>
            </w:r>
          </w:p>
        </w:tc>
        <w:tc>
          <w:tcPr>
            <w:tcW w:w="1000" w:type="pct"/>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b/>
                <w:bCs/>
                <w:color w:val="FFFFFF"/>
                <w:sz w:val="20"/>
                <w:szCs w:val="20"/>
              </w:rPr>
              <w:t>Численность бедных, млн человек</w:t>
            </w:r>
          </w:p>
        </w:tc>
        <w:tc>
          <w:tcPr>
            <w:tcW w:w="1000" w:type="pct"/>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b/>
                <w:bCs/>
                <w:color w:val="FFFFFF"/>
                <w:sz w:val="20"/>
                <w:szCs w:val="20"/>
              </w:rPr>
              <w:t>Доля в населении, %</w:t>
            </w:r>
          </w:p>
        </w:tc>
        <w:tc>
          <w:tcPr>
            <w:tcW w:w="1000" w:type="pct"/>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b/>
                <w:bCs/>
                <w:color w:val="FFFFFF"/>
                <w:sz w:val="20"/>
                <w:szCs w:val="20"/>
              </w:rPr>
              <w:t>Численность бедных, млн человек</w:t>
            </w:r>
          </w:p>
        </w:tc>
        <w:tc>
          <w:tcPr>
            <w:tcW w:w="1000" w:type="pct"/>
            <w:tcBorders>
              <w:top w:val="outset" w:sz="6" w:space="0" w:color="000080"/>
              <w:left w:val="outset" w:sz="6" w:space="0" w:color="000080"/>
              <w:bottom w:val="outset" w:sz="6" w:space="0" w:color="000080"/>
              <w:right w:val="outset" w:sz="6" w:space="0" w:color="000080"/>
            </w:tcBorders>
            <w:shd w:val="clear" w:color="auto" w:fill="000080"/>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b/>
                <w:bCs/>
                <w:color w:val="FFFFFF"/>
                <w:sz w:val="20"/>
                <w:szCs w:val="20"/>
              </w:rPr>
              <w:t>Доля в населении, %</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Весь мир</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1 227</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30,1</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1 314</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29,4</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Восточная Европа и Центральная Азия</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2</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0,6</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15</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3,5</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Юго-Западная Азия и Северная Африка</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10</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4,7</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11</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4,1</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Южная Азия</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480</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45,4</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515</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43,1</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Восточная Азия и Тихоокеанский регион</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464</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28,2</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446</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26,0</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Африка к югу от Сахары</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180</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38,5</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219</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39,1</w:t>
            </w:r>
          </w:p>
        </w:tc>
      </w:tr>
      <w:tr w:rsidR="00CD7290" w:rsidRPr="00CD7290" w:rsidTr="00CD7290">
        <w:trPr>
          <w:tblCellSpacing w:w="0" w:type="dxa"/>
        </w:trPr>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rPr>
                <w:rFonts w:ascii="Arial" w:hAnsi="Arial" w:cs="Arial"/>
                <w:sz w:val="20"/>
                <w:szCs w:val="20"/>
              </w:rPr>
            </w:pPr>
            <w:r w:rsidRPr="00CD7290">
              <w:rPr>
                <w:rFonts w:ascii="Arial" w:hAnsi="Arial" w:cs="Arial"/>
                <w:sz w:val="20"/>
                <w:szCs w:val="20"/>
              </w:rPr>
              <w:t>Латинская Америка</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91</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22,0</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110</w:t>
            </w:r>
          </w:p>
        </w:tc>
        <w:tc>
          <w:tcPr>
            <w:tcW w:w="1000" w:type="pct"/>
            <w:tcBorders>
              <w:top w:val="outset" w:sz="6" w:space="0" w:color="000080"/>
              <w:left w:val="outset" w:sz="6" w:space="0" w:color="000080"/>
              <w:bottom w:val="outset" w:sz="6" w:space="0" w:color="000080"/>
              <w:right w:val="outset" w:sz="6" w:space="0" w:color="000080"/>
            </w:tcBorders>
          </w:tcPr>
          <w:p w:rsidR="00CD7290" w:rsidRPr="00CD7290" w:rsidRDefault="00CD7290" w:rsidP="00CD7290">
            <w:pPr>
              <w:spacing w:before="100" w:beforeAutospacing="1" w:after="100" w:afterAutospacing="1" w:line="240" w:lineRule="auto"/>
              <w:jc w:val="center"/>
              <w:rPr>
                <w:rFonts w:ascii="Arial" w:hAnsi="Arial" w:cs="Arial"/>
                <w:sz w:val="20"/>
                <w:szCs w:val="20"/>
              </w:rPr>
            </w:pPr>
            <w:r w:rsidRPr="00CD7290">
              <w:rPr>
                <w:rFonts w:ascii="Arial" w:hAnsi="Arial" w:cs="Arial"/>
                <w:sz w:val="20"/>
                <w:szCs w:val="20"/>
              </w:rPr>
              <w:t>23,5</w:t>
            </w:r>
          </w:p>
        </w:tc>
      </w:tr>
    </w:tbl>
    <w:p w:rsidR="00CD7290" w:rsidRDefault="00CD7290" w:rsidP="00CD7290">
      <w:pPr>
        <w:spacing w:before="100" w:beforeAutospacing="1" w:after="100" w:afterAutospacing="1" w:line="240" w:lineRule="auto"/>
        <w:rPr>
          <w:rFonts w:ascii="Arial" w:hAnsi="Arial" w:cs="Arial"/>
          <w:color w:val="000000"/>
          <w:sz w:val="20"/>
          <w:szCs w:val="20"/>
        </w:rPr>
      </w:pPr>
      <w:r w:rsidRPr="00CD7290">
        <w:rPr>
          <w:rFonts w:ascii="Arial" w:hAnsi="Arial" w:cs="Arial"/>
          <w:color w:val="000000"/>
          <w:sz w:val="20"/>
          <w:szCs w:val="20"/>
        </w:rPr>
        <w:t> </w:t>
      </w:r>
      <w:bookmarkStart w:id="0" w:name="_GoBack"/>
      <w:bookmarkEnd w:id="0"/>
    </w:p>
    <w:sectPr w:rsidR="00CD7290" w:rsidSect="009F2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A1A"/>
    <w:rsid w:val="0008431A"/>
    <w:rsid w:val="000E21A2"/>
    <w:rsid w:val="0017242D"/>
    <w:rsid w:val="00174B96"/>
    <w:rsid w:val="003548D9"/>
    <w:rsid w:val="004F5868"/>
    <w:rsid w:val="005301A5"/>
    <w:rsid w:val="005350CA"/>
    <w:rsid w:val="006F3BD3"/>
    <w:rsid w:val="007333E4"/>
    <w:rsid w:val="0080296B"/>
    <w:rsid w:val="00926092"/>
    <w:rsid w:val="0096035A"/>
    <w:rsid w:val="009B0239"/>
    <w:rsid w:val="009B4A55"/>
    <w:rsid w:val="009C33C7"/>
    <w:rsid w:val="009F2A1A"/>
    <w:rsid w:val="00A10FFF"/>
    <w:rsid w:val="00A12C7D"/>
    <w:rsid w:val="00A8196B"/>
    <w:rsid w:val="00AA4AB5"/>
    <w:rsid w:val="00B73E18"/>
    <w:rsid w:val="00B91DE0"/>
    <w:rsid w:val="00BA16A7"/>
    <w:rsid w:val="00BD61AE"/>
    <w:rsid w:val="00BF367F"/>
    <w:rsid w:val="00C019C7"/>
    <w:rsid w:val="00CD7290"/>
    <w:rsid w:val="00D07638"/>
    <w:rsid w:val="00D21565"/>
    <w:rsid w:val="00D84554"/>
    <w:rsid w:val="00E33290"/>
    <w:rsid w:val="00F3194C"/>
    <w:rsid w:val="00F670E8"/>
    <w:rsid w:val="00FB620A"/>
    <w:rsid w:val="00FF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C59E9-C8E4-43CB-A12A-7C8C46F3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1A"/>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7290"/>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CD7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4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LEELOO</dc:creator>
  <cp:keywords/>
  <cp:lastModifiedBy>Irina</cp:lastModifiedBy>
  <cp:revision>2</cp:revision>
  <dcterms:created xsi:type="dcterms:W3CDTF">2014-09-14T18:09:00Z</dcterms:created>
  <dcterms:modified xsi:type="dcterms:W3CDTF">2014-09-14T18:09:00Z</dcterms:modified>
</cp:coreProperties>
</file>