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94" w:rsidRDefault="00887F5A">
      <w:pPr>
        <w:pStyle w:val="a3"/>
        <w:spacing w:line="360" w:lineRule="auto"/>
      </w:pPr>
      <w:r>
        <w:t>Після всіх цих операцій необхідно заповнити Журнал №1, тобто взаємозв’язок регістрів журнально-ордерної форми обліку має такий вигляд:</w:t>
      </w:r>
    </w:p>
    <w:p w:rsidR="00007194" w:rsidRDefault="00BF314D">
      <w:pPr>
        <w:spacing w:line="360" w:lineRule="auto"/>
        <w:ind w:firstLine="550"/>
        <w:jc w:val="both"/>
        <w:rPr>
          <w:lang w:val="uk-UA"/>
        </w:rPr>
      </w:pPr>
      <w:r>
        <w:rPr>
          <w:noProof/>
          <w:sz w:val="20"/>
        </w:rPr>
        <w:pict>
          <v:group id="_x0000_s1055" style="position:absolute;left:0;text-align:left;margin-left:30pt;margin-top:15.4pt;width:442.5pt;height:360.4pt;z-index:251657728" coordorigin="1784,2222" coordsize="8850,7208" wrapcoords="4576 0 4576 1662 7725 2156 8969 2156 4686 2605 4686 4715 7139 5030 4320 5030 -37 5344 -37 9430 3478 10059 3844 10059 -37 10553 -37 14325 2489 14370 2380 20028 6517 20118 6846 20837 6883 21600 15816 21600 15852 20118 16182 19489 17646 19400 17829 19310 17756 13652 19586 13652 21637 13292 21637 9745 17939 9341 17756 8622 17939 8622 20099 7948 20172 5928 19879 5883 17243 5748 17426 5074 16767 5030 11935 5030 13656 4670 13692 2649 13106 2560 9116 2156 10471 2156 13765 1662 13729 0 4576 0">
            <v:shapetype id="_x0000_t202" coordsize="21600,21600" o:spt="202" path="m,l,21600r21600,l21600,xe">
              <v:stroke joinstyle="miter"/>
              <v:path gradientshapeok="t" o:connecttype="rect"/>
            </v:shapetype>
            <v:shape id="_x0000_s1026" type="#_x0000_t202" style="position:absolute;left:3684;top:2222;width:3700;height:544;mso-wrap-edited:f" wrapcoords="-225 0 -225 21600 21825 21600 21825 0 -225 0">
              <v:textbox>
                <w:txbxContent>
                  <w:p w:rsidR="00007194" w:rsidRDefault="00887F5A">
                    <w:pPr>
                      <w:jc w:val="center"/>
                      <w:rPr>
                        <w:lang w:val="uk-UA"/>
                      </w:rPr>
                    </w:pPr>
                    <w:r>
                      <w:rPr>
                        <w:lang w:val="uk-UA"/>
                      </w:rPr>
                      <w:t>Первинні документи</w:t>
                    </w:r>
                  </w:p>
                </w:txbxContent>
              </v:textbox>
            </v:shape>
            <v:shape id="_x0000_s1027" type="#_x0000_t202" style="position:absolute;left:3734;top:3106;width:3600;height:680;mso-wrap-edited:f" wrapcoords="-225 0 -225 21600 21825 21600 21825 0 -225 0">
              <v:textbox>
                <w:txbxContent>
                  <w:p w:rsidR="00007194" w:rsidRDefault="00887F5A">
                    <w:pPr>
                      <w:jc w:val="center"/>
                      <w:rPr>
                        <w:lang w:val="uk-UA"/>
                      </w:rPr>
                    </w:pPr>
                    <w:r>
                      <w:rPr>
                        <w:lang w:val="uk-UA"/>
                      </w:rPr>
                      <w:t>Введення даних у ПЕОМ</w:t>
                    </w:r>
                  </w:p>
                </w:txbxContent>
              </v:textbox>
            </v:shape>
            <v:shape id="_x0000_s1028" type="#_x0000_t202" style="position:absolute;left:1784;top:4126;width:3450;height:1224;mso-wrap-edited:f" wrapcoords="-112 0 -112 21600 21712 21600 21712 0 -112 0">
              <v:textbox>
                <w:txbxContent>
                  <w:p w:rsidR="00007194" w:rsidRDefault="00887F5A">
                    <w:pPr>
                      <w:jc w:val="center"/>
                      <w:rPr>
                        <w:lang w:val="uk-UA"/>
                      </w:rPr>
                    </w:pPr>
                    <w:r>
                      <w:rPr>
                        <w:lang w:val="uk-UA"/>
                      </w:rPr>
                      <w:t>Розроблювальні таблиці (нагромаджу вальні і групувальні відомості)</w:t>
                    </w:r>
                  </w:p>
                </w:txbxContent>
              </v:textbox>
            </v:shape>
            <v:shape id="_x0000_s1029" type="#_x0000_t202" style="position:absolute;left:7834;top:4194;width:2150;height:680;mso-wrap-edited:f" wrapcoords="-225 0 -225 21600 21825 21600 21825 0 -225 0">
              <v:textbox>
                <w:txbxContent>
                  <w:p w:rsidR="00007194" w:rsidRDefault="00887F5A">
                    <w:pPr>
                      <w:jc w:val="center"/>
                      <w:rPr>
                        <w:lang w:val="uk-UA"/>
                      </w:rPr>
                    </w:pPr>
                    <w:r>
                      <w:rPr>
                        <w:lang w:val="uk-UA"/>
                      </w:rPr>
                      <w:t>Касова книга</w:t>
                    </w:r>
                  </w:p>
                </w:txbxContent>
              </v:textbox>
            </v:shape>
            <v:shape id="_x0000_s1030" type="#_x0000_t202" style="position:absolute;left:1784;top:5758;width:3250;height:1224;mso-wrap-edited:f" wrapcoords="-91 0 -91 21600 21691 21600 21691 0 -91 0">
              <v:textbox>
                <w:txbxContent>
                  <w:p w:rsidR="00007194" w:rsidRDefault="00887F5A">
                    <w:pPr>
                      <w:jc w:val="center"/>
                      <w:rPr>
                        <w:lang w:val="uk-UA"/>
                      </w:rPr>
                    </w:pPr>
                    <w:r>
                      <w:rPr>
                        <w:lang w:val="uk-UA"/>
                      </w:rPr>
                      <w:t>Допоміжні регістри, відомості аналітичного обліку</w:t>
                    </w:r>
                  </w:p>
                </w:txbxContent>
              </v:textbox>
            </v:shape>
            <v:shape id="_x0000_s1031" type="#_x0000_t202" style="position:absolute;left:5584;top:5690;width:2250;height:952;mso-wrap-edited:f" wrapcoords="-232 0 -232 21600 21832 21600 21832 0 -232 0">
              <v:textbox>
                <w:txbxContent>
                  <w:p w:rsidR="00007194" w:rsidRDefault="00887F5A">
                    <w:pPr>
                      <w:jc w:val="center"/>
                      <w:rPr>
                        <w:lang w:val="uk-UA"/>
                      </w:rPr>
                    </w:pPr>
                    <w:r>
                      <w:rPr>
                        <w:lang w:val="uk-UA"/>
                      </w:rPr>
                      <w:t>Листки розшифрування</w:t>
                    </w:r>
                  </w:p>
                </w:txbxContent>
              </v:textbox>
            </v:shape>
            <v:shape id="_x0000_s1032" type="#_x0000_t202" style="position:absolute;left:8284;top:5486;width:2350;height:1156;mso-wrap-edited:f" wrapcoords="-138 0 -138 21600 21738 21600 21738 0 -138 0">
              <v:textbox>
                <w:txbxContent>
                  <w:p w:rsidR="00007194" w:rsidRDefault="00887F5A">
                    <w:pPr>
                      <w:pStyle w:val="a4"/>
                    </w:pPr>
                    <w:r>
                      <w:t>Журнали-ордери по Кт рахунків</w:t>
                    </w:r>
                  </w:p>
                </w:txbxContent>
              </v:textbox>
            </v:shape>
            <v:shape id="_x0000_s1033" type="#_x0000_t202" style="position:absolute;left:4834;top:7458;width:3200;height:680;mso-wrap-edited:f" wrapcoords="-101 0 -101 21600 21701 21600 21701 0 -101 0">
              <v:textbox>
                <w:txbxContent>
                  <w:p w:rsidR="00007194" w:rsidRDefault="00887F5A">
                    <w:pPr>
                      <w:jc w:val="center"/>
                      <w:rPr>
                        <w:lang w:val="uk-UA"/>
                      </w:rPr>
                    </w:pPr>
                    <w:r>
                      <w:rPr>
                        <w:lang w:val="uk-UA"/>
                      </w:rPr>
                      <w:t>Головна книга</w:t>
                    </w:r>
                  </w:p>
                </w:txbxContent>
              </v:textbox>
            </v:shape>
            <v:shape id="_x0000_s1034" type="#_x0000_t202" style="position:absolute;left:4634;top:8546;width:3600;height:884;mso-wrap-edited:f" wrapcoords="-90 0 -90 21600 21690 21600 21690 0 -90 0">
              <v:textbox>
                <w:txbxContent>
                  <w:p w:rsidR="00007194" w:rsidRDefault="00887F5A">
                    <w:pPr>
                      <w:pStyle w:val="a4"/>
                    </w:pPr>
                    <w:r>
                      <w:t>Баланс та інші форми звітності.</w:t>
                    </w:r>
                  </w:p>
                </w:txbxContent>
              </v:textbox>
            </v:shape>
            <v:line id="_x0000_s1035" style="position:absolute;mso-wrap-edited:f" from="5484,2766" to="5484,3106" wrapcoords="0 0 0 12209 0 20661 0 20661 0 15026 0 6574 0 0 0 0">
              <v:stroke endarrow="block"/>
            </v:line>
            <v:line id="_x0000_s1036" style="position:absolute;mso-wrap-edited:f" from="3384,5350" to="3384,5758" wrapcoords="0 0 0 12800 0 12800 0 20800 0 20800 0 13600 0 12800 0 0 0 0">
              <v:stroke endarrow="block"/>
            </v:line>
            <v:line id="_x0000_s1037" style="position:absolute;mso-wrap-edited:f" from="9034,4874" to="9034,5486" wrapcoords="0 0 0 8429 0 16332 0 21073 0 21073 0 16859 0 8429 0 0 0 0">
              <v:stroke endarrow="block"/>
            </v:line>
            <v:line id="_x0000_s1038" style="position:absolute;mso-wrap-edited:f" from="5034,6166" to="5584,6166" wrapcoords="4086 0 0 0 4670 0 16930 0 21600 0 17514 0 4086 0">
              <v:stroke startarrow="block" endarrow="block"/>
            </v:line>
            <v:line id="_x0000_s1039" style="position:absolute;mso-wrap-edited:f" from="7834,6166" to="8284,6166" wrapcoords="5040 0 0 0 5760 0 15840 0 22320 0 17280 0 5040 0">
              <v:stroke startarrow="block" endarrow="block"/>
            </v:line>
            <v:line id="_x0000_s1040" style="position:absolute;mso-wrap-edited:f" from="5884,3786" to="5884,3922" wrapcoords="0 0 0 19200 0 19200 0 0 0 0"/>
            <v:line id="_x0000_s1041" style="position:absolute;mso-wrap-edited:f" from="5884,3922" to="8784,3922" wrapcoords="-112 0 -112 0 21712 0 21712 0 -112 0"/>
            <v:line id="_x0000_s1042" style="position:absolute;flip:x;mso-wrap-edited:f" from="3434,3922" to="5884,3922" wrapcoords="-133 0 -133 0 21733 0 21733 0 -133 0"/>
            <v:line id="_x0000_s1043" style="position:absolute;mso-wrap-edited:f" from="2834,6982" to="2834,8886" wrapcoords="0 0 0 21200 0 21200 0 0 0 0"/>
            <v:line id="_x0000_s1044" style="position:absolute;mso-wrap-edited:f" from="9034,6642" to="9034,8682" wrapcoords="0 0 0 21282 0 21282 0 0 0 0"/>
            <v:line id="_x0000_s1045" style="position:absolute;mso-wrap-edited:f" from="3684,6982" to="3684,7594" wrapcoords="0 0 0 21073 0 21073 0 0 0 0"/>
            <v:line id="_x0000_s1048" style="position:absolute;mso-wrap-edited:f" from="8584,6642" to="8584,7662" wrapcoords="-7200 0 7200 21282 36000 21282 14400 0 -7200 0"/>
            <v:line id="_x0000_s1049" style="position:absolute;mso-wrap-edited:f" from="3434,3922" to="3434,4126" wrapcoords="0 0 0 6171 0 21600 0 21600 0 13886 0 6171 0 0 0 0">
              <v:stroke endarrow="block"/>
            </v:line>
            <v:line id="_x0000_s1050" style="position:absolute;mso-wrap-edited:f" from="8784,3922" to="8784,4194" wrapcoords="0 0 0 9600 0 21600 0 21600 0 9600 0 0 0 0">
              <v:stroke endarrow="block"/>
            </v:line>
            <v:line id="_x0000_s1051" style="position:absolute;mso-wrap-edited:f" from="3684,7594" to="4834,7594" wrapcoords="18234 0 -281 0 -281 0 18234 0 19356 0 21600 0 19636 0 18234 0">
              <v:stroke endarrow="block"/>
            </v:line>
            <v:line id="_x0000_s1052" style="position:absolute;flip:x;mso-wrap-edited:f" from="8034,7662" to="8584,7662" wrapcoords="14595 0 -584 0 -584 0 14595 0 16930 0 21600 0 17514 0 14595 0">
              <v:stroke endarrow="block"/>
            </v:line>
            <v:line id="_x0000_s1053" style="position:absolute;flip:x;mso-wrap-edited:f" from="8234,8682" to="9034,8682" wrapcoords="16709 0 -408 0 -408 0 16709 0 18340 0 21600 0 18747 0 16709 0">
              <v:stroke endarrow="block"/>
            </v:line>
            <v:line id="_x0000_s1054" style="position:absolute;mso-wrap-edited:f" from="2784,8886" to="4634,8886" wrapcoords="19493 0 -176 0 -176 0 19493 0 20195 0 21600 0 20371 0 19493 0">
              <v:stroke endarrow="block"/>
            </v:line>
            <w10:wrap type="tight"/>
          </v:group>
        </w:pict>
      </w: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noProof/>
          <w:sz w:val="20"/>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007194">
      <w:pPr>
        <w:spacing w:line="360" w:lineRule="auto"/>
        <w:ind w:firstLine="550"/>
        <w:jc w:val="both"/>
        <w:rPr>
          <w:lang w:val="uk-UA"/>
        </w:rPr>
      </w:pPr>
    </w:p>
    <w:p w:rsidR="00007194" w:rsidRDefault="00887F5A">
      <w:pPr>
        <w:spacing w:line="360" w:lineRule="auto"/>
        <w:ind w:firstLine="550"/>
        <w:jc w:val="both"/>
        <w:rPr>
          <w:lang w:val="uk-UA"/>
        </w:rPr>
      </w:pPr>
      <w:r>
        <w:rPr>
          <w:lang w:val="uk-UA"/>
        </w:rPr>
        <w:t>Журнали-сфери є основними регістрами обліку. Допоміжні відомості використовуються, якщо є потреба в аналітичних показниках, яких немає у самих журналах, а також недостатньо деталізовані або мають великий обсяг однорідної операції, що попередньо накопичуються у допоміжних відомостях.  Так, касові операції за поточний місяць накопичуються у допоміжних відомостях по дебету і кредиту рахунку 30 “Каса”, аналітично здійснюється облік на рахунку 31 “рахунки в банках”. В окремих випадках використовуються багатоколонкові відомості (облік витрат на виробництво, облік заготівельних витрат при придбання товарно-матеріальних цінностей та ін.), розроблювальні таблиці і листики-розшифровування.</w:t>
      </w:r>
    </w:p>
    <w:p w:rsidR="00007194" w:rsidRDefault="00887F5A">
      <w:pPr>
        <w:spacing w:line="360" w:lineRule="auto"/>
        <w:ind w:firstLine="550"/>
        <w:jc w:val="both"/>
        <w:rPr>
          <w:lang w:val="uk-UA"/>
        </w:rPr>
      </w:pPr>
      <w:r>
        <w:rPr>
          <w:lang w:val="uk-UA"/>
        </w:rPr>
        <w:lastRenderedPageBreak/>
        <w:t>За зовнішнім виглядом Журнали являють собою окремі аркуші, регістри багатогранної форми призначені для кредитових записів того балансового рахунку, операції якого обліковуються в даному Журналі зазначено рахунками, які кореспондують з дебетом даного рахунку. Формат цих реєстрів, розташування граф і порядок записів залежить від особливостей обліковуваних операцій у всіх регістрах завчасно надруковано типову кореспонденцію рахунків. Кожному Журналу присвоюють постійний номер (у даному випадку – Журнал №1). Всі господарські операціях відображаються на кредиті синтетичного рахунку в розрізі рахунків, що кореспондують з даним по дебету. Кредитову ознаку взято зо основу побудови журналів-ордерів тому що вона більшою мірою ніж дебетова відповідає характеру здійснювання операцій і завданню б/о, забезпеченню контролю за збереженням і раціональним використанням господарських засобів. Кредит рахунків здебільшого показує мовби початок рахунку засобів підприємства, а дебет його закінчення, тобто куди засоби входять або в яку форму втілюються.</w:t>
      </w:r>
    </w:p>
    <w:p w:rsidR="00007194" w:rsidRDefault="00007194">
      <w:pPr>
        <w:spacing w:line="360" w:lineRule="auto"/>
        <w:ind w:firstLine="550"/>
        <w:jc w:val="both"/>
        <w:rPr>
          <w:lang w:val="uk-UA"/>
        </w:rPr>
      </w:pPr>
    </w:p>
    <w:p w:rsidR="00007194" w:rsidRDefault="00887F5A">
      <w:pPr>
        <w:spacing w:line="360" w:lineRule="auto"/>
        <w:ind w:firstLine="550"/>
        <w:jc w:val="center"/>
        <w:rPr>
          <w:lang w:val="uk-UA"/>
        </w:rPr>
      </w:pPr>
      <w:r>
        <w:rPr>
          <w:lang w:val="uk-UA"/>
        </w:rPr>
        <w:t>Журнал-ордер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2950"/>
        <w:gridCol w:w="708"/>
        <w:gridCol w:w="709"/>
        <w:gridCol w:w="708"/>
        <w:gridCol w:w="709"/>
        <w:gridCol w:w="2465"/>
      </w:tblGrid>
      <w:tr w:rsidR="00007194">
        <w:trPr>
          <w:cantSplit/>
          <w:trHeight w:val="467"/>
        </w:trPr>
        <w:tc>
          <w:tcPr>
            <w:tcW w:w="1608" w:type="dxa"/>
            <w:vMerge w:val="restart"/>
            <w:vAlign w:val="center"/>
          </w:tcPr>
          <w:p w:rsidR="00007194" w:rsidRDefault="00887F5A">
            <w:pPr>
              <w:spacing w:line="360" w:lineRule="auto"/>
              <w:jc w:val="center"/>
              <w:rPr>
                <w:lang w:val="uk-UA"/>
              </w:rPr>
            </w:pPr>
            <w:r>
              <w:rPr>
                <w:lang w:val="uk-UA"/>
              </w:rPr>
              <w:t>Дата</w:t>
            </w:r>
          </w:p>
        </w:tc>
        <w:tc>
          <w:tcPr>
            <w:tcW w:w="2950" w:type="dxa"/>
            <w:vMerge w:val="restart"/>
            <w:vAlign w:val="center"/>
          </w:tcPr>
          <w:p w:rsidR="00007194" w:rsidRDefault="00887F5A">
            <w:pPr>
              <w:spacing w:line="360" w:lineRule="auto"/>
              <w:jc w:val="center"/>
              <w:rPr>
                <w:lang w:val="uk-UA"/>
              </w:rPr>
            </w:pPr>
            <w:r>
              <w:rPr>
                <w:lang w:val="uk-UA"/>
              </w:rPr>
              <w:t>Підстави для запису (назва і номер документу</w:t>
            </w:r>
          </w:p>
        </w:tc>
        <w:tc>
          <w:tcPr>
            <w:tcW w:w="2834" w:type="dxa"/>
            <w:gridSpan w:val="4"/>
            <w:vAlign w:val="center"/>
          </w:tcPr>
          <w:p w:rsidR="00007194" w:rsidRDefault="00887F5A">
            <w:pPr>
              <w:spacing w:line="360" w:lineRule="auto"/>
              <w:jc w:val="center"/>
              <w:rPr>
                <w:lang w:val="uk-UA"/>
              </w:rPr>
            </w:pPr>
            <w:r>
              <w:rPr>
                <w:lang w:val="uk-UA"/>
              </w:rPr>
              <w:t>Дебет рахунку</w:t>
            </w:r>
          </w:p>
        </w:tc>
        <w:tc>
          <w:tcPr>
            <w:tcW w:w="2465" w:type="dxa"/>
            <w:vMerge w:val="restart"/>
            <w:vAlign w:val="center"/>
          </w:tcPr>
          <w:p w:rsidR="00007194" w:rsidRDefault="00887F5A">
            <w:pPr>
              <w:spacing w:line="360" w:lineRule="auto"/>
              <w:jc w:val="center"/>
              <w:rPr>
                <w:lang w:val="uk-UA"/>
              </w:rPr>
            </w:pPr>
            <w:r>
              <w:rPr>
                <w:lang w:val="uk-UA"/>
              </w:rPr>
              <w:t xml:space="preserve">Разом по кредиту </w:t>
            </w:r>
          </w:p>
        </w:tc>
      </w:tr>
      <w:tr w:rsidR="00007194">
        <w:trPr>
          <w:cantSplit/>
          <w:trHeight w:val="493"/>
        </w:trPr>
        <w:tc>
          <w:tcPr>
            <w:tcW w:w="1608" w:type="dxa"/>
            <w:vMerge/>
          </w:tcPr>
          <w:p w:rsidR="00007194" w:rsidRDefault="00007194">
            <w:pPr>
              <w:spacing w:line="360" w:lineRule="auto"/>
              <w:jc w:val="center"/>
              <w:rPr>
                <w:lang w:val="uk-UA"/>
              </w:rPr>
            </w:pPr>
          </w:p>
        </w:tc>
        <w:tc>
          <w:tcPr>
            <w:tcW w:w="2950" w:type="dxa"/>
            <w:vMerge/>
          </w:tcPr>
          <w:p w:rsidR="00007194" w:rsidRDefault="00007194">
            <w:pPr>
              <w:spacing w:line="360" w:lineRule="auto"/>
              <w:jc w:val="center"/>
              <w:rPr>
                <w:lang w:val="uk-UA"/>
              </w:rPr>
            </w:pPr>
          </w:p>
        </w:tc>
        <w:tc>
          <w:tcPr>
            <w:tcW w:w="708" w:type="dxa"/>
          </w:tcPr>
          <w:p w:rsidR="00007194" w:rsidRDefault="00007194">
            <w:pPr>
              <w:spacing w:line="360" w:lineRule="auto"/>
              <w:jc w:val="center"/>
              <w:rPr>
                <w:lang w:val="uk-UA"/>
              </w:rPr>
            </w:pPr>
          </w:p>
        </w:tc>
        <w:tc>
          <w:tcPr>
            <w:tcW w:w="709" w:type="dxa"/>
          </w:tcPr>
          <w:p w:rsidR="00007194" w:rsidRDefault="00007194">
            <w:pPr>
              <w:spacing w:line="360" w:lineRule="auto"/>
              <w:jc w:val="center"/>
              <w:rPr>
                <w:lang w:val="uk-UA"/>
              </w:rPr>
            </w:pPr>
          </w:p>
        </w:tc>
        <w:tc>
          <w:tcPr>
            <w:tcW w:w="708" w:type="dxa"/>
          </w:tcPr>
          <w:p w:rsidR="00007194" w:rsidRDefault="00007194">
            <w:pPr>
              <w:spacing w:line="360" w:lineRule="auto"/>
              <w:jc w:val="center"/>
              <w:rPr>
                <w:lang w:val="uk-UA"/>
              </w:rPr>
            </w:pPr>
          </w:p>
        </w:tc>
        <w:tc>
          <w:tcPr>
            <w:tcW w:w="709" w:type="dxa"/>
          </w:tcPr>
          <w:p w:rsidR="00007194" w:rsidRDefault="00007194">
            <w:pPr>
              <w:spacing w:line="360" w:lineRule="auto"/>
              <w:jc w:val="center"/>
              <w:rPr>
                <w:lang w:val="uk-UA"/>
              </w:rPr>
            </w:pPr>
          </w:p>
        </w:tc>
        <w:tc>
          <w:tcPr>
            <w:tcW w:w="2465" w:type="dxa"/>
            <w:vMerge/>
          </w:tcPr>
          <w:p w:rsidR="00007194" w:rsidRDefault="00007194">
            <w:pPr>
              <w:spacing w:line="360" w:lineRule="auto"/>
              <w:jc w:val="center"/>
              <w:rPr>
                <w:lang w:val="uk-UA"/>
              </w:rPr>
            </w:pPr>
          </w:p>
        </w:tc>
      </w:tr>
      <w:tr w:rsidR="00007194">
        <w:tc>
          <w:tcPr>
            <w:tcW w:w="1608" w:type="dxa"/>
          </w:tcPr>
          <w:p w:rsidR="00007194" w:rsidRDefault="00007194">
            <w:pPr>
              <w:spacing w:line="360" w:lineRule="auto"/>
              <w:jc w:val="center"/>
              <w:rPr>
                <w:lang w:val="uk-UA"/>
              </w:rPr>
            </w:pPr>
          </w:p>
        </w:tc>
        <w:tc>
          <w:tcPr>
            <w:tcW w:w="2950" w:type="dxa"/>
          </w:tcPr>
          <w:p w:rsidR="00007194" w:rsidRDefault="00007194">
            <w:pPr>
              <w:spacing w:line="360" w:lineRule="auto"/>
              <w:jc w:val="center"/>
              <w:rPr>
                <w:lang w:val="uk-UA"/>
              </w:rPr>
            </w:pPr>
          </w:p>
        </w:tc>
        <w:tc>
          <w:tcPr>
            <w:tcW w:w="708" w:type="dxa"/>
          </w:tcPr>
          <w:p w:rsidR="00007194" w:rsidRDefault="00007194">
            <w:pPr>
              <w:spacing w:line="360" w:lineRule="auto"/>
              <w:jc w:val="center"/>
              <w:rPr>
                <w:lang w:val="uk-UA"/>
              </w:rPr>
            </w:pPr>
          </w:p>
        </w:tc>
        <w:tc>
          <w:tcPr>
            <w:tcW w:w="709" w:type="dxa"/>
          </w:tcPr>
          <w:p w:rsidR="00007194" w:rsidRDefault="00007194">
            <w:pPr>
              <w:spacing w:line="360" w:lineRule="auto"/>
              <w:jc w:val="center"/>
              <w:rPr>
                <w:lang w:val="uk-UA"/>
              </w:rPr>
            </w:pPr>
          </w:p>
        </w:tc>
        <w:tc>
          <w:tcPr>
            <w:tcW w:w="708" w:type="dxa"/>
          </w:tcPr>
          <w:p w:rsidR="00007194" w:rsidRDefault="00007194">
            <w:pPr>
              <w:spacing w:line="360" w:lineRule="auto"/>
              <w:jc w:val="center"/>
              <w:rPr>
                <w:lang w:val="uk-UA"/>
              </w:rPr>
            </w:pPr>
          </w:p>
        </w:tc>
        <w:tc>
          <w:tcPr>
            <w:tcW w:w="709" w:type="dxa"/>
          </w:tcPr>
          <w:p w:rsidR="00007194" w:rsidRDefault="00007194">
            <w:pPr>
              <w:spacing w:line="360" w:lineRule="auto"/>
              <w:jc w:val="center"/>
              <w:rPr>
                <w:lang w:val="uk-UA"/>
              </w:rPr>
            </w:pPr>
          </w:p>
        </w:tc>
        <w:tc>
          <w:tcPr>
            <w:tcW w:w="2465" w:type="dxa"/>
          </w:tcPr>
          <w:p w:rsidR="00007194" w:rsidRDefault="00007194">
            <w:pPr>
              <w:spacing w:line="360" w:lineRule="auto"/>
              <w:jc w:val="center"/>
              <w:rPr>
                <w:lang w:val="uk-UA"/>
              </w:rPr>
            </w:pPr>
          </w:p>
        </w:tc>
      </w:tr>
    </w:tbl>
    <w:p w:rsidR="00007194" w:rsidRDefault="00007194">
      <w:pPr>
        <w:spacing w:line="360" w:lineRule="auto"/>
        <w:ind w:firstLine="550"/>
        <w:jc w:val="center"/>
        <w:rPr>
          <w:lang w:val="uk-UA"/>
        </w:rPr>
      </w:pPr>
    </w:p>
    <w:p w:rsidR="00007194" w:rsidRDefault="00887F5A">
      <w:pPr>
        <w:pStyle w:val="a3"/>
        <w:spacing w:line="360" w:lineRule="auto"/>
      </w:pPr>
      <w:r>
        <w:t>Записи господарський операцій в журналі здійснюються за шаховим принципом, який полягає в тому, що в один робочий прийом суму господарські операції записують часто на дебеті і кредиті кореспондуючих рахунків.</w:t>
      </w:r>
    </w:p>
    <w:p w:rsidR="00007194" w:rsidRDefault="00887F5A">
      <w:pPr>
        <w:spacing w:line="360" w:lineRule="auto"/>
        <w:ind w:firstLine="550"/>
        <w:jc w:val="both"/>
        <w:rPr>
          <w:lang w:val="uk-UA"/>
        </w:rPr>
      </w:pPr>
      <w:r>
        <w:rPr>
          <w:lang w:val="uk-UA"/>
        </w:rPr>
        <w:t xml:space="preserve">Це дає змогу значно скоротити кількість записів в регістрах, зменшити обсяг облікової роботи і підвищити якість облікових даних. Всі кредитові обороти по синтетичному рахунку збираються в одному журналі –ордері. Дебетові обороти по цьому рахунку відображаються в тих журналах-ордерах, в яких записи роблять на рахунках, що кореспондують з дебетом цього синтетичного рахунку. Тому загальну суму дебетового обороту місяць по кожному синтетичному рахунку можна підрахувати тільки вибіркову з відповідних журналів. </w:t>
      </w:r>
    </w:p>
    <w:p w:rsidR="00007194" w:rsidRDefault="00887F5A">
      <w:pPr>
        <w:spacing w:line="360" w:lineRule="auto"/>
        <w:ind w:firstLine="550"/>
        <w:jc w:val="both"/>
        <w:rPr>
          <w:lang w:val="uk-UA"/>
        </w:rPr>
      </w:pPr>
      <w:r>
        <w:rPr>
          <w:lang w:val="uk-UA"/>
        </w:rPr>
        <w:t xml:space="preserve">Як вийняток для посилення контролю за рухом коштів по рахунках “Каса”, “Розрахунковий рахунок”, “Спеціальний позичковий рахунок” та деякі інші з журналом-ордером за кредитовим принципом ведуть допоміжні відомості за дебетом цих розрахунків. </w:t>
      </w:r>
    </w:p>
    <w:p w:rsidR="00007194" w:rsidRDefault="00887F5A">
      <w:pPr>
        <w:spacing w:line="360" w:lineRule="auto"/>
        <w:ind w:firstLine="550"/>
        <w:jc w:val="both"/>
        <w:rPr>
          <w:lang w:val="uk-UA"/>
        </w:rPr>
      </w:pPr>
      <w:r>
        <w:rPr>
          <w:lang w:val="uk-UA"/>
        </w:rPr>
        <w:t>Отже, журнали-ордери – це місячні накопичу вальні регістри, де відображаються усі операції по кредиту одного і кількох взаємопов’язаних синтетичних рахунків у кореспонденції з тими рахунками, на яких ці операції відображаються по кредиту і дебету відповідних рахунків. Це дає змогу здійснювати їх бухгалтерську обробку, не роз’єдную документи навіть у тому випадку, коли вони відносяться до різних журналів-ордерів, а також своєчасно контролювати збереження коштів.</w:t>
      </w:r>
    </w:p>
    <w:p w:rsidR="00007194" w:rsidRDefault="00887F5A">
      <w:pPr>
        <w:spacing w:line="360" w:lineRule="auto"/>
        <w:ind w:firstLine="550"/>
        <w:jc w:val="both"/>
        <w:rPr>
          <w:lang w:val="uk-UA"/>
        </w:rPr>
      </w:pPr>
      <w:r>
        <w:rPr>
          <w:lang w:val="uk-UA"/>
        </w:rPr>
        <w:t>Початкові дані записують у журнал безпосередньо з первинних документів або з допоміжних відомостей і розшифрувань, складених на основі первинних документів.</w:t>
      </w:r>
    </w:p>
    <w:p w:rsidR="00007194" w:rsidRDefault="00887F5A">
      <w:pPr>
        <w:spacing w:line="360" w:lineRule="auto"/>
        <w:ind w:firstLine="550"/>
        <w:jc w:val="both"/>
        <w:rPr>
          <w:lang w:val="uk-UA"/>
        </w:rPr>
      </w:pPr>
      <w:r>
        <w:rPr>
          <w:lang w:val="uk-UA"/>
        </w:rPr>
        <w:t xml:space="preserve">У кінці місяця після відображення операцій по кожному журналу підбиваються підсумки, які потім переносять до Головної книги, де здійснюється контроль записів на рахунках першого порядку. </w:t>
      </w:r>
    </w:p>
    <w:p w:rsidR="00007194" w:rsidRDefault="00887F5A">
      <w:pPr>
        <w:spacing w:line="360" w:lineRule="auto"/>
        <w:ind w:firstLine="550"/>
        <w:jc w:val="both"/>
        <w:rPr>
          <w:lang w:val="uk-UA"/>
        </w:rPr>
      </w:pPr>
      <w:r>
        <w:rPr>
          <w:lang w:val="uk-UA"/>
        </w:rPr>
        <w:t xml:space="preserve">     </w:t>
      </w:r>
      <w:bookmarkStart w:id="0" w:name="_GoBack"/>
      <w:bookmarkEnd w:id="0"/>
    </w:p>
    <w:sectPr w:rsidR="00007194">
      <w:type w:val="continuous"/>
      <w:pgSz w:w="11909" w:h="16834" w:code="9"/>
      <w:pgMar w:top="567" w:right="680" w:bottom="1644" w:left="1474" w:header="709" w:footer="709"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F5A"/>
    <w:rsid w:val="00007194"/>
    <w:rsid w:val="00887F5A"/>
    <w:rsid w:val="00BF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450E1D71-71E7-4A10-B43E-BA75C25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lang w:val="uk-UA"/>
    </w:rPr>
  </w:style>
  <w:style w:type="paragraph" w:styleId="a4">
    <w:name w:val="Body Text"/>
    <w:basedOn w:val="a"/>
    <w:semiHidden/>
    <w:pPr>
      <w:jc w:val="center"/>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3778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2002-06-19T06:37:00Z</cp:lastPrinted>
  <dcterms:created xsi:type="dcterms:W3CDTF">2014-08-15T09:58:00Z</dcterms:created>
  <dcterms:modified xsi:type="dcterms:W3CDTF">2014-08-15T09:58:00Z</dcterms:modified>
  <cp:category>Економіка. Банківська справа</cp:category>
</cp:coreProperties>
</file>