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 w:rsidRPr="007D59E6">
        <w:rPr>
          <w:b/>
          <w:sz w:val="28"/>
          <w:lang w:val="uk-UA"/>
        </w:rPr>
        <w:t>З</w:t>
      </w:r>
      <w:r w:rsidR="007D59E6" w:rsidRPr="007D59E6">
        <w:rPr>
          <w:b/>
          <w:sz w:val="28"/>
          <w:lang w:val="uk-UA"/>
        </w:rPr>
        <w:t>міст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BC49DD" w:rsidP="007A1C67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Склад і порядок розробки проектної документації</w:t>
      </w:r>
    </w:p>
    <w:p w:rsidR="00BC49DD" w:rsidRPr="007D59E6" w:rsidRDefault="00BC49DD" w:rsidP="007A1C67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Управління розробкою проектно-кошторисної документації</w:t>
      </w:r>
    </w:p>
    <w:p w:rsidR="00BC49DD" w:rsidRPr="007D59E6" w:rsidRDefault="00BC49DD" w:rsidP="007A1C67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Фінансування проекту</w:t>
      </w:r>
    </w:p>
    <w:p w:rsidR="00BC49DD" w:rsidRPr="007D59E6" w:rsidRDefault="00BC49DD" w:rsidP="007A1C67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Порядок розробки кошторисів</w:t>
      </w:r>
    </w:p>
    <w:p w:rsidR="00BC49DD" w:rsidRPr="007D59E6" w:rsidRDefault="007D59E6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  <w:r w:rsidR="00BC49DD" w:rsidRPr="007D59E6">
        <w:rPr>
          <w:b/>
          <w:sz w:val="28"/>
          <w:lang w:val="uk-UA"/>
        </w:rPr>
        <w:lastRenderedPageBreak/>
        <w:t>I.</w:t>
      </w:r>
      <w:r w:rsidR="00E442DA">
        <w:rPr>
          <w:b/>
          <w:sz w:val="28"/>
          <w:lang w:val="uk-UA"/>
        </w:rPr>
        <w:t xml:space="preserve"> </w:t>
      </w:r>
      <w:r w:rsidR="00BC49DD" w:rsidRPr="007D59E6">
        <w:rPr>
          <w:b/>
          <w:sz w:val="28"/>
          <w:lang w:val="uk-UA"/>
        </w:rPr>
        <w:t>Склад і порядок розробки проектної документації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BC49DD" w:rsidP="007D59E6">
      <w:pPr>
        <w:pStyle w:val="a6"/>
        <w:shd w:val="clear" w:color="000000" w:fill="auto"/>
        <w:ind w:firstLine="709"/>
        <w:rPr>
          <w:lang w:val="uk-UA"/>
        </w:rPr>
      </w:pPr>
      <w:r w:rsidRPr="007D59E6">
        <w:rPr>
          <w:lang w:val="uk-UA"/>
        </w:rPr>
        <w:t>Порядок організації і проведення тендера на проектні роботи визначається інвестором (замовником) за аналогією з “Положенням про підрядні торги в Україні” і серією методичних рекомендацій, затверджених Міжвідомчою комісією з підрядних торгів. Підготовка тендерної документації здійснюється організацією, що має на</w:t>
      </w:r>
      <w:r w:rsidR="007D59E6">
        <w:rPr>
          <w:lang w:val="uk-UA"/>
        </w:rPr>
        <w:t xml:space="preserve"> </w:t>
      </w:r>
      <w:r w:rsidRPr="007D59E6">
        <w:rPr>
          <w:lang w:val="uk-UA"/>
        </w:rPr>
        <w:t>це ліцензію.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Тендер на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проектування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об'єкта може проводитися на частину проектної документації: ТЕО, ескізний проект, тільки на робочу документацію, на весь обсяг проектної документації.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Для організації і проведення тендера на проектні роботи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створюється тимчасова комісія – тендерний комітет. У його обов'язку входять оголошення тендера, організація підготовки і поширення серед учасників тендера (співвиконавців) тендерної документації, організація і проведення тендера, розгляд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пропозицій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здобувачів і їхня оцінка. Тендерна документація містить комерційну (фінансові умови і гарантії), організаційну (порядок , форма й обсяг представлення, вимоги здобувача) і технічну частину (завдання на проектування і необхідні вихідні дані, у тому числі техніко-економічні критерії і вимоги).</w:t>
      </w:r>
    </w:p>
    <w:p w:rsidR="00BC49DD" w:rsidRPr="007D59E6" w:rsidRDefault="00BC49DD" w:rsidP="007D59E6">
      <w:pPr>
        <w:pStyle w:val="2"/>
        <w:shd w:val="clear" w:color="000000" w:fill="auto"/>
        <w:spacing w:line="360" w:lineRule="auto"/>
        <w:ind w:firstLine="709"/>
        <w:jc w:val="both"/>
      </w:pPr>
      <w:r w:rsidRPr="007D59E6">
        <w:t>Фінансування діяльності тендерного комітету, підготовки тендерної документації здійснюється за рахунок засобів інвестора (замовника).</w:t>
      </w:r>
      <w:r w:rsidR="007D59E6">
        <w:t xml:space="preserve"> </w:t>
      </w:r>
      <w:r w:rsidRPr="007D59E6">
        <w:t>Ці витрати можуть</w:t>
      </w:r>
      <w:r w:rsidR="007D59E6">
        <w:t xml:space="preserve"> </w:t>
      </w:r>
      <w:r w:rsidRPr="007D59E6">
        <w:t>бути чи частково цілком відшкодовані за рахунок продажу тендерної документації здобувачам.</w:t>
      </w:r>
      <w:r w:rsidR="007D59E6">
        <w:t xml:space="preserve"> </w:t>
      </w:r>
      <w:r w:rsidRPr="007D59E6">
        <w:t>Робоча документація для будівництва підприємств, будинків, споруджень розробляється відповідно до державних стандартів СПДБ (система проектної документації для будівництва).</w:t>
      </w:r>
      <w:r w:rsidR="007D59E6">
        <w:t xml:space="preserve"> </w:t>
      </w:r>
      <w:r w:rsidRPr="007D59E6">
        <w:t>У залежності від специфіки проектованого об'єкта й умов здійснення будівництва склад робочої документації може уточнюватися замовником і виконавцем робіт, що обмовляється в договорі підряду.</w:t>
      </w:r>
      <w:r w:rsidR="007D59E6">
        <w:t xml:space="preserve"> </w:t>
      </w:r>
      <w:r w:rsidRPr="007D59E6">
        <w:t>Посилальні документи (державні, галузеві і</w:t>
      </w:r>
      <w:r w:rsidR="007D59E6">
        <w:t xml:space="preserve"> </w:t>
      </w:r>
      <w:r w:rsidRPr="007D59E6">
        <w:t>республіканські стандарти, що не вимагають прив'язки креслення типових конструкцій, виробів, вузлів) до складу робочої документації не входять і можуть передаватися замовнику, якщо це обговорено в договорі.</w:t>
      </w:r>
      <w:r w:rsidR="007D59E6">
        <w:t xml:space="preserve"> </w:t>
      </w:r>
      <w:r w:rsidRPr="007D59E6">
        <w:t>З уведенням нових і уточненням діючих нормативних документів проектна організація за договором із замовником повинна вносити зміни в робочу документацію з урахуванням фактичного стану будівництва. На кожнім етапі роботи над проектом над проектом проводиться вартісна оцінка. У великих закордонних проектах складається щонайменше 4 види кошторисів зі зростаючою ступенем точності:</w:t>
      </w:r>
    </w:p>
    <w:p w:rsidR="00BC49DD" w:rsidRPr="007D59E6" w:rsidRDefault="00BC49DD" w:rsidP="007D59E6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ПОПЕРЕДНЯ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(на стадії дослідження інвестиційних можливостей), що має метою оцінити життєздатність проекту. Припустима погрішність оцінки складає 25-40 %.</w:t>
      </w:r>
    </w:p>
    <w:p w:rsidR="00BC49DD" w:rsidRPr="007D59E6" w:rsidRDefault="00BC49DD" w:rsidP="007D59E6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ПЕРВИННИЙ ЧИ ФАКТОРНИЙ КОШТОРИС (на стадії розробки ТЕО, що має метою порівняти плановані витрати з бюджетними обмеженнями. Припустима погрішність оцінки складає 15-20 %.</w:t>
      </w:r>
    </w:p>
    <w:p w:rsidR="00BC49DD" w:rsidRPr="007D59E6" w:rsidRDefault="00BC49DD" w:rsidP="007D59E6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НАБЛИЖЕНИЙ КОШТОРИС (на початковій стадії робочого проектування), призначена для підготовки плану фінансування проекту. Припустима погрішність оцінки складає 10-15%.</w:t>
      </w:r>
    </w:p>
    <w:p w:rsidR="00BC49DD" w:rsidRPr="007D59E6" w:rsidRDefault="00BC49DD" w:rsidP="007D59E6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ОСТАТОЧНИЙ КОШТОРИС (десь у середині циклу розробки робочого проекту), призначена для підготовки і проведення торгів. Припустима погрішність складає 5-6%.</w:t>
      </w:r>
    </w:p>
    <w:p w:rsidR="00BC49DD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Основні етапи розробки проектно-кошторисної документації представлені на рис.1.</w:t>
      </w:r>
    </w:p>
    <w:p w:rsidR="007D59E6" w:rsidRDefault="008B08B1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CA7686"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31pt">
            <v:imagedata r:id="rId7" o:title=""/>
          </v:shape>
        </w:pic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 w:rsidRPr="007D59E6">
        <w:rPr>
          <w:sz w:val="28"/>
          <w:lang w:val="uk-UA"/>
        </w:rPr>
        <w:t>рис.1 Основні етапи розробки проектно-кошторисної документації</w:t>
      </w:r>
    </w:p>
    <w:p w:rsidR="00E442DA" w:rsidRDefault="00E442DA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 w:rsidRPr="007D59E6">
        <w:rPr>
          <w:b/>
          <w:sz w:val="28"/>
          <w:lang w:val="uk-UA"/>
        </w:rPr>
        <w:t>2.У</w:t>
      </w:r>
      <w:r w:rsidR="007D59E6" w:rsidRPr="007D59E6">
        <w:rPr>
          <w:b/>
          <w:sz w:val="28"/>
          <w:lang w:val="uk-UA"/>
        </w:rPr>
        <w:t>правління розробкою проектно-кошторисної документації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Проектні роботи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виконуються в наступній послідовності: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вибір проектувальників і висновок контрактів за результатами конкурсу;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планування проектно-кошторисних робіт (послуг);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власне проектування й узгодження проектно-кошторисної документації.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Організаційні форми проектних фірм дуже різноманітні і можуть бути зведені до наступного етапам:</w:t>
      </w:r>
    </w:p>
    <w:p w:rsidR="00BC49DD" w:rsidRPr="007D59E6" w:rsidRDefault="00BC49DD" w:rsidP="007D59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b/>
          <w:sz w:val="28"/>
          <w:lang w:val="uk-UA"/>
        </w:rPr>
        <w:t>Проектно-будівельні фірми, що</w:t>
      </w:r>
      <w:r w:rsidR="007D59E6">
        <w:rPr>
          <w:b/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здійснюють весь комплекс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робіт із проектування, комплектації, будівництву і введенню об'єктів в експлуатацію.</w:t>
      </w:r>
    </w:p>
    <w:p w:rsidR="00BC49DD" w:rsidRPr="007D59E6" w:rsidRDefault="00BC49DD" w:rsidP="007D59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b/>
          <w:sz w:val="28"/>
          <w:lang w:val="uk-UA"/>
        </w:rPr>
        <w:t xml:space="preserve">Проектні інститути, що </w:t>
      </w:r>
      <w:r w:rsidRPr="007D59E6">
        <w:rPr>
          <w:sz w:val="28"/>
          <w:lang w:val="uk-UA"/>
        </w:rPr>
        <w:t>здійснюють весь комплекс робіт із проектування об'єктів, включаючи усі види інженерних і архітектурних задач, а нерідко і задачі по плануванню районів забудови. Звичайно такі інститути спеціалізуються по галузевій ознаці.</w:t>
      </w:r>
    </w:p>
    <w:p w:rsidR="00BC49DD" w:rsidRPr="007D59E6" w:rsidRDefault="00BC49DD" w:rsidP="007D59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b/>
          <w:sz w:val="28"/>
          <w:lang w:val="uk-UA"/>
        </w:rPr>
        <w:t xml:space="preserve">Проектні інститути, спеціалізовані по технологічному (функціональному) ознаці. </w:t>
      </w:r>
      <w:r w:rsidRPr="007D59E6">
        <w:rPr>
          <w:sz w:val="28"/>
          <w:lang w:val="uk-UA"/>
        </w:rPr>
        <w:t xml:space="preserve">Такі інститути можуть спеціалізуватися, наприклад, на проектуванні фундаментів, металевих чи залізобетонних конструкцій, спеціальних видах устаткування й </w:t>
      </w:r>
      <w:r w:rsidR="007D59E6" w:rsidRPr="007D59E6">
        <w:rPr>
          <w:sz w:val="28"/>
          <w:lang w:val="uk-UA"/>
        </w:rPr>
        <w:t>ін.</w:t>
      </w:r>
      <w:r w:rsidRPr="007D59E6">
        <w:rPr>
          <w:sz w:val="28"/>
          <w:lang w:val="uk-UA"/>
        </w:rPr>
        <w:t>;</w:t>
      </w:r>
    </w:p>
    <w:p w:rsidR="00BC49DD" w:rsidRPr="007D59E6" w:rsidRDefault="00BC49DD" w:rsidP="007D59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b/>
          <w:sz w:val="28"/>
          <w:lang w:val="uk-UA"/>
        </w:rPr>
        <w:t xml:space="preserve"> Обчислювальні центри </w:t>
      </w:r>
      <w:r w:rsidRPr="007D59E6">
        <w:rPr>
          <w:sz w:val="28"/>
          <w:lang w:val="uk-UA"/>
        </w:rPr>
        <w:t>(фірми), що спеціалізуються на підготовці проектної документації на машинних носіях - кошторисів, креслень, календарних планів;</w:t>
      </w:r>
    </w:p>
    <w:p w:rsidR="00BC49DD" w:rsidRPr="007D59E6" w:rsidRDefault="00BC49DD" w:rsidP="007D59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lang w:val="uk-UA"/>
        </w:rPr>
      </w:pPr>
      <w:r w:rsidRPr="007D59E6">
        <w:rPr>
          <w:b/>
          <w:sz w:val="28"/>
          <w:lang w:val="uk-UA"/>
        </w:rPr>
        <w:t>Консультаційні (консалтингові) фірми</w:t>
      </w:r>
      <w:r w:rsidRPr="007D59E6">
        <w:rPr>
          <w:sz w:val="28"/>
          <w:lang w:val="uk-UA"/>
        </w:rPr>
        <w:t>, що роблять дуже широкий спектр послуг - економічні обґрунтування, розрахунки вартості проектів, інформація, консультації по спеціальних питаннях.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Такі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 xml:space="preserve">фірми можна розділити умовно на 3 типи: 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1. Спеціалізовані на початковій (передінвестиційної) фазі проекту;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2. послуги багатопланового характеру, що роблять, замовникам, що бідують у наданні допомоги по складних спеціальних питаннях інжиніринга;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3.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Розробляючі організацію і технологію будівельного виробництва.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Існують три підходи до вибору замовником проектних фірм:</w:t>
      </w:r>
    </w:p>
    <w:p w:rsidR="00BC49DD" w:rsidRPr="007D59E6" w:rsidRDefault="00BC49DD" w:rsidP="007D59E6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lang w:val="uk-UA"/>
        </w:rPr>
      </w:pPr>
      <w:r w:rsidRPr="007D59E6">
        <w:rPr>
          <w:sz w:val="28"/>
          <w:u w:val="single"/>
          <w:lang w:val="uk-UA"/>
        </w:rPr>
        <w:t xml:space="preserve"> надання професійних послуг</w:t>
      </w:r>
      <w:r w:rsidR="007D59E6">
        <w:rPr>
          <w:sz w:val="28"/>
          <w:u w:val="single"/>
          <w:lang w:val="uk-UA"/>
        </w:rPr>
        <w:t xml:space="preserve"> </w:t>
      </w:r>
      <w:r w:rsidRPr="007D59E6">
        <w:rPr>
          <w:sz w:val="28"/>
          <w:lang w:val="uk-UA"/>
        </w:rPr>
        <w:t>у міру необхідності. У цьому випадку замовник прибігає до послуг проектної фірми на основі спеціальної угоди без конкурсу;</w:t>
      </w:r>
    </w:p>
    <w:p w:rsidR="00BC49DD" w:rsidRPr="007D59E6" w:rsidRDefault="00BC49DD" w:rsidP="007D59E6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u w:val="single"/>
          <w:lang w:val="uk-UA"/>
        </w:rPr>
      </w:pPr>
      <w:r w:rsidRPr="007D59E6">
        <w:rPr>
          <w:sz w:val="28"/>
          <w:u w:val="single"/>
          <w:lang w:val="uk-UA"/>
        </w:rPr>
        <w:t xml:space="preserve"> закриті переговори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. Якщо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проектна фірма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уже виконує для замовника роботу, то в цьому випадку він доручає їй підготувати пропозиції по новому проекті , проводить експертизу цих пропозицій і укладає додаткову угоду до контракту -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також без конкурсу;</w:t>
      </w:r>
    </w:p>
    <w:p w:rsidR="00BC49DD" w:rsidRPr="007D59E6" w:rsidRDefault="00BC49DD" w:rsidP="007D59E6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u w:val="single"/>
          <w:lang w:val="uk-UA"/>
        </w:rPr>
      </w:pPr>
      <w:r w:rsidRPr="007D59E6">
        <w:rPr>
          <w:sz w:val="28"/>
          <w:u w:val="single"/>
          <w:lang w:val="uk-UA"/>
        </w:rPr>
        <w:t>проведення конкурсу</w:t>
      </w:r>
      <w:r w:rsidRPr="007D59E6">
        <w:rPr>
          <w:sz w:val="28"/>
          <w:lang w:val="uk-UA"/>
        </w:rPr>
        <w:t>. У цьому випадку можливі наступні види комерційних угод між замовником і підрядчиком: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 xml:space="preserve"> оплата по фактичних витратах;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оплата з верхнім обмеженням ціни;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фіксована ціна.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Функціональні обов'язки проектних фірм можна розділити на 2 частині:</w:t>
      </w:r>
    </w:p>
    <w:p w:rsidR="00BC49DD" w:rsidRPr="007D59E6" w:rsidRDefault="00BC49DD" w:rsidP="007D59E6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 xml:space="preserve"> ТИПОВІ, до яких відносяться :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ескізне проектування;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робоче проектування;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розробка кошторисів;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авторський нагляд.</w:t>
      </w:r>
    </w:p>
    <w:p w:rsidR="00BC49DD" w:rsidRPr="007D59E6" w:rsidRDefault="00BC49DD" w:rsidP="007D59E6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ДОДАТКОВІ, що включають: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підготовку до торгів і допомога в їхньому проведенні;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проектний аналіз;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розробку ТЕО;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участі в керуванні проектом,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оформлення фінансування.</w:t>
      </w:r>
    </w:p>
    <w:p w:rsidR="00BC49DD" w:rsidRPr="007D59E6" w:rsidRDefault="00BC49DD" w:rsidP="007D59E6">
      <w:pPr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Наступним етапом організації проектно-пошук</w:t>
      </w:r>
      <w:r w:rsidR="007D59E6">
        <w:rPr>
          <w:sz w:val="28"/>
          <w:lang w:val="uk-UA"/>
        </w:rPr>
        <w:t>ов</w:t>
      </w:r>
      <w:r w:rsidRPr="007D59E6">
        <w:rPr>
          <w:sz w:val="28"/>
          <w:lang w:val="uk-UA"/>
        </w:rPr>
        <w:t>их робіт є планування.</w:t>
      </w:r>
    </w:p>
    <w:p w:rsidR="00BC49DD" w:rsidRPr="007D59E6" w:rsidRDefault="00BC49DD" w:rsidP="007D59E6">
      <w:pPr>
        <w:numPr>
          <w:ilvl w:val="12"/>
          <w:numId w:val="0"/>
        </w:num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План повинний містити: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загальний опис робіт, що підлягають виконанню, з обов'язковою вказівкою порядку взаємодії з іншими учасниками проекту; оформляється у формі календарного плану;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порядок і періодичність контролю за ходом проектно-пошук</w:t>
      </w:r>
      <w:r w:rsidR="00B67B1B">
        <w:rPr>
          <w:sz w:val="28"/>
          <w:lang w:val="uk-UA"/>
        </w:rPr>
        <w:t>ов</w:t>
      </w:r>
      <w:r w:rsidRPr="007D59E6">
        <w:rPr>
          <w:sz w:val="28"/>
          <w:lang w:val="uk-UA"/>
        </w:rPr>
        <w:t>их робіт;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вимоги до планів субпідрядних форм, що працюють над проектно-кошторисною документацією.</w:t>
      </w:r>
    </w:p>
    <w:p w:rsidR="00E442DA" w:rsidRDefault="00E442DA" w:rsidP="00E442DA">
      <w:pPr>
        <w:shd w:val="clear" w:color="000000" w:fill="auto"/>
        <w:spacing w:line="360" w:lineRule="auto"/>
        <w:jc w:val="both"/>
        <w:rPr>
          <w:b/>
          <w:sz w:val="28"/>
          <w:lang w:val="uk-UA"/>
        </w:rPr>
      </w:pPr>
    </w:p>
    <w:p w:rsidR="00BC49DD" w:rsidRPr="007D59E6" w:rsidRDefault="007A1C67" w:rsidP="007D59E6">
      <w:pPr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lang w:val="uk-UA"/>
        </w:rPr>
      </w:pPr>
      <w:r w:rsidRPr="007D59E6">
        <w:rPr>
          <w:b/>
          <w:sz w:val="28"/>
          <w:lang w:val="uk-UA"/>
        </w:rPr>
        <w:t>Фінансування проекту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Фінансування проекту повинне забезпечити рішення двох основних задач:</w:t>
      </w:r>
    </w:p>
    <w:p w:rsidR="00BC49DD" w:rsidRPr="007D59E6" w:rsidRDefault="00BC49DD" w:rsidP="007D59E6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забезпечення такої динаміки інвестицій, що дозволила б виконувати проект відповідно до тимчасових і фінансових обмежень;</w:t>
      </w:r>
    </w:p>
    <w:p w:rsidR="00BC49DD" w:rsidRPr="007D59E6" w:rsidRDefault="00BC49DD" w:rsidP="007D59E6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зниження витрат фінансових засобів і ризику проекту за рахунок відповідної структури інвестицій і максимальних податкових пільг.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Фінансування проекту включає 4 етапи: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попереднє вивчення життєздатності проекту;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розробка плану реалізації проекту;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організація фінансування;</w:t>
      </w:r>
    </w:p>
    <w:p w:rsidR="00BC49DD" w:rsidRPr="007D59E6" w:rsidRDefault="00BC49DD" w:rsidP="007D59E6">
      <w:pPr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контроль за виконанням плану й умов фінансування.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Розрізняють 4 способи фінансування проекту:</w:t>
      </w:r>
    </w:p>
    <w:p w:rsidR="00BC49DD" w:rsidRPr="007D59E6" w:rsidRDefault="00BC49DD" w:rsidP="007D59E6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b/>
          <w:sz w:val="28"/>
          <w:lang w:val="uk-UA"/>
        </w:rPr>
        <w:t xml:space="preserve">Акціонерні інвестиції. </w:t>
      </w:r>
      <w:r w:rsidRPr="007D59E6">
        <w:rPr>
          <w:sz w:val="28"/>
          <w:lang w:val="uk-UA"/>
        </w:rPr>
        <w:t>Акціонерне фінансування являє собою вклади коштів, устаткування, технології.</w:t>
      </w:r>
    </w:p>
    <w:p w:rsidR="00BC49DD" w:rsidRPr="007D59E6" w:rsidRDefault="00BC49DD" w:rsidP="007D59E6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lang w:val="uk-UA"/>
        </w:rPr>
      </w:pPr>
      <w:r w:rsidRPr="007D59E6">
        <w:rPr>
          <w:b/>
          <w:sz w:val="28"/>
          <w:lang w:val="uk-UA"/>
        </w:rPr>
        <w:t>Фінансування з державних джерел</w:t>
      </w:r>
      <w:r w:rsidRPr="007D59E6">
        <w:rPr>
          <w:sz w:val="28"/>
          <w:lang w:val="uk-UA"/>
        </w:rPr>
        <w:t>. Здійснюється безпосередньо за рахунок інвестиційних програм через пряме субсидування.</w:t>
      </w:r>
    </w:p>
    <w:p w:rsidR="00BC49DD" w:rsidRPr="007D59E6" w:rsidRDefault="00BC49DD" w:rsidP="007D59E6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lang w:val="uk-UA"/>
        </w:rPr>
      </w:pPr>
      <w:r w:rsidRPr="007D59E6">
        <w:rPr>
          <w:b/>
          <w:sz w:val="28"/>
          <w:lang w:val="uk-UA"/>
        </w:rPr>
        <w:t xml:space="preserve">Лізингове фінансування </w:t>
      </w:r>
      <w:r w:rsidRPr="007D59E6">
        <w:rPr>
          <w:sz w:val="28"/>
          <w:lang w:val="uk-UA"/>
        </w:rPr>
        <w:t>має на увазі передачу учасниками проекту прав власності на чи проект його частину інвестору.</w:t>
      </w:r>
    </w:p>
    <w:p w:rsidR="00BC49DD" w:rsidRPr="007D59E6" w:rsidRDefault="00BC49DD" w:rsidP="007D59E6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b/>
          <w:sz w:val="28"/>
          <w:lang w:val="uk-UA"/>
        </w:rPr>
        <w:t xml:space="preserve">Боргове фінансування </w:t>
      </w:r>
      <w:r w:rsidRPr="007D59E6">
        <w:rPr>
          <w:sz w:val="28"/>
          <w:lang w:val="uk-UA"/>
        </w:rPr>
        <w:t>здійснюється за рахунок кредитів банків і боргових зобов'язань юридичних чи фізичних осіб.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Повна класифікація форм і джерел фінансування на території України дана в таблиці.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5708"/>
      </w:tblGrid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ДЖЕРЕЛА ФІНАНСУВАННЯ</w:t>
            </w:r>
          </w:p>
        </w:tc>
      </w:tr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Власні фінансові ресурси</w:t>
            </w: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Прибуток.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Амортизаційні відрахування.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Засобу , виплачувані страховими</w:t>
            </w:r>
            <w:r w:rsidR="007D59E6" w:rsidRPr="007A1C67">
              <w:rPr>
                <w:lang w:val="uk-UA"/>
              </w:rPr>
              <w:t xml:space="preserve"> </w:t>
            </w:r>
            <w:r w:rsidRPr="007A1C67">
              <w:rPr>
                <w:lang w:val="uk-UA"/>
              </w:rPr>
              <w:t>компаніями у</w:t>
            </w:r>
            <w:r w:rsidR="007D59E6" w:rsidRPr="007A1C67">
              <w:rPr>
                <w:lang w:val="uk-UA"/>
              </w:rPr>
              <w:t xml:space="preserve"> </w:t>
            </w:r>
            <w:r w:rsidRPr="007A1C67">
              <w:rPr>
                <w:lang w:val="uk-UA"/>
              </w:rPr>
              <w:t>виді відшкодування утрат від стихійних лих, аварій і ін.</w:t>
            </w:r>
          </w:p>
        </w:tc>
      </w:tr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Внутрішньогосподарські резерви інвесторів</w:t>
            </w: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Прибуток.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Амортизаційні відрахування.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Нагромадження і заощадження громадян і юридичних осіб</w:t>
            </w:r>
          </w:p>
        </w:tc>
      </w:tr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Позикові фінансові засоби</w:t>
            </w: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Облігаційні позики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Банківські</w:t>
            </w:r>
            <w:r w:rsidR="007D59E6" w:rsidRPr="007A1C67">
              <w:rPr>
                <w:lang w:val="uk-UA"/>
              </w:rPr>
              <w:t xml:space="preserve"> </w:t>
            </w:r>
            <w:r w:rsidRPr="007A1C67">
              <w:rPr>
                <w:lang w:val="uk-UA"/>
              </w:rPr>
              <w:t>кредити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Бюджетні кредити</w:t>
            </w:r>
          </w:p>
        </w:tc>
      </w:tr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Лізингове фінансування</w:t>
            </w: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Фінансовий лізинг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Оперативний лізинг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Поворотний лізинг</w:t>
            </w:r>
          </w:p>
        </w:tc>
      </w:tr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Інвестиційні</w:t>
            </w:r>
            <w:r w:rsidR="007D59E6" w:rsidRPr="007A1C67">
              <w:rPr>
                <w:lang w:val="uk-UA"/>
              </w:rPr>
              <w:t xml:space="preserve"> </w:t>
            </w:r>
            <w:r w:rsidRPr="007A1C67">
              <w:rPr>
                <w:lang w:val="uk-UA"/>
              </w:rPr>
              <w:t>асигнування</w:t>
            </w: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Державний бюджет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Республіканський бюджет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Місцеві бюджети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Позабюджетні фонди</w:t>
            </w:r>
          </w:p>
        </w:tc>
      </w:tr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Іноземні інвестиції</w:t>
            </w: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капітал іноземних юридичних і фізичних осіб</w:t>
            </w:r>
          </w:p>
        </w:tc>
      </w:tr>
      <w:tr w:rsidR="00BC49DD" w:rsidRPr="007A1C67" w:rsidTr="007A1C67">
        <w:trPr>
          <w:jc w:val="center"/>
        </w:trPr>
        <w:tc>
          <w:tcPr>
            <w:tcW w:w="3510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Міжнародні інвестиції</w:t>
            </w:r>
          </w:p>
        </w:tc>
        <w:tc>
          <w:tcPr>
            <w:tcW w:w="5962" w:type="dxa"/>
          </w:tcPr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Кредити Всесвітнього банку,</w:t>
            </w:r>
            <w:r w:rsidR="007D59E6" w:rsidRPr="007A1C67">
              <w:rPr>
                <w:lang w:val="uk-UA"/>
              </w:rPr>
              <w:t xml:space="preserve"> </w:t>
            </w:r>
            <w:r w:rsidRPr="007A1C67">
              <w:rPr>
                <w:lang w:val="uk-UA"/>
              </w:rPr>
              <w:t xml:space="preserve">Європейського банку реконструкції і розвитку, </w:t>
            </w:r>
          </w:p>
          <w:p w:rsidR="00BC49DD" w:rsidRPr="007A1C67" w:rsidRDefault="00BC49DD" w:rsidP="007A1C67">
            <w:pPr>
              <w:shd w:val="clear" w:color="000000" w:fill="auto"/>
              <w:spacing w:line="360" w:lineRule="auto"/>
              <w:jc w:val="both"/>
              <w:rPr>
                <w:lang w:val="uk-UA"/>
              </w:rPr>
            </w:pPr>
            <w:r w:rsidRPr="007A1C67">
              <w:rPr>
                <w:lang w:val="uk-UA"/>
              </w:rPr>
              <w:t>Засобу міжнародних</w:t>
            </w:r>
            <w:r w:rsidR="007D59E6" w:rsidRPr="007A1C67">
              <w:rPr>
                <w:lang w:val="uk-UA"/>
              </w:rPr>
              <w:t xml:space="preserve"> </w:t>
            </w:r>
            <w:r w:rsidRPr="007A1C67">
              <w:rPr>
                <w:lang w:val="uk-UA"/>
              </w:rPr>
              <w:t>фондів, агентств і великих страхових компаній</w:t>
            </w:r>
          </w:p>
        </w:tc>
      </w:tr>
    </w:tbl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29205A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4. </w:t>
      </w:r>
      <w:r w:rsidR="00BC49DD" w:rsidRPr="007D59E6">
        <w:rPr>
          <w:b/>
          <w:sz w:val="28"/>
          <w:lang w:val="uk-UA"/>
        </w:rPr>
        <w:t>О</w:t>
      </w:r>
      <w:r w:rsidRPr="007D59E6">
        <w:rPr>
          <w:b/>
          <w:sz w:val="28"/>
          <w:lang w:val="uk-UA"/>
        </w:rPr>
        <w:t>рганізація проектного фінансування</w:t>
      </w:r>
    </w:p>
    <w:p w:rsidR="0029205A" w:rsidRDefault="0029205A" w:rsidP="007D59E6">
      <w:pPr>
        <w:shd w:val="clear" w:color="000000" w:fill="auto"/>
        <w:spacing w:line="360" w:lineRule="auto"/>
        <w:ind w:firstLine="709"/>
        <w:jc w:val="both"/>
        <w:rPr>
          <w:sz w:val="28"/>
          <w:u w:val="single"/>
          <w:lang w:val="uk-UA"/>
        </w:rPr>
      </w:pP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u w:val="single"/>
          <w:lang w:val="uk-UA"/>
        </w:rPr>
        <w:t>Проектне фінансування</w:t>
      </w:r>
      <w:r w:rsidRPr="007D59E6">
        <w:rPr>
          <w:sz w:val="28"/>
          <w:lang w:val="uk-UA"/>
        </w:rPr>
        <w:t xml:space="preserve"> це один з видів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боргового фінансування, що одержав розвиток за рубежем в останні 10-15 років і в даний час широке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застосовується в США і Західній Європі.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Проектне фінансування характеризується особливим способом забезпечення реальності одержання запланованого потоку реальних грошей.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Реальність одержання запланованого потоку реальних грошей досягається шляхом виявлення і розподілу всього комплексу ризиків, зв'язаних із проектом, між всіма учасниками проекту (підрядними організаціями, фінансовими установами, державними органами, постачальниками сировини і напівфабрикатів, споживачами кінцевої продукції).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 xml:space="preserve">У залежності від того, яку частку ризику приймає на себе кредитор, виділяють три форми проектного фінансування: </w:t>
      </w:r>
    </w:p>
    <w:p w:rsidR="00BC49DD" w:rsidRPr="007D59E6" w:rsidRDefault="00BC49DD" w:rsidP="007D59E6">
      <w:pPr>
        <w:numPr>
          <w:ilvl w:val="0"/>
          <w:numId w:val="11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с повним регресом на позичальника;</w:t>
      </w:r>
    </w:p>
    <w:p w:rsidR="00BC49DD" w:rsidRPr="007D59E6" w:rsidRDefault="00BC49DD" w:rsidP="007D59E6">
      <w:pPr>
        <w:numPr>
          <w:ilvl w:val="0"/>
          <w:numId w:val="11"/>
        </w:numPr>
        <w:shd w:val="clear" w:color="000000" w:fill="auto"/>
        <w:spacing w:line="360" w:lineRule="auto"/>
        <w:ind w:left="0" w:firstLine="709"/>
        <w:jc w:val="both"/>
        <w:rPr>
          <w:sz w:val="28"/>
          <w:u w:val="single"/>
          <w:lang w:val="uk-UA"/>
        </w:rPr>
      </w:pPr>
      <w:r w:rsidRPr="007D59E6">
        <w:rPr>
          <w:sz w:val="28"/>
          <w:lang w:val="uk-UA"/>
        </w:rPr>
        <w:t>без якого-небудь регресу на позичальника;</w:t>
      </w:r>
    </w:p>
    <w:p w:rsidR="00BC49DD" w:rsidRPr="007D59E6" w:rsidRDefault="00BC49DD" w:rsidP="007D59E6">
      <w:pPr>
        <w:numPr>
          <w:ilvl w:val="0"/>
          <w:numId w:val="11"/>
        </w:numPr>
        <w:shd w:val="clear" w:color="000000" w:fill="auto"/>
        <w:spacing w:line="360" w:lineRule="auto"/>
        <w:ind w:left="0" w:firstLine="709"/>
        <w:jc w:val="both"/>
        <w:rPr>
          <w:sz w:val="28"/>
          <w:u w:val="single"/>
          <w:lang w:val="uk-UA"/>
        </w:rPr>
      </w:pPr>
      <w:r w:rsidRPr="007D59E6">
        <w:rPr>
          <w:sz w:val="28"/>
          <w:lang w:val="uk-UA"/>
        </w:rPr>
        <w:t>с обмеженим регресом на позичальника.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РЕГРЕС - це вимога про відшкодування наданої в борг суми.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u w:val="single"/>
          <w:lang w:val="uk-UA"/>
        </w:rPr>
        <w:t>Фінансування з повним регресом на позичальника</w:t>
      </w:r>
      <w:r w:rsidRPr="007D59E6">
        <w:rPr>
          <w:sz w:val="28"/>
          <w:lang w:val="uk-UA"/>
        </w:rPr>
        <w:t xml:space="preserve"> - найбільш розповсюджена форма проектного фінансування. Цій формі віддають перевагу через швидкість і простоту одержання необхідних засобів для фінансування проекту, і, крім того, вартість цієї форми фінансування нижче, ніж у двох інших.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u w:val="single"/>
          <w:lang w:val="uk-UA"/>
        </w:rPr>
        <w:t>При проектному фінансуванні без якого-небудь регресу на позичальника</w:t>
      </w:r>
      <w:r w:rsidRPr="007D59E6">
        <w:rPr>
          <w:sz w:val="28"/>
          <w:lang w:val="uk-UA"/>
        </w:rPr>
        <w:t xml:space="preserve"> - кредитор не має ніяких гарантій від позичальника і приймає на себе майже всі ризики, зв'язані з реалізацією проекту. Ця форма фінансування має високу вартість для позичальника, тому що кредитор сподівається одержати відповідну компенсацію за високий ступінь ризику.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u w:val="single"/>
          <w:lang w:val="uk-UA"/>
        </w:rPr>
        <w:t>Без регресу на позичальника</w:t>
      </w:r>
      <w:r w:rsidRPr="007D59E6">
        <w:rPr>
          <w:sz w:val="28"/>
          <w:lang w:val="uk-UA"/>
        </w:rPr>
        <w:t xml:space="preserve"> - фінансуються звичайно проекти, що мають високу прибутковість і дають у результаті реалізації конкурентноздатну продукцію.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 xml:space="preserve">В даний час широке поширення одержує проектне </w:t>
      </w:r>
      <w:r w:rsidRPr="007D59E6">
        <w:rPr>
          <w:sz w:val="28"/>
          <w:u w:val="single"/>
          <w:lang w:val="uk-UA"/>
        </w:rPr>
        <w:t>фінансування з обмеженим регресом на позичальника.</w:t>
      </w:r>
      <w:r w:rsidRPr="007D59E6">
        <w:rPr>
          <w:sz w:val="28"/>
          <w:lang w:val="uk-UA"/>
        </w:rPr>
        <w:t xml:space="preserve"> У цьому випадку в ході фінансування проекту оцінюються всі ризики, зв'язані з його реалізацією і розподіляються між всіма учасниками проекту таким чином, щоб кожний міг брати на себе залежні від нього ризики. Перевагою цієї форми проектного фінансування є помірна ціна фінансування і максимальний розподіл ризиків по проекті для позичальника. Сторони, зацікавлені в реалізації проекту, приймають на себе конкретні комерційні зобов'язання.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Контроль за фінансуванням, як правило, здійснюється на основі регулярних ревізій, по наступним аспектах:</w:t>
      </w:r>
    </w:p>
    <w:p w:rsidR="00BC49DD" w:rsidRPr="007D59E6" w:rsidRDefault="00BC49DD" w:rsidP="007D59E6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фактичні витрати;</w:t>
      </w:r>
    </w:p>
    <w:p w:rsidR="00BC49DD" w:rsidRPr="007D59E6" w:rsidRDefault="00BC49DD" w:rsidP="007D59E6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u w:val="single"/>
          <w:lang w:val="uk-UA"/>
        </w:rPr>
      </w:pPr>
      <w:r w:rsidRPr="007D59E6">
        <w:rPr>
          <w:sz w:val="28"/>
          <w:lang w:val="uk-UA"/>
        </w:rPr>
        <w:t>фінансовий стан (проекту і компанії, що здійснює проект);</w:t>
      </w:r>
    </w:p>
    <w:p w:rsidR="00BC49DD" w:rsidRPr="007D59E6" w:rsidRDefault="00BC49DD" w:rsidP="007D59E6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u w:val="single"/>
          <w:lang w:val="uk-UA"/>
        </w:rPr>
      </w:pPr>
      <w:r w:rsidRPr="007D59E6">
        <w:rPr>
          <w:sz w:val="28"/>
          <w:lang w:val="uk-UA"/>
        </w:rPr>
        <w:t>звітність;</w:t>
      </w:r>
    </w:p>
    <w:p w:rsidR="00BC49DD" w:rsidRPr="007D59E6" w:rsidRDefault="00BC49DD" w:rsidP="007D59E6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u w:val="single"/>
          <w:lang w:val="uk-UA"/>
        </w:rPr>
      </w:pPr>
      <w:r w:rsidRPr="007D59E6">
        <w:rPr>
          <w:sz w:val="28"/>
          <w:lang w:val="uk-UA"/>
        </w:rPr>
        <w:t>управління фінансами;</w:t>
      </w:r>
    </w:p>
    <w:p w:rsidR="00BC49DD" w:rsidRPr="007D59E6" w:rsidRDefault="00BC49DD" w:rsidP="007D59E6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u w:val="single"/>
          <w:lang w:val="uk-UA"/>
        </w:rPr>
      </w:pPr>
      <w:r w:rsidRPr="007D59E6">
        <w:rPr>
          <w:sz w:val="28"/>
          <w:lang w:val="uk-UA"/>
        </w:rPr>
        <w:t>помилкові витрати.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7A1C67" w:rsidP="007D59E6">
      <w:pPr>
        <w:numPr>
          <w:ilvl w:val="0"/>
          <w:numId w:val="10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lang w:val="uk-UA"/>
        </w:rPr>
      </w:pPr>
      <w:r w:rsidRPr="007D59E6">
        <w:rPr>
          <w:b/>
          <w:sz w:val="28"/>
          <w:lang w:val="uk-UA"/>
        </w:rPr>
        <w:t>Порядок розробки кошторисів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Кошторис являє собою комплекс розрахунків для визначення розміру витрат на проект. У той же час кошторис - це інструмент управління, що використовується менеджером у процесі реалізації проекту.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На підставі кошторису визначається обсяг капітальних вкладень, що включають витрати на: будівельні роботи; придбання технологічного, енергетичного, підйомно-транспортного й іншого устаткування, пристосувань,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інструмента і виробничого інвентарю, необхідного для функціонування підприємства; роботи з монтажу цього устаткування; освоєння будівельного майданчика; здійснення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технічного й авторського нагляду; розробка проектної документації й ін.</w:t>
      </w:r>
      <w:r w:rsidR="007A1C67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Кошториси складаються в процесі проектування підприємств, будинків і споруджень на підставі графічних матеріалів, специфікацій до них і пояснювальних записок і по ній визначається розмір витрат, зв'язаних з будівництвом, чи реконструкцією розширенням будинків, споруджень підприємств і їхніх комплексів.</w:t>
      </w:r>
      <w:r w:rsidR="007A1C67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Кошторисна вартість будівельно-монтажних робіт використовується для визначення договірної ціни і висновку договірної ціни і висновку контрактів між замовниками і підрядчиками, між генеральним підрядчиком і субпідрядниками, а також для розрахунків між ними. На основі кошторису і календарного плану складається бюджет проекту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і здійснюється облік, звітність і оцінка діяльності замовника і підрядчика. Тому кошторисна вартість повинна не тільки покривати видатки, але і забезпечувати одержання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визначеного прибутку. зіставлення кошторисної вартості робіт і фактичних витрат є основою для виявлення джерел прибутку і причин збиткової роботи. Але в будь-якому випадку кошторис дає тільки прогноз кінцевої вартості проекту, тому що його остаточна вартість стогне відома після завершення, коли фінансування проекту буде закінчено.</w:t>
      </w:r>
      <w:r w:rsidR="007A1C67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 xml:space="preserve">Зведений кошторисний розрахунок є основним документом, що визначає вартість будівництва підприємств, будинків і споруджень. Складається він на основі об'єктних і локальних кошторисів, а також кошторисних розрахунків на додаткові витрати, не враховані в об'єктних і локальних кошторисах. 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Зведений кошторисний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розрахунок включає 12 глав:</w:t>
      </w:r>
    </w:p>
    <w:p w:rsidR="00BC49DD" w:rsidRPr="007D59E6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Підготовка теорії будівництва;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Основні об'єкти будівництва;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Об'єкти підсобного виробництва й обслуговуючого призначення;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Об'єкти енергетичного господарства;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Об'єкти транспортного господарства і зв'язку;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Зовнішні мережі і спорудження водопостачання, каналізації, тепло- і газопостачання;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Благоустрій і озеленення території;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Тимчасові будинки і спорудження;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Інші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робітники і витрати;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Зміст дирекції (технічний нагляд) споруджуваного підприємства й авторський нагляд;</w:t>
      </w:r>
    </w:p>
    <w:p w:rsidR="007A1C67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>Підготовка експлуатаційних кадрів;</w:t>
      </w:r>
    </w:p>
    <w:p w:rsidR="00BC49DD" w:rsidRPr="007D59E6" w:rsidRDefault="00BC49DD" w:rsidP="007A1C67">
      <w:pPr>
        <w:shd w:val="clear" w:color="000000" w:fill="auto"/>
        <w:spacing w:line="360" w:lineRule="auto"/>
        <w:ind w:firstLine="700"/>
        <w:jc w:val="both"/>
        <w:rPr>
          <w:sz w:val="28"/>
          <w:lang w:val="uk-UA"/>
        </w:rPr>
      </w:pPr>
      <w:r w:rsidRPr="007D59E6">
        <w:rPr>
          <w:sz w:val="28"/>
          <w:lang w:val="uk-UA"/>
        </w:rPr>
        <w:t xml:space="preserve">Проектні і дослідницькі роботи. 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u w:val="single"/>
          <w:lang w:val="uk-UA"/>
        </w:rPr>
        <w:t xml:space="preserve">Об'єктні кошториси (об'єктні кошторисні розрахунки) </w:t>
      </w:r>
      <w:r w:rsidRPr="007D59E6">
        <w:rPr>
          <w:sz w:val="28"/>
          <w:lang w:val="uk-UA"/>
        </w:rPr>
        <w:t>розробляються на будівництво кожного окремого будинку і спорудження на основі локальних кошторисів на окремі конструктивні елементи і види робіт. В об'єктивні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кошториси включаються витрати на виробництво будівельних, санітарно-технічних, монтажних і інших видів робіт. У них відбиваються витрати на тимчасові будинки і спорудження і частину інших витрат, що відносяться до даного, а також частина резерву засобів на непередбачені роботи і витрати.</w:t>
      </w:r>
    </w:p>
    <w:p w:rsidR="00BC49DD" w:rsidRPr="007D59E6" w:rsidRDefault="00BC49DD" w:rsidP="007D59E6">
      <w:pPr>
        <w:shd w:val="clear" w:color="000000" w:fill="auto"/>
        <w:spacing w:line="360" w:lineRule="auto"/>
        <w:ind w:firstLine="709"/>
        <w:jc w:val="both"/>
        <w:rPr>
          <w:sz w:val="28"/>
          <w:lang w:val="uk-UA"/>
        </w:rPr>
      </w:pPr>
      <w:r w:rsidRPr="007D59E6">
        <w:rPr>
          <w:sz w:val="28"/>
          <w:u w:val="single"/>
          <w:lang w:val="uk-UA"/>
        </w:rPr>
        <w:t>Локальні кошториси (локальні кошторисні розрахунки)</w:t>
      </w:r>
      <w:r w:rsidRPr="007D59E6">
        <w:rPr>
          <w:sz w:val="28"/>
          <w:lang w:val="uk-UA"/>
        </w:rPr>
        <w:t xml:space="preserve"> складаються по робочих кресленнях на кожен вид робіт. У них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визначається кошторисна вартість конструктивних елементів і видів робіт. Обсяги будівельних і монтажних робіт беруться з відомостей</w:t>
      </w:r>
      <w:r w:rsidR="007D59E6">
        <w:rPr>
          <w:sz w:val="28"/>
          <w:lang w:val="uk-UA"/>
        </w:rPr>
        <w:t xml:space="preserve"> </w:t>
      </w:r>
      <w:r w:rsidRPr="007D59E6">
        <w:rPr>
          <w:sz w:val="28"/>
          <w:lang w:val="uk-UA"/>
        </w:rPr>
        <w:t>обсягів робіт лив визначаються по робочих кресленнях. Обчислення обсягів робіт виробляється по схемах, що дозволяє легко простежити хід розрахунків, послідовність їхнього виконання і формули підрахунків.</w:t>
      </w:r>
    </w:p>
    <w:p w:rsidR="00BC49DD" w:rsidRPr="007A1C67" w:rsidRDefault="007A1C67" w:rsidP="007D59E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C49DD" w:rsidRPr="007A1C67">
        <w:rPr>
          <w:b/>
          <w:sz w:val="28"/>
          <w:szCs w:val="28"/>
          <w:lang w:val="uk-UA"/>
        </w:rPr>
        <w:t>Л</w:t>
      </w:r>
      <w:r w:rsidRPr="007A1C67">
        <w:rPr>
          <w:b/>
          <w:sz w:val="28"/>
          <w:szCs w:val="28"/>
          <w:lang w:val="uk-UA"/>
        </w:rPr>
        <w:t>ітература</w:t>
      </w:r>
    </w:p>
    <w:p w:rsidR="007A1C67" w:rsidRPr="007D59E6" w:rsidRDefault="007A1C67" w:rsidP="007D59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>Баканов М.И., Шеремет А.Д. Теория экономического анализа. – М.: Финансы и статистика, 2008. - 416 с.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>Беленцов В.Н., Брадул С.В., Куденко Г.Е., Канарская Н.В. и др. Оценка и обоснование повышения эффективности хозяйственной деятельности промышленных предприятий: Учеб.-метод. пособие. - Ч.1. – Донецк: ДонГАУ, 2009. – 180 с.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>Беленцов В.Н., Брадул С.В., Куденко Г.Е., Канарская Н.В. и др. Оценка и обоснование повышения эффективности хозяйственной деятельности промышленных предприятий: Учеб.-метод. пособие. - Ч.2. – Донецк: ДонГАУ, 2009. – 230 с.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>Бланк И.А. Управление прибылью. – К.: Ника – Центр, 2007. – 544 с.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>Кабанов А.И. и др. Инновационный процесс и эффективность новой техники в угольной промышленности. – Киев: Техныка, 2007. – 225 с.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>Математика в экономике: Учебник. В 2-х ч. – Ч. 2 / А.С. Солодовников, В.А. Бабайцев, А.В. Браилов. - М.: Финансы и статистика, 2008. – 376 с.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>Науменко К.Д. Анализ производственно-хозяйственной деятельности горных предприятий. Учебное пособие для вузов. - М.: Недра, 2008. - 255 с.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D59E6">
        <w:rPr>
          <w:sz w:val="28"/>
          <w:szCs w:val="28"/>
          <w:lang w:val="uk-UA"/>
        </w:rPr>
        <w:t xml:space="preserve">Национальные стандарты бухгалтерского учета // Все о бухгалтерском учете. – 2009. - №37. </w:t>
      </w:r>
    </w:p>
    <w:p w:rsidR="00BC49DD" w:rsidRPr="007D59E6" w:rsidRDefault="00BC49DD" w:rsidP="007A1C67">
      <w:pPr>
        <w:numPr>
          <w:ilvl w:val="0"/>
          <w:numId w:val="15"/>
        </w:numPr>
        <w:shd w:val="clear" w:color="000000" w:fill="auto"/>
        <w:spacing w:line="360" w:lineRule="auto"/>
        <w:ind w:left="0" w:firstLine="0"/>
        <w:jc w:val="both"/>
        <w:rPr>
          <w:sz w:val="28"/>
          <w:lang w:val="uk-UA"/>
        </w:rPr>
      </w:pPr>
      <w:r w:rsidRPr="007D59E6">
        <w:rPr>
          <w:sz w:val="28"/>
          <w:szCs w:val="28"/>
          <w:lang w:val="uk-UA"/>
        </w:rPr>
        <w:t>Петухов Р.М. Оценка эффективности промышленного производства: (Методы и показатели). – М.: Экономика, 2007. – 95 с.</w:t>
      </w:r>
      <w:bookmarkStart w:id="0" w:name="_GoBack"/>
      <w:bookmarkEnd w:id="0"/>
    </w:p>
    <w:sectPr w:rsidR="00BC49DD" w:rsidRPr="007D59E6" w:rsidSect="007D59E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DD" w:rsidRDefault="00BC49DD">
      <w:r>
        <w:separator/>
      </w:r>
    </w:p>
  </w:endnote>
  <w:endnote w:type="continuationSeparator" w:id="0">
    <w:p w:rsidR="00BC49DD" w:rsidRDefault="00BC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E6" w:rsidRDefault="007D59E6" w:rsidP="00F2712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9E6" w:rsidRDefault="007D59E6" w:rsidP="007D59E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E6" w:rsidRDefault="007D59E6" w:rsidP="007D59E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DD" w:rsidRDefault="00BC49DD">
      <w:r>
        <w:separator/>
      </w:r>
    </w:p>
  </w:footnote>
  <w:footnote w:type="continuationSeparator" w:id="0">
    <w:p w:rsidR="00BC49DD" w:rsidRDefault="00BC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DD" w:rsidRDefault="00BC49D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8B1">
      <w:rPr>
        <w:rStyle w:val="a5"/>
        <w:noProof/>
      </w:rPr>
      <w:t>11</w:t>
    </w:r>
    <w:r>
      <w:rPr>
        <w:rStyle w:val="a5"/>
      </w:rPr>
      <w:fldChar w:fldCharType="end"/>
    </w:r>
  </w:p>
  <w:p w:rsidR="00BC49DD" w:rsidRDefault="00BC49D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230DE6"/>
    <w:multiLevelType w:val="singleLevel"/>
    <w:tmpl w:val="0BE6C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2E064ABF"/>
    <w:multiLevelType w:val="singleLevel"/>
    <w:tmpl w:val="0BE6C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30CE0EF5"/>
    <w:multiLevelType w:val="singleLevel"/>
    <w:tmpl w:val="0BE6C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80A0A45"/>
    <w:multiLevelType w:val="singleLevel"/>
    <w:tmpl w:val="4FCA87B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84B22E3"/>
    <w:multiLevelType w:val="singleLevel"/>
    <w:tmpl w:val="5B320636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  <w:rPr>
        <w:rFonts w:cs="Times New Roman"/>
        <w:b w:val="0"/>
      </w:rPr>
    </w:lvl>
  </w:abstractNum>
  <w:abstractNum w:abstractNumId="6">
    <w:nsid w:val="4B3860C9"/>
    <w:multiLevelType w:val="singleLevel"/>
    <w:tmpl w:val="87309C7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8"/>
      </w:rPr>
    </w:lvl>
  </w:abstractNum>
  <w:abstractNum w:abstractNumId="7">
    <w:nsid w:val="4CC32271"/>
    <w:multiLevelType w:val="singleLevel"/>
    <w:tmpl w:val="0BE6C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D5F7E54"/>
    <w:multiLevelType w:val="singleLevel"/>
    <w:tmpl w:val="0BE6C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61C763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9AE0EAF"/>
    <w:multiLevelType w:val="singleLevel"/>
    <w:tmpl w:val="46EE698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A9B0922"/>
    <w:multiLevelType w:val="singleLevel"/>
    <w:tmpl w:val="4052F4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12">
    <w:nsid w:val="6B125DFC"/>
    <w:multiLevelType w:val="singleLevel"/>
    <w:tmpl w:val="C93828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13">
    <w:nsid w:val="7CDF37EF"/>
    <w:multiLevelType w:val="singleLevel"/>
    <w:tmpl w:val="1E76064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num w:numId="1">
    <w:abstractNumId w:val="1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9DD"/>
    <w:rsid w:val="0029205A"/>
    <w:rsid w:val="00525315"/>
    <w:rsid w:val="007A1C67"/>
    <w:rsid w:val="007D59E6"/>
    <w:rsid w:val="008B08B1"/>
    <w:rsid w:val="00B35298"/>
    <w:rsid w:val="00B67B1B"/>
    <w:rsid w:val="00BC49DD"/>
    <w:rsid w:val="00CA7686"/>
    <w:rsid w:val="00E442DA"/>
    <w:rsid w:val="00E977AF"/>
    <w:rsid w:val="00ED1F50"/>
    <w:rsid w:val="00F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B856548-C40B-473A-B72D-71664F6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D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49DD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49DD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BC49DD"/>
    <w:rPr>
      <w:rFonts w:cs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BC49DD"/>
    <w:pPr>
      <w:spacing w:line="360" w:lineRule="auto"/>
      <w:jc w:val="both"/>
    </w:pPr>
    <w:rPr>
      <w:sz w:val="28"/>
    </w:rPr>
  </w:style>
  <w:style w:type="paragraph" w:styleId="2">
    <w:name w:val="Body Text 2"/>
    <w:basedOn w:val="a"/>
    <w:link w:val="20"/>
    <w:uiPriority w:val="99"/>
    <w:rsid w:val="00BC49DD"/>
    <w:rPr>
      <w:sz w:val="28"/>
      <w:lang w:val="uk-UA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C49DD"/>
    <w:pPr>
      <w:tabs>
        <w:tab w:val="center" w:pos="4677"/>
        <w:tab w:val="right" w:pos="9355"/>
      </w:tabs>
    </w:p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Стиль1"/>
    <w:basedOn w:val="a"/>
    <w:uiPriority w:val="99"/>
    <w:rsid w:val="007A1C67"/>
    <w:pPr>
      <w:shd w:val="clear" w:color="000000" w:fill="auto"/>
      <w:spacing w:line="360" w:lineRule="auto"/>
      <w:jc w:val="both"/>
    </w:pPr>
    <w:rPr>
      <w:lang w:val="uk-UA"/>
    </w:rPr>
  </w:style>
  <w:style w:type="character" w:customStyle="1" w:styleId="a9">
    <w:name w:val="Нижні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13355</Characters>
  <Application>Microsoft Office Word</Application>
  <DocSecurity>0</DocSecurity>
  <Lines>111</Lines>
  <Paragraphs>31</Paragraphs>
  <ScaleCrop>false</ScaleCrop>
  <Company>Microsoft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Admin</dc:creator>
  <cp:keywords/>
  <dc:description/>
  <cp:lastModifiedBy>Irina</cp:lastModifiedBy>
  <cp:revision>2</cp:revision>
  <cp:lastPrinted>2010-05-16T16:47:00Z</cp:lastPrinted>
  <dcterms:created xsi:type="dcterms:W3CDTF">2014-10-02T19:16:00Z</dcterms:created>
  <dcterms:modified xsi:type="dcterms:W3CDTF">2014-10-02T19:16:00Z</dcterms:modified>
</cp:coreProperties>
</file>