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A1" w:rsidRPr="00FD50B2" w:rsidRDefault="00EA5FA1" w:rsidP="00FD50B2">
      <w:pPr>
        <w:pStyle w:val="a4"/>
        <w:spacing w:after="0" w:line="360" w:lineRule="auto"/>
        <w:ind w:firstLine="709"/>
        <w:jc w:val="center"/>
        <w:rPr>
          <w:rFonts w:ascii="Times New Roman" w:hAnsi="Times New Roman"/>
          <w:sz w:val="28"/>
        </w:rPr>
      </w:pPr>
      <w:r w:rsidRPr="00FD50B2">
        <w:rPr>
          <w:rFonts w:ascii="Times New Roman" w:hAnsi="Times New Roman"/>
          <w:sz w:val="28"/>
        </w:rPr>
        <w:t>I. Общие сведения и географическое положение</w:t>
      </w:r>
    </w:p>
    <w:p w:rsidR="00FD50B2" w:rsidRDefault="00FD50B2" w:rsidP="00FD50B2">
      <w:pPr>
        <w:pStyle w:val="a6"/>
        <w:spacing w:line="360" w:lineRule="auto"/>
        <w:rPr>
          <w:rFonts w:ascii="Times New Roman" w:hAnsi="Times New Roman"/>
          <w:sz w:val="28"/>
        </w:rPr>
      </w:pP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В состав Центрального федерального округа (ЦФО) входят: Белгородская, Брянская, Владимирская, Воронежская, Ивановская, Калужская, Костромская, Курская, Липецкая, Московская, Орловская, Рязанская, Смоленская, Тамбовская, Тверская, Тульская, Ярославская области и г. Москва.</w:t>
      </w: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Центром федерального округа является г. Москва.</w:t>
      </w: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Полномочный представитель Президента РФ в Центральном ФО - Полтавченко Георгий Сергеевич.</w:t>
      </w: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Площадь Центрального федерального округа составляет 650,7 тыс. кв. км. или 3,8% от территории России. Меньше только Южный ФО.</w:t>
      </w: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На долю Центрального ФО приходится 26,2% населения страны. ЦФО является самым заселенным федеральным округом России. При этом 78.8% населения проживает в городах.</w:t>
      </w: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Крупнейшими городами ЦФО являются Москва, Воронеж, Ярославль, Рязань, Тула, Липецк, Иваново, Брянск, Тверь, Курск. Численность остальных городов не превышает 440 000 человек. Всего на территории округа расположены 300 городов.</w:t>
      </w:r>
    </w:p>
    <w:p w:rsidR="00EA5FA1" w:rsidRPr="00FD50B2" w:rsidRDefault="00EA5FA1" w:rsidP="00FD50B2">
      <w:pPr>
        <w:pStyle w:val="a6"/>
        <w:spacing w:line="360" w:lineRule="auto"/>
        <w:rPr>
          <w:rFonts w:ascii="Times New Roman" w:hAnsi="Times New Roman"/>
          <w:sz w:val="28"/>
        </w:rPr>
      </w:pPr>
      <w:r w:rsidRPr="00FD50B2">
        <w:rPr>
          <w:rFonts w:ascii="Times New Roman" w:hAnsi="Times New Roman"/>
          <w:sz w:val="28"/>
        </w:rPr>
        <w:t>По плотности населения, как и по количеству, ЦФО занимает первое место среди федеральных округов: 56,16 человека на кв. км. Максимальная плотность населения в г. Москве (8 537,2 человека на кв. км.) и Московской области (141,7 человека на кв. км.). Наименьшая плотность населения в Костромской (13,2) и Тверской (19,3) областях.</w:t>
      </w:r>
    </w:p>
    <w:p w:rsidR="009D7C09" w:rsidRPr="00FD50B2" w:rsidRDefault="00FD50B2" w:rsidP="00FD50B2">
      <w:pPr>
        <w:pStyle w:val="a4"/>
        <w:spacing w:after="0" w:line="360" w:lineRule="auto"/>
        <w:ind w:firstLine="709"/>
        <w:jc w:val="center"/>
        <w:rPr>
          <w:rFonts w:ascii="Times New Roman" w:hAnsi="Times New Roman"/>
          <w:sz w:val="28"/>
        </w:rPr>
      </w:pPr>
      <w:r>
        <w:rPr>
          <w:rFonts w:ascii="Times New Roman" w:hAnsi="Times New Roman"/>
          <w:b w:val="0"/>
          <w:sz w:val="28"/>
        </w:rPr>
        <w:br w:type="page"/>
      </w:r>
      <w:r w:rsidR="009D7C09" w:rsidRPr="00FD50B2">
        <w:rPr>
          <w:rFonts w:ascii="Times New Roman" w:hAnsi="Times New Roman"/>
          <w:sz w:val="28"/>
        </w:rPr>
        <w:t>II. Ресурсная база Центрального федерального округа</w:t>
      </w:r>
    </w:p>
    <w:p w:rsidR="00FD50B2" w:rsidRPr="00FD50B2" w:rsidRDefault="00FD50B2" w:rsidP="00FD50B2">
      <w:pPr>
        <w:pStyle w:val="2"/>
        <w:spacing w:before="0" w:after="0" w:line="360" w:lineRule="auto"/>
        <w:ind w:firstLine="709"/>
        <w:jc w:val="center"/>
        <w:rPr>
          <w:rFonts w:ascii="Times New Roman" w:hAnsi="Times New Roman"/>
          <w:i w:val="0"/>
        </w:rPr>
      </w:pPr>
    </w:p>
    <w:p w:rsidR="009D7C09" w:rsidRPr="00FD50B2" w:rsidRDefault="009D7C09" w:rsidP="00FD50B2">
      <w:pPr>
        <w:pStyle w:val="2"/>
        <w:spacing w:before="0" w:after="0" w:line="360" w:lineRule="auto"/>
        <w:ind w:firstLine="709"/>
        <w:jc w:val="center"/>
        <w:rPr>
          <w:rFonts w:ascii="Times New Roman" w:hAnsi="Times New Roman"/>
          <w:i w:val="0"/>
        </w:rPr>
      </w:pPr>
      <w:r w:rsidRPr="00FD50B2">
        <w:rPr>
          <w:rFonts w:ascii="Times New Roman" w:hAnsi="Times New Roman"/>
          <w:i w:val="0"/>
        </w:rPr>
        <w:t>1. Природные ресурсы.</w:t>
      </w:r>
    </w:p>
    <w:p w:rsidR="00FD50B2" w:rsidRDefault="00FD50B2" w:rsidP="00FD50B2">
      <w:pPr>
        <w:pStyle w:val="a6"/>
        <w:spacing w:line="360" w:lineRule="auto"/>
        <w:rPr>
          <w:rFonts w:ascii="Times New Roman" w:hAnsi="Times New Roman"/>
          <w:sz w:val="28"/>
        </w:rPr>
      </w:pP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В экономическом потенциале Центрального федерального округа запасы полезных ископаемых и, соответственно, добывающая промышленность, играют далеко не самую ведущую роль. Тем не менее, на территории ЦФО расположены 66% общероссийских запасов железных руд, добыча которых составляет 53% от российской. Добыча цементного сырья составляет 43% от общероссийской при уровне запасов в 25%. </w:t>
      </w: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Фосфатоносные провинции, на которые приходится 25% от общероссийских запасов, расположены в Московской и Брянской областях. В Тамбовской области известно крупное месторождение титаноциркониевых руд. В Воронежской области – медно-никелевых руд. </w:t>
      </w:r>
    </w:p>
    <w:p w:rsidR="009D7C09" w:rsidRDefault="009D7C09" w:rsidP="00FD50B2">
      <w:pPr>
        <w:pStyle w:val="a8"/>
        <w:spacing w:before="0" w:line="360" w:lineRule="auto"/>
        <w:ind w:firstLine="709"/>
        <w:jc w:val="both"/>
        <w:rPr>
          <w:rFonts w:ascii="Times New Roman" w:hAnsi="Times New Roman"/>
          <w:b w:val="0"/>
          <w:sz w:val="28"/>
        </w:rPr>
      </w:pPr>
      <w:r w:rsidRPr="00FD50B2">
        <w:rPr>
          <w:rFonts w:ascii="Times New Roman" w:hAnsi="Times New Roman"/>
          <w:b w:val="0"/>
          <w:sz w:val="28"/>
        </w:rPr>
        <w:t>Запасы основных полезных ископаемых на территории Центрального федерального округа, в % от имеющихся в России</w:t>
      </w:r>
    </w:p>
    <w:p w:rsidR="00FD50B2" w:rsidRPr="00FD50B2" w:rsidRDefault="00FD50B2" w:rsidP="00FD50B2">
      <w:pPr>
        <w:pStyle w:val="a8"/>
        <w:spacing w:before="0" w:line="360" w:lineRule="auto"/>
        <w:ind w:firstLine="709"/>
        <w:jc w:val="both"/>
        <w:rPr>
          <w:rFonts w:ascii="Times New Roman" w:hAnsi="Times New Roman"/>
          <w:b w:val="0"/>
          <w:sz w:val="28"/>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60"/>
        <w:gridCol w:w="4860"/>
      </w:tblGrid>
      <w:tr w:rsidR="009D7C09" w:rsidRPr="00FD50B2">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Полезные ископаемые</w:t>
            </w:r>
          </w:p>
        </w:tc>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Запасы (%) от России</w:t>
            </w:r>
          </w:p>
        </w:tc>
      </w:tr>
      <w:tr w:rsidR="009D7C09" w:rsidRPr="00FD50B2">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Железо</w:t>
            </w:r>
          </w:p>
        </w:tc>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66%</w:t>
            </w:r>
          </w:p>
        </w:tc>
      </w:tr>
      <w:tr w:rsidR="009D7C09" w:rsidRPr="00FD50B2">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Цементное сырье</w:t>
            </w:r>
          </w:p>
        </w:tc>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25%</w:t>
            </w:r>
          </w:p>
        </w:tc>
      </w:tr>
      <w:tr w:rsidR="009D7C09" w:rsidRPr="00FD50B2">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Фосфориты</w:t>
            </w:r>
          </w:p>
        </w:tc>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25%</w:t>
            </w:r>
          </w:p>
        </w:tc>
      </w:tr>
      <w:tr w:rsidR="009D7C09" w:rsidRPr="00FD50B2">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Бокситы</w:t>
            </w:r>
          </w:p>
        </w:tc>
        <w:tc>
          <w:tcPr>
            <w:tcW w:w="4860" w:type="dxa"/>
          </w:tcPr>
          <w:p w:rsidR="009D7C09" w:rsidRPr="00FD50B2" w:rsidRDefault="009D7C09" w:rsidP="00FD50B2">
            <w:pPr>
              <w:pStyle w:val="a9"/>
              <w:spacing w:line="360" w:lineRule="auto"/>
              <w:jc w:val="both"/>
              <w:rPr>
                <w:rFonts w:ascii="Times New Roman" w:hAnsi="Times New Roman"/>
                <w:noProof/>
                <w:color w:val="auto"/>
                <w:sz w:val="20"/>
                <w:szCs w:val="20"/>
              </w:rPr>
            </w:pPr>
            <w:r w:rsidRPr="00FD50B2">
              <w:rPr>
                <w:rFonts w:ascii="Times New Roman" w:hAnsi="Times New Roman"/>
                <w:noProof/>
                <w:color w:val="auto"/>
                <w:sz w:val="20"/>
                <w:szCs w:val="20"/>
              </w:rPr>
              <w:t>15%</w:t>
            </w:r>
          </w:p>
        </w:tc>
      </w:tr>
    </w:tbl>
    <w:p w:rsidR="009D7C09" w:rsidRPr="00FD50B2" w:rsidRDefault="009D7C09" w:rsidP="00FD50B2">
      <w:pPr>
        <w:pStyle w:val="a6"/>
        <w:spacing w:line="360" w:lineRule="auto"/>
        <w:rPr>
          <w:rFonts w:ascii="Times New Roman" w:hAnsi="Times New Roman"/>
          <w:sz w:val="28"/>
        </w:rPr>
      </w:pPr>
    </w:p>
    <w:p w:rsidR="009D7C09" w:rsidRPr="00FD50B2" w:rsidRDefault="009D7C09" w:rsidP="00FD50B2">
      <w:pPr>
        <w:pStyle w:val="2"/>
        <w:spacing w:before="0" w:after="0" w:line="360" w:lineRule="auto"/>
        <w:ind w:firstLine="709"/>
        <w:jc w:val="center"/>
        <w:rPr>
          <w:rFonts w:ascii="Times New Roman" w:hAnsi="Times New Roman"/>
          <w:i w:val="0"/>
        </w:rPr>
      </w:pPr>
      <w:r w:rsidRPr="00FD50B2">
        <w:rPr>
          <w:rFonts w:ascii="Times New Roman" w:hAnsi="Times New Roman"/>
          <w:i w:val="0"/>
        </w:rPr>
        <w:t>2. Производственно-технологическая база</w:t>
      </w:r>
    </w:p>
    <w:p w:rsidR="00FD50B2" w:rsidRPr="00FD50B2" w:rsidRDefault="00FD50B2" w:rsidP="00FD50B2">
      <w:pPr>
        <w:pStyle w:val="a6"/>
        <w:spacing w:line="360" w:lineRule="auto"/>
        <w:jc w:val="center"/>
        <w:rPr>
          <w:rFonts w:ascii="Times New Roman" w:hAnsi="Times New Roman"/>
          <w:b/>
          <w:sz w:val="28"/>
        </w:rPr>
      </w:pP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Центральный федеральный округ является не только географическим, но и финансовым центром России. Основными отраслями промышленной специализации являются наукоемкие и трудоемкие производства. Округ занимает лидирующие в России позиции в машиностроении и металлообработке, легкой (особенно текстильной) промышленности. </w:t>
      </w: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Важную роль в экономике ЦФО играет химическая промышленность. Развито как производство минеральных удобрений, так и химия органического синтеза. В российских масштабах ведется производство синтетических смол, пластмасс, резинотехнических изделий, шин, синтетических красителей. </w:t>
      </w: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Отраслями специализации Центрального федерального округа являются также полиграфическая и кондитерская промышленности. </w:t>
      </w: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Электроэнергетика ЦФО базируется на мощных ГРЭС (Костромская, Рязанская, Конаковская) и ТЭЦ. Используется атомная энергетика (Смоленская АЭС, Тверская АЭС, Костромская АЭС и Обнинская АЭС). Важную роль играет Загорская ГАЭС. </w:t>
      </w:r>
    </w:p>
    <w:p w:rsidR="009D7C09" w:rsidRPr="00FD50B2" w:rsidRDefault="009D7C09" w:rsidP="00FD50B2">
      <w:pPr>
        <w:pStyle w:val="a6"/>
        <w:spacing w:line="360" w:lineRule="auto"/>
        <w:rPr>
          <w:rFonts w:ascii="Times New Roman" w:hAnsi="Times New Roman"/>
          <w:sz w:val="28"/>
        </w:rPr>
      </w:pPr>
      <w:r w:rsidRPr="00FD50B2">
        <w:rPr>
          <w:rFonts w:ascii="Times New Roman" w:hAnsi="Times New Roman"/>
          <w:sz w:val="28"/>
        </w:rPr>
        <w:t xml:space="preserve">Хотя по объему промышленного производства Центральный федеральный округ уступает Приволжскому ФО, практически по всем показателям, характеризующим инвестиционную активность, торговый оборот и финансовую деятельность предприятий ЦФО уверенно занимает первое место. </w:t>
      </w:r>
    </w:p>
    <w:p w:rsidR="009D7C09" w:rsidRDefault="009D7C09" w:rsidP="00FD50B2">
      <w:pPr>
        <w:pStyle w:val="a8"/>
        <w:spacing w:before="0" w:line="360" w:lineRule="auto"/>
        <w:ind w:firstLine="709"/>
        <w:jc w:val="both"/>
        <w:rPr>
          <w:rFonts w:ascii="Times New Roman" w:hAnsi="Times New Roman"/>
          <w:b w:val="0"/>
          <w:sz w:val="28"/>
        </w:rPr>
      </w:pPr>
      <w:r w:rsidRPr="00FD50B2">
        <w:rPr>
          <w:rFonts w:ascii="Times New Roman" w:hAnsi="Times New Roman"/>
          <w:b w:val="0"/>
          <w:sz w:val="28"/>
        </w:rPr>
        <w:t>Объем промышленной продукции ЦФО в 2003 году</w:t>
      </w:r>
    </w:p>
    <w:p w:rsidR="00FD50B2" w:rsidRPr="00FD50B2" w:rsidRDefault="00FD50B2" w:rsidP="00FD50B2">
      <w:pPr>
        <w:pStyle w:val="a8"/>
        <w:spacing w:before="0" w:line="360" w:lineRule="auto"/>
        <w:ind w:firstLine="709"/>
        <w:jc w:val="both"/>
        <w:rPr>
          <w:rFonts w:ascii="Times New Roman" w:hAnsi="Times New Roman"/>
          <w:b w:val="0"/>
          <w:sz w:val="28"/>
        </w:rPr>
      </w:pP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1622"/>
        <w:gridCol w:w="1906"/>
        <w:gridCol w:w="1517"/>
        <w:gridCol w:w="1255"/>
      </w:tblGrid>
      <w:tr w:rsidR="009D7C09" w:rsidRPr="00FD50B2">
        <w:tc>
          <w:tcPr>
            <w:tcW w:w="1698" w:type="pct"/>
          </w:tcPr>
          <w:p w:rsidR="009D7C09" w:rsidRPr="00FD50B2" w:rsidRDefault="009D7C09" w:rsidP="00FD50B2">
            <w:pPr>
              <w:pStyle w:val="a9"/>
              <w:spacing w:line="360" w:lineRule="auto"/>
              <w:jc w:val="both"/>
              <w:rPr>
                <w:rFonts w:ascii="Times New Roman" w:hAnsi="Times New Roman"/>
                <w:color w:val="auto"/>
                <w:sz w:val="20"/>
                <w:szCs w:val="20"/>
              </w:rPr>
            </w:pPr>
          </w:p>
        </w:tc>
        <w:tc>
          <w:tcPr>
            <w:tcW w:w="850"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Млн. рублей</w:t>
            </w:r>
          </w:p>
        </w:tc>
        <w:tc>
          <w:tcPr>
            <w:tcW w:w="999" w:type="pct"/>
            <w:vAlign w:val="center"/>
          </w:tcPr>
          <w:p w:rsid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 xml:space="preserve">Индекс промышленного производства, </w:t>
            </w:r>
          </w:p>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в % к 2002г.</w:t>
            </w:r>
          </w:p>
        </w:tc>
        <w:tc>
          <w:tcPr>
            <w:tcW w:w="795" w:type="pct"/>
            <w:vAlign w:val="center"/>
          </w:tcPr>
          <w:p w:rsid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Доля в объеме промышленной продукции России,</w:t>
            </w:r>
          </w:p>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w:t>
            </w:r>
          </w:p>
        </w:tc>
        <w:tc>
          <w:tcPr>
            <w:tcW w:w="658"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Доля в промышленной продукции ЦФО</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Российская Федерация, млрд. руб.</w:t>
            </w:r>
          </w:p>
        </w:tc>
        <w:tc>
          <w:tcPr>
            <w:tcW w:w="850"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8 498</w:t>
            </w:r>
          </w:p>
        </w:tc>
        <w:tc>
          <w:tcPr>
            <w:tcW w:w="999"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107,0</w:t>
            </w:r>
          </w:p>
        </w:tc>
        <w:tc>
          <w:tcPr>
            <w:tcW w:w="795"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100</w:t>
            </w:r>
          </w:p>
        </w:tc>
        <w:tc>
          <w:tcPr>
            <w:tcW w:w="658"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Центральный</w:t>
            </w:r>
            <w:r w:rsidR="00FD50B2">
              <w:rPr>
                <w:rFonts w:ascii="Times New Roman" w:hAnsi="Times New Roman"/>
                <w:color w:val="auto"/>
                <w:sz w:val="20"/>
                <w:szCs w:val="20"/>
              </w:rPr>
              <w:t xml:space="preserve"> </w:t>
            </w:r>
            <w:r w:rsidRPr="00FD50B2">
              <w:rPr>
                <w:rFonts w:ascii="Times New Roman" w:hAnsi="Times New Roman"/>
                <w:color w:val="auto"/>
                <w:sz w:val="20"/>
                <w:szCs w:val="20"/>
              </w:rPr>
              <w:t xml:space="preserve">федеральный округ </w:t>
            </w:r>
          </w:p>
        </w:tc>
        <w:tc>
          <w:tcPr>
            <w:tcW w:w="850"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bookmarkStart w:id="0" w:name="OLE_LINK40"/>
            <w:r w:rsidRPr="00FD50B2">
              <w:rPr>
                <w:rFonts w:ascii="Times New Roman" w:hAnsi="Times New Roman"/>
                <w:color w:val="auto"/>
                <w:sz w:val="20"/>
                <w:szCs w:val="20"/>
              </w:rPr>
              <w:t>1 554 994</w:t>
            </w:r>
            <w:bookmarkEnd w:id="0"/>
          </w:p>
        </w:tc>
        <w:tc>
          <w:tcPr>
            <w:tcW w:w="999"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109,3</w:t>
            </w:r>
          </w:p>
        </w:tc>
        <w:tc>
          <w:tcPr>
            <w:tcW w:w="795"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22,2</w:t>
            </w:r>
          </w:p>
        </w:tc>
        <w:tc>
          <w:tcPr>
            <w:tcW w:w="658"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100</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Белгородская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80 345</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105,4</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1,1</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5,2</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Брянская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26 507</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103,7</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0,4</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1,7</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Владимирская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62 065</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105,2</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0,9</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4,0</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Воронежская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66 605</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105,0</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4,3</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Ивановская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24 838</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103,1</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0,3</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1,6</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Калужская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46 111</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108,2</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0,7</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3,0</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Костромская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23 223</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107,2</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0,3</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1,5</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Курская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51 521</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112,8</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0,7</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3,3</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Липецкая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123 363</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105,2</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1,8</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7,9</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Московская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290 688</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115,9</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4,1</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18,7</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Орловская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24 980</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107,8</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0,4</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1,6</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Рязанская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57 936</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103,6</w:t>
            </w:r>
          </w:p>
        </w:tc>
        <w:tc>
          <w:tcPr>
            <w:tcW w:w="795" w:type="pct"/>
            <w:vAlign w:val="center"/>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0,8</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3,7</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Смоленская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48 309</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103,7</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0,7</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3,1</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Тамбовская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20 778</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105,7</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0,3</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1,3</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Тверская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55 388</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100,2</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0,8</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3,6</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Тульская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83 879</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101,8</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1,2</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5,4</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Ярославская область</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79 389</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102,7</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1,1</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5,1</w:t>
            </w:r>
          </w:p>
        </w:tc>
      </w:tr>
      <w:tr w:rsidR="009D7C09" w:rsidRPr="00FD50B2">
        <w:tc>
          <w:tcPr>
            <w:tcW w:w="1698" w:type="pct"/>
            <w:vAlign w:val="bottom"/>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 xml:space="preserve"> г.Москва</w:t>
            </w:r>
          </w:p>
        </w:tc>
        <w:tc>
          <w:tcPr>
            <w:tcW w:w="850"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389 069</w:t>
            </w:r>
          </w:p>
        </w:tc>
        <w:tc>
          <w:tcPr>
            <w:tcW w:w="999"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110,4</w:t>
            </w:r>
          </w:p>
        </w:tc>
        <w:tc>
          <w:tcPr>
            <w:tcW w:w="795"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5,6</w:t>
            </w:r>
          </w:p>
        </w:tc>
        <w:tc>
          <w:tcPr>
            <w:tcW w:w="658" w:type="pct"/>
          </w:tcPr>
          <w:p w:rsidR="009D7C09" w:rsidRPr="00FD50B2" w:rsidRDefault="009D7C09"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25,0</w:t>
            </w:r>
          </w:p>
        </w:tc>
      </w:tr>
    </w:tbl>
    <w:p w:rsidR="00C3104B" w:rsidRPr="00FD50B2" w:rsidRDefault="00C3104B" w:rsidP="00FD50B2">
      <w:pPr>
        <w:pStyle w:val="a6"/>
        <w:spacing w:line="360" w:lineRule="auto"/>
        <w:rPr>
          <w:rFonts w:ascii="Times New Roman" w:hAnsi="Times New Roman"/>
          <w:sz w:val="28"/>
        </w:rPr>
      </w:pPr>
    </w:p>
    <w:p w:rsidR="00C3104B" w:rsidRPr="00FD50B2" w:rsidRDefault="00C3104B" w:rsidP="00FD50B2">
      <w:pPr>
        <w:pStyle w:val="a6"/>
        <w:spacing w:line="360" w:lineRule="auto"/>
        <w:rPr>
          <w:rFonts w:ascii="Times New Roman" w:hAnsi="Times New Roman"/>
          <w:sz w:val="28"/>
        </w:rPr>
      </w:pPr>
      <w:r w:rsidRPr="00FD50B2">
        <w:rPr>
          <w:rFonts w:ascii="Times New Roman" w:hAnsi="Times New Roman"/>
          <w:sz w:val="28"/>
        </w:rPr>
        <w:t xml:space="preserve">Промышленность Центрального ФО играет ключевую роль в России в электроэнергетике, добыче железной руды, производстве обуви, цемента, водки и ликероводочных изделий. Также важную роль играет ряд продукции пищевой промышленности: по производству масла, муки, мяса, хлебобулочных изделий ЦФО занимает первые-вторые места в России. </w:t>
      </w:r>
    </w:p>
    <w:p w:rsidR="00C3104B" w:rsidRPr="00FD50B2" w:rsidRDefault="00C3104B" w:rsidP="00FD50B2">
      <w:pPr>
        <w:pStyle w:val="a6"/>
        <w:spacing w:line="360" w:lineRule="auto"/>
        <w:rPr>
          <w:rFonts w:ascii="Times New Roman" w:hAnsi="Times New Roman"/>
          <w:sz w:val="28"/>
        </w:rPr>
      </w:pPr>
      <w:r w:rsidRPr="00FD50B2">
        <w:rPr>
          <w:rFonts w:ascii="Times New Roman" w:hAnsi="Times New Roman"/>
          <w:sz w:val="28"/>
        </w:rPr>
        <w:t xml:space="preserve">Наиболее важной является роль Центрального федерального округа в машиностроении. В ЦФО сконцентрировано все российское производство вагонов, кранов на автомобильном ходу, автогрейдеров, лифтов, тепловозов, телевизоров, тракторных культиваторов, обогатительного оборудования, паровых котлов, магнитол, швейных машин, бытовых часов. </w:t>
      </w:r>
    </w:p>
    <w:p w:rsidR="00FD50B2" w:rsidRDefault="00FD50B2" w:rsidP="00FD50B2">
      <w:pPr>
        <w:pStyle w:val="2"/>
        <w:spacing w:before="0" w:after="0" w:line="360" w:lineRule="auto"/>
        <w:ind w:firstLine="709"/>
        <w:jc w:val="both"/>
        <w:rPr>
          <w:rFonts w:ascii="Times New Roman" w:hAnsi="Times New Roman"/>
          <w:b w:val="0"/>
          <w:i w:val="0"/>
        </w:rPr>
      </w:pPr>
    </w:p>
    <w:p w:rsidR="00C3104B" w:rsidRPr="00FD50B2" w:rsidRDefault="00C3104B" w:rsidP="00FD50B2">
      <w:pPr>
        <w:pStyle w:val="2"/>
        <w:spacing w:before="0" w:after="0" w:line="360" w:lineRule="auto"/>
        <w:ind w:firstLine="709"/>
        <w:jc w:val="center"/>
        <w:rPr>
          <w:rFonts w:ascii="Times New Roman" w:hAnsi="Times New Roman"/>
          <w:i w:val="0"/>
        </w:rPr>
      </w:pPr>
      <w:r w:rsidRPr="00FD50B2">
        <w:rPr>
          <w:rFonts w:ascii="Times New Roman" w:hAnsi="Times New Roman"/>
          <w:i w:val="0"/>
        </w:rPr>
        <w:t>3. Инфраструктура</w:t>
      </w:r>
    </w:p>
    <w:p w:rsidR="00FD50B2" w:rsidRPr="00FD50B2" w:rsidRDefault="00FD50B2" w:rsidP="00FD50B2">
      <w:pPr>
        <w:pStyle w:val="3"/>
        <w:spacing w:before="0" w:after="0" w:line="360" w:lineRule="auto"/>
        <w:ind w:firstLine="709"/>
        <w:jc w:val="center"/>
        <w:rPr>
          <w:rFonts w:ascii="Times New Roman" w:hAnsi="Times New Roman"/>
          <w:sz w:val="28"/>
        </w:rPr>
      </w:pPr>
    </w:p>
    <w:p w:rsidR="00EA5FA1" w:rsidRPr="00FD50B2" w:rsidRDefault="00C3104B" w:rsidP="00FD50B2">
      <w:pPr>
        <w:pStyle w:val="3"/>
        <w:spacing w:before="0" w:after="0" w:line="360" w:lineRule="auto"/>
        <w:ind w:firstLine="709"/>
        <w:jc w:val="center"/>
        <w:rPr>
          <w:rFonts w:ascii="Times New Roman" w:hAnsi="Times New Roman"/>
          <w:sz w:val="28"/>
        </w:rPr>
      </w:pPr>
      <w:r w:rsidRPr="00FD50B2">
        <w:rPr>
          <w:rFonts w:ascii="Times New Roman" w:hAnsi="Times New Roman"/>
          <w:sz w:val="28"/>
        </w:rPr>
        <w:t>Транспорт</w:t>
      </w:r>
    </w:p>
    <w:p w:rsidR="00FD50B2" w:rsidRDefault="00FD50B2" w:rsidP="00FD50B2">
      <w:pPr>
        <w:pStyle w:val="a3"/>
        <w:spacing w:before="0" w:beforeAutospacing="0" w:after="0" w:afterAutospacing="0" w:line="360" w:lineRule="auto"/>
        <w:ind w:firstLine="709"/>
        <w:jc w:val="both"/>
        <w:rPr>
          <w:rFonts w:cs="Arial"/>
          <w:sz w:val="28"/>
        </w:rPr>
      </w:pPr>
    </w:p>
    <w:p w:rsidR="009D7C09" w:rsidRPr="00FD50B2" w:rsidRDefault="00C3104B" w:rsidP="00FD50B2">
      <w:pPr>
        <w:pStyle w:val="a3"/>
        <w:spacing w:before="0" w:beforeAutospacing="0" w:after="0" w:afterAutospacing="0" w:line="360" w:lineRule="auto"/>
        <w:ind w:firstLine="709"/>
        <w:jc w:val="both"/>
        <w:rPr>
          <w:rFonts w:cs="Arial"/>
          <w:bCs/>
          <w:sz w:val="28"/>
        </w:rPr>
      </w:pPr>
      <w:r w:rsidRPr="00FD50B2">
        <w:rPr>
          <w:rFonts w:cs="Arial"/>
          <w:sz w:val="28"/>
        </w:rPr>
        <w:t xml:space="preserve">За счет крайне выгодного и важного экономико-географического положения, Центральный ФО обладает самой развитой транспортной сетью в России. Плотность железнодорожного транспорта является самой высокой в России. ЦФО обладает и самым развитым автомобильным транспортом. От Москвы отходят 15 автомагистралей. Речной транспорт имеет важное значение только для Москвы и Московской области при транспортировке крупногабаритных грузов. Москва является крупнейшим международным и внутрироссийским центром авиаперевозок. В Москве расположено 4 аэропорта: Шереметьево, Домодедово, Внуково и Быково. Трубопроводный транспорт также играет важную роль в экономике округа, обеспечивая поступление топливных ресурсов. Грузооборот автотранспортных предприятий ЦФО ставит округ на 2-е место в РФ по объему грузовых перевозок за период </w:t>
      </w:r>
      <w:smartTag w:uri="urn:schemas-microsoft-com:office:smarttags" w:element="metricconverter">
        <w:smartTagPr>
          <w:attr w:name="ProductID" w:val="2003 г"/>
        </w:smartTagPr>
        <w:r w:rsidRPr="00FD50B2">
          <w:rPr>
            <w:rFonts w:cs="Arial"/>
            <w:sz w:val="28"/>
          </w:rPr>
          <w:t>2003 г</w:t>
        </w:r>
      </w:smartTag>
      <w:r w:rsidRPr="00FD50B2">
        <w:rPr>
          <w:rFonts w:cs="Arial"/>
          <w:sz w:val="28"/>
        </w:rPr>
        <w:t>.</w:t>
      </w:r>
    </w:p>
    <w:p w:rsidR="00FD50B2" w:rsidRDefault="00FD50B2" w:rsidP="00FD50B2">
      <w:pPr>
        <w:pStyle w:val="3"/>
        <w:spacing w:before="0" w:after="0" w:line="360" w:lineRule="auto"/>
        <w:ind w:firstLine="709"/>
        <w:jc w:val="center"/>
        <w:rPr>
          <w:rFonts w:ascii="Times New Roman" w:hAnsi="Times New Roman"/>
          <w:sz w:val="28"/>
        </w:rPr>
      </w:pPr>
    </w:p>
    <w:p w:rsidR="00C3104B" w:rsidRPr="00FD50B2" w:rsidRDefault="00C3104B" w:rsidP="00FD50B2">
      <w:pPr>
        <w:pStyle w:val="3"/>
        <w:spacing w:before="0" w:after="0" w:line="360" w:lineRule="auto"/>
        <w:ind w:firstLine="709"/>
        <w:jc w:val="center"/>
        <w:rPr>
          <w:rFonts w:ascii="Times New Roman" w:hAnsi="Times New Roman"/>
          <w:sz w:val="28"/>
        </w:rPr>
      </w:pPr>
      <w:r w:rsidRPr="00FD50B2">
        <w:rPr>
          <w:rFonts w:ascii="Times New Roman" w:hAnsi="Times New Roman"/>
          <w:sz w:val="28"/>
        </w:rPr>
        <w:t>Связь</w:t>
      </w:r>
    </w:p>
    <w:p w:rsidR="00C3104B" w:rsidRPr="00FD50B2" w:rsidRDefault="00C3104B" w:rsidP="00FD50B2">
      <w:pPr>
        <w:pStyle w:val="a6"/>
        <w:spacing w:line="360" w:lineRule="auto"/>
        <w:rPr>
          <w:rFonts w:ascii="Times New Roman" w:hAnsi="Times New Roman"/>
          <w:sz w:val="28"/>
        </w:rPr>
      </w:pPr>
    </w:p>
    <w:p w:rsidR="00C3104B" w:rsidRPr="00FD50B2" w:rsidRDefault="00C3104B" w:rsidP="00FD50B2">
      <w:pPr>
        <w:pStyle w:val="a6"/>
        <w:spacing w:line="360" w:lineRule="auto"/>
        <w:rPr>
          <w:rFonts w:ascii="Times New Roman" w:hAnsi="Times New Roman"/>
          <w:sz w:val="28"/>
        </w:rPr>
      </w:pPr>
      <w:r w:rsidRPr="00FD50B2">
        <w:rPr>
          <w:rFonts w:ascii="Times New Roman" w:hAnsi="Times New Roman"/>
          <w:sz w:val="28"/>
        </w:rPr>
        <w:t>На долю предприятий связи Центрального федерального округа приходится более трети линий и телефонных аппаратов России. ЦФО сохраняет лидирующее положение и по доходам по предоставлению доступа в сеть Интернет. Однако по использованию факсимильной почты и электронной почты ЦФО занимает второе место. Отчасти это объясняется развитой инфраструктурой Центрального ФО, позволяющей использовать обычные средства связи без больших потерь во времени. По доходам от услуг связи за январь - сентябрь 2003 года Центральный федеральный округ занимает 1-е место среди ФО Российской Федерации.</w:t>
      </w:r>
    </w:p>
    <w:p w:rsidR="00FD50B2" w:rsidRDefault="00FD50B2" w:rsidP="00FD50B2">
      <w:pPr>
        <w:pStyle w:val="3"/>
        <w:spacing w:before="0" w:after="0" w:line="360" w:lineRule="auto"/>
        <w:ind w:firstLine="709"/>
        <w:jc w:val="both"/>
        <w:rPr>
          <w:rFonts w:ascii="Times New Roman" w:hAnsi="Times New Roman"/>
          <w:b w:val="0"/>
          <w:sz w:val="28"/>
        </w:rPr>
      </w:pPr>
    </w:p>
    <w:p w:rsidR="00C3104B" w:rsidRPr="00FD50B2" w:rsidRDefault="00C3104B" w:rsidP="00FD50B2">
      <w:pPr>
        <w:pStyle w:val="3"/>
        <w:spacing w:before="0" w:after="0" w:line="360" w:lineRule="auto"/>
        <w:ind w:firstLine="709"/>
        <w:jc w:val="center"/>
        <w:rPr>
          <w:rFonts w:ascii="Times New Roman" w:hAnsi="Times New Roman"/>
          <w:sz w:val="28"/>
        </w:rPr>
      </w:pPr>
      <w:r w:rsidRPr="00FD50B2">
        <w:rPr>
          <w:rFonts w:ascii="Times New Roman" w:hAnsi="Times New Roman"/>
          <w:sz w:val="28"/>
        </w:rPr>
        <w:t>Торговля</w:t>
      </w:r>
    </w:p>
    <w:p w:rsidR="00C3104B" w:rsidRPr="00FD50B2" w:rsidRDefault="00C3104B" w:rsidP="00FD50B2">
      <w:pPr>
        <w:pStyle w:val="a6"/>
        <w:spacing w:line="360" w:lineRule="auto"/>
        <w:rPr>
          <w:rFonts w:ascii="Times New Roman" w:hAnsi="Times New Roman"/>
          <w:sz w:val="28"/>
        </w:rPr>
      </w:pPr>
    </w:p>
    <w:p w:rsidR="009D7C09" w:rsidRPr="00FD50B2" w:rsidRDefault="00C3104B" w:rsidP="00FD50B2">
      <w:pPr>
        <w:pStyle w:val="a3"/>
        <w:spacing w:before="0" w:beforeAutospacing="0" w:after="0" w:afterAutospacing="0" w:line="360" w:lineRule="auto"/>
        <w:ind w:firstLine="709"/>
        <w:jc w:val="both"/>
        <w:rPr>
          <w:rFonts w:cs="Arial"/>
          <w:sz w:val="28"/>
        </w:rPr>
      </w:pPr>
      <w:r w:rsidRPr="00FD50B2">
        <w:rPr>
          <w:rFonts w:cs="Arial"/>
          <w:sz w:val="28"/>
        </w:rPr>
        <w:t>По торговым оборотам на душу населения ЦФО занимает 1-е место среди ФО Российской Федерации.</w:t>
      </w:r>
    </w:p>
    <w:p w:rsidR="00C3104B" w:rsidRDefault="00C3104B" w:rsidP="00FD50B2">
      <w:pPr>
        <w:pStyle w:val="a8"/>
        <w:spacing w:before="0" w:line="360" w:lineRule="auto"/>
        <w:ind w:firstLine="709"/>
        <w:jc w:val="both"/>
        <w:rPr>
          <w:rFonts w:ascii="Times New Roman" w:hAnsi="Times New Roman"/>
          <w:b w:val="0"/>
          <w:sz w:val="28"/>
        </w:rPr>
      </w:pPr>
      <w:r w:rsidRPr="00FD50B2">
        <w:rPr>
          <w:rFonts w:ascii="Times New Roman" w:hAnsi="Times New Roman"/>
          <w:b w:val="0"/>
          <w:sz w:val="28"/>
        </w:rPr>
        <w:t>Оборот розничной торговли в 2003 году</w:t>
      </w:r>
    </w:p>
    <w:p w:rsidR="00FD50B2" w:rsidRPr="00FD50B2" w:rsidRDefault="00FD50B2" w:rsidP="00FD50B2">
      <w:pPr>
        <w:pStyle w:val="a8"/>
        <w:spacing w:before="0" w:line="360" w:lineRule="auto"/>
        <w:ind w:firstLine="709"/>
        <w:jc w:val="both"/>
        <w:rPr>
          <w:rFonts w:ascii="Times New Roman" w:hAnsi="Times New Roman"/>
          <w:b w:val="0"/>
          <w:sz w:val="28"/>
        </w:rPr>
      </w:pP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8"/>
        <w:gridCol w:w="1440"/>
        <w:gridCol w:w="1439"/>
        <w:gridCol w:w="1082"/>
        <w:gridCol w:w="1082"/>
        <w:gridCol w:w="1439"/>
      </w:tblGrid>
      <w:tr w:rsidR="00C3104B" w:rsidRPr="00FD50B2">
        <w:trPr>
          <w:cantSplit/>
          <w:trHeight w:val="120"/>
          <w:tblHeader/>
        </w:trPr>
        <w:tc>
          <w:tcPr>
            <w:tcW w:w="1603" w:type="pct"/>
            <w:vMerge w:val="restart"/>
          </w:tcPr>
          <w:p w:rsidR="00C3104B" w:rsidRPr="00FD50B2" w:rsidRDefault="00C3104B" w:rsidP="00FD50B2">
            <w:pPr>
              <w:pStyle w:val="a9"/>
              <w:spacing w:line="360" w:lineRule="auto"/>
              <w:ind w:firstLine="34"/>
              <w:jc w:val="both"/>
              <w:rPr>
                <w:rFonts w:ascii="Times New Roman" w:hAnsi="Times New Roman"/>
                <w:color w:val="auto"/>
                <w:sz w:val="20"/>
                <w:szCs w:val="20"/>
              </w:rPr>
            </w:pPr>
          </w:p>
        </w:tc>
        <w:tc>
          <w:tcPr>
            <w:tcW w:w="755" w:type="pct"/>
            <w:vMerge w:val="restart"/>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Млн.</w:t>
            </w:r>
            <w:r w:rsidR="00FD50B2" w:rsidRPr="00FD50B2">
              <w:rPr>
                <w:rFonts w:ascii="Times New Roman" w:hAnsi="Times New Roman"/>
                <w:color w:val="auto"/>
                <w:sz w:val="20"/>
                <w:szCs w:val="20"/>
              </w:rPr>
              <w:t xml:space="preserve"> </w:t>
            </w:r>
            <w:r w:rsidRPr="00FD50B2">
              <w:rPr>
                <w:rFonts w:ascii="Times New Roman" w:hAnsi="Times New Roman"/>
                <w:color w:val="auto"/>
                <w:sz w:val="20"/>
                <w:szCs w:val="20"/>
              </w:rPr>
              <w:t>рублей</w:t>
            </w:r>
          </w:p>
        </w:tc>
        <w:tc>
          <w:tcPr>
            <w:tcW w:w="1888" w:type="pct"/>
            <w:gridSpan w:val="3"/>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В % к</w:t>
            </w:r>
          </w:p>
        </w:tc>
        <w:tc>
          <w:tcPr>
            <w:tcW w:w="754" w:type="pct"/>
            <w:vMerge w:val="restart"/>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На душу населения, рублей</w:t>
            </w:r>
          </w:p>
        </w:tc>
      </w:tr>
      <w:tr w:rsidR="00C3104B" w:rsidRPr="00FD50B2">
        <w:trPr>
          <w:cantSplit/>
          <w:tblHeader/>
        </w:trPr>
        <w:tc>
          <w:tcPr>
            <w:tcW w:w="1603" w:type="pct"/>
            <w:vMerge/>
          </w:tcPr>
          <w:p w:rsidR="00C3104B" w:rsidRPr="00FD50B2" w:rsidRDefault="00C3104B" w:rsidP="00FD50B2">
            <w:pPr>
              <w:pStyle w:val="a9"/>
              <w:spacing w:line="360" w:lineRule="auto"/>
              <w:ind w:firstLine="34"/>
              <w:jc w:val="both"/>
              <w:rPr>
                <w:rFonts w:ascii="Times New Roman" w:hAnsi="Times New Roman"/>
                <w:color w:val="auto"/>
                <w:sz w:val="20"/>
                <w:szCs w:val="20"/>
              </w:rPr>
            </w:pPr>
          </w:p>
        </w:tc>
        <w:tc>
          <w:tcPr>
            <w:tcW w:w="755" w:type="pct"/>
            <w:vMerge/>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p>
        </w:tc>
        <w:tc>
          <w:tcPr>
            <w:tcW w:w="754" w:type="pct"/>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2002г.</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итогу</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ЦФО</w:t>
            </w:r>
          </w:p>
        </w:tc>
        <w:tc>
          <w:tcPr>
            <w:tcW w:w="754" w:type="pct"/>
            <w:vMerge/>
            <w:vAlign w:val="center"/>
          </w:tcPr>
          <w:p w:rsidR="00C3104B" w:rsidRPr="00FD50B2" w:rsidRDefault="00C3104B" w:rsidP="00FD50B2">
            <w:pPr>
              <w:pStyle w:val="a9"/>
              <w:spacing w:line="360" w:lineRule="auto"/>
              <w:ind w:firstLine="34"/>
              <w:jc w:val="both"/>
              <w:rPr>
                <w:rFonts w:ascii="Times New Roman" w:hAnsi="Times New Roman"/>
                <w:color w:val="auto"/>
                <w:sz w:val="20"/>
                <w:szCs w:val="20"/>
              </w:rPr>
            </w:pP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 xml:space="preserve">Российская Федерация </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4 483 500,0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108,0</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100</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31 388</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Центральный федеральный округ</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bookmarkStart w:id="1" w:name="OLE_LINK43"/>
            <w:r w:rsidRPr="00FD50B2">
              <w:rPr>
                <w:rFonts w:ascii="Times New Roman" w:hAnsi="Times New Roman"/>
                <w:bCs/>
                <w:color w:val="auto"/>
                <w:sz w:val="20"/>
                <w:szCs w:val="20"/>
              </w:rPr>
              <w:t>1 768 687,1</w:t>
            </w:r>
            <w:bookmarkEnd w:id="1"/>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105,9</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39,4</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bookmarkStart w:id="2" w:name="OLE_LINK96"/>
            <w:r w:rsidRPr="00FD50B2">
              <w:rPr>
                <w:rFonts w:ascii="Times New Roman" w:hAnsi="Times New Roman"/>
                <w:bCs/>
                <w:color w:val="auto"/>
                <w:sz w:val="20"/>
                <w:szCs w:val="20"/>
              </w:rPr>
              <w:t>48 553</w:t>
            </w:r>
            <w:bookmarkEnd w:id="2"/>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Белгородская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29 081,0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107,4</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1,6</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19 367</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Брянская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23 857,0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107,6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1,3</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17 039</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Владимирская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20 234,0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108,6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12 947</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Воронежская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51 172,3</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106,0</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2,9</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21 353</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Ивановская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13 829,5</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104,0</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0,8</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11 722</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Калужская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22 190,1</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112,2</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1,3</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21 113</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Костромская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12 351,8</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106,2</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0,7</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16 167</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Курская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23 239,8</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111,0</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1,3</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18 256</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Липецкая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26 315,5</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105,3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1,5</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21 570</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Московская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193 857,1</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115,3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4,3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30 081</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Орловская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18 086,9</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104,4</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0,4</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20 617</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Рязанская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23 991,4</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112,1</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1,4</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19 385</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Смоленская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26 652,8</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104,2</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1,5</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24 484</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Тамбовская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23 618,8</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107,2</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1,3</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19 315</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Тверская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26 180,9</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105,3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1,5</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17 023</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Тульская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29 490,2</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109,5</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0,7</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1,7</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17 649</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Ярославская область</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25 567,7</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106,0</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0,6</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1,4</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18 603</w:t>
            </w:r>
          </w:p>
        </w:tc>
      </w:tr>
      <w:tr w:rsidR="00C3104B" w:rsidRPr="00FD50B2">
        <w:tc>
          <w:tcPr>
            <w:tcW w:w="1603" w:type="pct"/>
          </w:tcPr>
          <w:p w:rsidR="00C3104B" w:rsidRPr="00FD50B2" w:rsidRDefault="00C3104B" w:rsidP="00FD50B2">
            <w:pPr>
              <w:pStyle w:val="a9"/>
              <w:spacing w:line="360" w:lineRule="auto"/>
              <w:ind w:firstLine="34"/>
              <w:jc w:val="both"/>
              <w:rPr>
                <w:rFonts w:ascii="Times New Roman" w:hAnsi="Times New Roman"/>
                <w:color w:val="auto"/>
                <w:sz w:val="20"/>
                <w:szCs w:val="20"/>
              </w:rPr>
            </w:pPr>
            <w:r w:rsidRPr="00FD50B2">
              <w:rPr>
                <w:rFonts w:ascii="Times New Roman" w:hAnsi="Times New Roman"/>
                <w:color w:val="auto"/>
                <w:sz w:val="20"/>
                <w:szCs w:val="20"/>
              </w:rPr>
              <w:t>г.Москва</w:t>
            </w:r>
          </w:p>
        </w:tc>
        <w:tc>
          <w:tcPr>
            <w:tcW w:w="755"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1 178 970,3</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104,1</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26,3</w:t>
            </w:r>
          </w:p>
        </w:tc>
        <w:tc>
          <w:tcPr>
            <w:tcW w:w="567"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66,7</w:t>
            </w:r>
          </w:p>
        </w:tc>
        <w:tc>
          <w:tcPr>
            <w:tcW w:w="754" w:type="pct"/>
            <w:vAlign w:val="center"/>
          </w:tcPr>
          <w:p w:rsidR="00C3104B" w:rsidRPr="00FD50B2" w:rsidRDefault="00C3104B" w:rsidP="00FD50B2">
            <w:pPr>
              <w:pStyle w:val="a9"/>
              <w:spacing w:line="360" w:lineRule="auto"/>
              <w:ind w:firstLine="34"/>
              <w:jc w:val="both"/>
              <w:rPr>
                <w:rFonts w:ascii="Times New Roman" w:hAnsi="Times New Roman"/>
                <w:bCs/>
                <w:color w:val="auto"/>
                <w:sz w:val="20"/>
                <w:szCs w:val="20"/>
              </w:rPr>
            </w:pPr>
            <w:r w:rsidRPr="00FD50B2">
              <w:rPr>
                <w:rFonts w:ascii="Times New Roman" w:hAnsi="Times New Roman"/>
                <w:bCs/>
                <w:color w:val="auto"/>
                <w:sz w:val="20"/>
                <w:szCs w:val="20"/>
              </w:rPr>
              <w:t>136 692</w:t>
            </w:r>
          </w:p>
        </w:tc>
      </w:tr>
    </w:tbl>
    <w:p w:rsidR="00C3104B" w:rsidRPr="00FD50B2" w:rsidRDefault="00C3104B" w:rsidP="00FD50B2">
      <w:pPr>
        <w:pStyle w:val="a3"/>
        <w:spacing w:before="0" w:beforeAutospacing="0" w:after="0" w:afterAutospacing="0" w:line="360" w:lineRule="auto"/>
        <w:ind w:firstLine="709"/>
        <w:jc w:val="both"/>
        <w:rPr>
          <w:bCs/>
          <w:sz w:val="28"/>
        </w:rPr>
      </w:pPr>
    </w:p>
    <w:p w:rsidR="00C3104B" w:rsidRPr="00FD50B2" w:rsidRDefault="00C3104B" w:rsidP="00FD50B2">
      <w:pPr>
        <w:pStyle w:val="3"/>
        <w:spacing w:before="0" w:after="0" w:line="360" w:lineRule="auto"/>
        <w:ind w:firstLine="709"/>
        <w:jc w:val="center"/>
        <w:rPr>
          <w:rFonts w:ascii="Times New Roman" w:hAnsi="Times New Roman"/>
          <w:sz w:val="28"/>
        </w:rPr>
      </w:pPr>
      <w:r w:rsidRPr="00FD50B2">
        <w:rPr>
          <w:rFonts w:ascii="Times New Roman" w:hAnsi="Times New Roman"/>
          <w:sz w:val="28"/>
        </w:rPr>
        <w:t>Внешнеэкономическая деятельность</w:t>
      </w:r>
    </w:p>
    <w:p w:rsidR="00C3104B" w:rsidRPr="00FD50B2" w:rsidRDefault="00C3104B" w:rsidP="00FD50B2">
      <w:pPr>
        <w:pStyle w:val="a6"/>
        <w:spacing w:line="360" w:lineRule="auto"/>
        <w:rPr>
          <w:rFonts w:ascii="Times New Roman" w:hAnsi="Times New Roman"/>
          <w:sz w:val="28"/>
        </w:rPr>
      </w:pPr>
    </w:p>
    <w:p w:rsidR="00C3104B" w:rsidRPr="00FD50B2" w:rsidRDefault="00C3104B" w:rsidP="00FD50B2">
      <w:pPr>
        <w:pStyle w:val="a6"/>
        <w:spacing w:line="360" w:lineRule="auto"/>
        <w:rPr>
          <w:rFonts w:ascii="Times New Roman" w:hAnsi="Times New Roman"/>
          <w:sz w:val="28"/>
        </w:rPr>
      </w:pPr>
      <w:r w:rsidRPr="00FD50B2">
        <w:rPr>
          <w:rFonts w:ascii="Times New Roman" w:hAnsi="Times New Roman"/>
          <w:sz w:val="28"/>
        </w:rPr>
        <w:t>В Центральный федеральный округ в основном ввозятся топливно-энергетические ресурсы (нефть, газ) и материалы для последующей переработки (древесина, прокат металлов).</w:t>
      </w:r>
    </w:p>
    <w:p w:rsidR="00C3104B" w:rsidRPr="00FD50B2" w:rsidRDefault="00C3104B" w:rsidP="00FD50B2">
      <w:pPr>
        <w:pStyle w:val="a6"/>
        <w:spacing w:line="360" w:lineRule="auto"/>
        <w:rPr>
          <w:rFonts w:ascii="Times New Roman" w:hAnsi="Times New Roman"/>
          <w:sz w:val="28"/>
        </w:rPr>
      </w:pPr>
      <w:r w:rsidRPr="00FD50B2">
        <w:rPr>
          <w:rFonts w:ascii="Times New Roman" w:hAnsi="Times New Roman"/>
          <w:sz w:val="28"/>
        </w:rPr>
        <w:t xml:space="preserve">За пределы Центрального ФО вывозится продукцию машиностроения (станки, тяжелые прессы, насосы, электромоторы, химическая аппаратура, радиоприемники, телевизоры), химической промышленности, легкой, полиграфической, кондитерской, пищевой промышленности (сахар, растительные масла, компьютеры). По объему внешнеторгового оборота ЦФО занимает 1-е место среди федеральных округов РФ. </w:t>
      </w:r>
    </w:p>
    <w:p w:rsidR="00C3104B" w:rsidRDefault="00C3104B" w:rsidP="00FD50B2">
      <w:pPr>
        <w:pStyle w:val="a8"/>
        <w:spacing w:before="0" w:line="360" w:lineRule="auto"/>
        <w:ind w:firstLine="709"/>
        <w:jc w:val="both"/>
        <w:rPr>
          <w:rFonts w:ascii="Times New Roman" w:hAnsi="Times New Roman"/>
          <w:b w:val="0"/>
          <w:sz w:val="28"/>
        </w:rPr>
      </w:pPr>
      <w:r w:rsidRPr="00FD50B2">
        <w:rPr>
          <w:rFonts w:ascii="Times New Roman" w:hAnsi="Times New Roman"/>
          <w:b w:val="0"/>
          <w:sz w:val="28"/>
        </w:rPr>
        <w:t>Внешнеторговый оборот ЦФО</w:t>
      </w:r>
      <w:r w:rsidR="00FD50B2">
        <w:rPr>
          <w:rFonts w:ascii="Times New Roman" w:hAnsi="Times New Roman"/>
          <w:b w:val="0"/>
          <w:sz w:val="28"/>
        </w:rPr>
        <w:t xml:space="preserve"> </w:t>
      </w:r>
      <w:r w:rsidRPr="00FD50B2">
        <w:rPr>
          <w:rFonts w:ascii="Times New Roman" w:hAnsi="Times New Roman"/>
          <w:b w:val="0"/>
          <w:sz w:val="28"/>
        </w:rPr>
        <w:t>в январе-сентябре 2003 года</w:t>
      </w:r>
    </w:p>
    <w:p w:rsidR="00FD50B2" w:rsidRPr="00FD50B2" w:rsidRDefault="00FD50B2" w:rsidP="00FD50B2">
      <w:pPr>
        <w:pStyle w:val="a8"/>
        <w:spacing w:before="0" w:line="360" w:lineRule="auto"/>
        <w:ind w:firstLine="709"/>
        <w:jc w:val="both"/>
        <w:rPr>
          <w:rFonts w:ascii="Times New Roman" w:hAnsi="Times New Roman"/>
          <w:b w:val="0"/>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1981"/>
        <w:gridCol w:w="2162"/>
        <w:gridCol w:w="1620"/>
        <w:gridCol w:w="1076"/>
      </w:tblGrid>
      <w:tr w:rsidR="00C3104B" w:rsidRPr="00FD50B2">
        <w:trPr>
          <w:cantSplit/>
          <w:tblHeader/>
        </w:trPr>
        <w:tc>
          <w:tcPr>
            <w:tcW w:w="1416" w:type="pct"/>
            <w:vMerge w:val="restart"/>
          </w:tcPr>
          <w:p w:rsidR="00C3104B" w:rsidRPr="00FD50B2" w:rsidRDefault="00C3104B" w:rsidP="00FD50B2">
            <w:pPr>
              <w:pStyle w:val="a9"/>
              <w:spacing w:line="360" w:lineRule="auto"/>
              <w:jc w:val="both"/>
              <w:rPr>
                <w:rFonts w:ascii="Times New Roman" w:hAnsi="Times New Roman"/>
                <w:color w:val="auto"/>
                <w:sz w:val="20"/>
                <w:szCs w:val="20"/>
              </w:rPr>
            </w:pPr>
          </w:p>
        </w:tc>
        <w:tc>
          <w:tcPr>
            <w:tcW w:w="1038" w:type="pct"/>
            <w:vMerge w:val="restart"/>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Млн.</w:t>
            </w:r>
            <w:r w:rsidR="00FD50B2" w:rsidRPr="00FD50B2">
              <w:rPr>
                <w:rFonts w:ascii="Times New Roman" w:hAnsi="Times New Roman"/>
                <w:color w:val="auto"/>
                <w:sz w:val="20"/>
                <w:szCs w:val="20"/>
              </w:rPr>
              <w:t xml:space="preserve"> </w:t>
            </w:r>
            <w:r w:rsidRPr="00FD50B2">
              <w:rPr>
                <w:rFonts w:ascii="Times New Roman" w:hAnsi="Times New Roman"/>
                <w:color w:val="auto"/>
                <w:sz w:val="20"/>
                <w:szCs w:val="20"/>
              </w:rPr>
              <w:t>долларов США</w:t>
            </w:r>
          </w:p>
        </w:tc>
        <w:tc>
          <w:tcPr>
            <w:tcW w:w="1982" w:type="pct"/>
            <w:gridSpan w:val="2"/>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В % к</w:t>
            </w:r>
          </w:p>
        </w:tc>
        <w:tc>
          <w:tcPr>
            <w:tcW w:w="564" w:type="pct"/>
          </w:tcPr>
          <w:p w:rsidR="00C3104B" w:rsidRPr="00FD50B2" w:rsidRDefault="00C3104B" w:rsidP="00FD50B2">
            <w:pPr>
              <w:pStyle w:val="a9"/>
              <w:spacing w:line="360" w:lineRule="auto"/>
              <w:jc w:val="both"/>
              <w:rPr>
                <w:rFonts w:ascii="Times New Roman" w:hAnsi="Times New Roman"/>
                <w:color w:val="auto"/>
                <w:sz w:val="20"/>
                <w:szCs w:val="20"/>
              </w:rPr>
            </w:pPr>
          </w:p>
        </w:tc>
      </w:tr>
      <w:tr w:rsidR="00C3104B" w:rsidRPr="00FD50B2">
        <w:trPr>
          <w:cantSplit/>
          <w:tblHeader/>
        </w:trPr>
        <w:tc>
          <w:tcPr>
            <w:tcW w:w="1416" w:type="pct"/>
            <w:vMerge/>
          </w:tcPr>
          <w:p w:rsidR="00C3104B" w:rsidRPr="00FD50B2" w:rsidRDefault="00C3104B" w:rsidP="00FD50B2">
            <w:pPr>
              <w:pStyle w:val="a9"/>
              <w:spacing w:line="360" w:lineRule="auto"/>
              <w:jc w:val="both"/>
              <w:rPr>
                <w:rFonts w:ascii="Times New Roman" w:hAnsi="Times New Roman"/>
                <w:color w:val="auto"/>
                <w:sz w:val="20"/>
                <w:szCs w:val="20"/>
              </w:rPr>
            </w:pPr>
          </w:p>
        </w:tc>
        <w:tc>
          <w:tcPr>
            <w:tcW w:w="1038" w:type="pct"/>
            <w:vMerge/>
          </w:tcPr>
          <w:p w:rsidR="00C3104B" w:rsidRPr="00FD50B2" w:rsidRDefault="00C3104B" w:rsidP="00FD50B2">
            <w:pPr>
              <w:pStyle w:val="a9"/>
              <w:spacing w:line="360" w:lineRule="auto"/>
              <w:jc w:val="both"/>
              <w:rPr>
                <w:rFonts w:ascii="Times New Roman" w:hAnsi="Times New Roman"/>
                <w:color w:val="auto"/>
                <w:sz w:val="20"/>
                <w:szCs w:val="20"/>
              </w:rPr>
            </w:pPr>
          </w:p>
        </w:tc>
        <w:tc>
          <w:tcPr>
            <w:tcW w:w="1133" w:type="pct"/>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 январю-сентябрю 2002г.</w:t>
            </w:r>
          </w:p>
        </w:tc>
        <w:tc>
          <w:tcPr>
            <w:tcW w:w="849" w:type="pct"/>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итогу</w:t>
            </w:r>
          </w:p>
        </w:tc>
        <w:tc>
          <w:tcPr>
            <w:tcW w:w="564" w:type="pct"/>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ЦФО</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Российская Федерация</w:t>
            </w:r>
            <w:r w:rsidRPr="00FD50B2">
              <w:rPr>
                <w:rFonts w:ascii="Times New Roman" w:hAnsi="Times New Roman"/>
                <w:color w:val="auto"/>
                <w:sz w:val="20"/>
                <w:szCs w:val="20"/>
                <w:vertAlign w:val="superscript"/>
              </w:rPr>
              <w:t>2)</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136 289</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125,1</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100</w:t>
            </w:r>
          </w:p>
        </w:tc>
        <w:tc>
          <w:tcPr>
            <w:tcW w:w="564" w:type="pct"/>
            <w:vAlign w:val="center"/>
          </w:tcPr>
          <w:p w:rsidR="00C3104B" w:rsidRPr="00FD50B2" w:rsidRDefault="00C3104B" w:rsidP="00FD50B2">
            <w:pPr>
              <w:pStyle w:val="a9"/>
              <w:spacing w:line="360" w:lineRule="auto"/>
              <w:jc w:val="both"/>
              <w:rPr>
                <w:rFonts w:ascii="Times New Roman" w:hAnsi="Times New Roman"/>
                <w:color w:val="auto"/>
                <w:sz w:val="20"/>
                <w:szCs w:val="20"/>
              </w:rPr>
            </w:pP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Центральный</w:t>
            </w:r>
            <w:r w:rsidR="00FD50B2" w:rsidRPr="00FD50B2">
              <w:rPr>
                <w:rFonts w:ascii="Times New Roman" w:hAnsi="Times New Roman"/>
                <w:color w:val="auto"/>
                <w:sz w:val="20"/>
                <w:szCs w:val="20"/>
              </w:rPr>
              <w:t xml:space="preserve"> </w:t>
            </w:r>
            <w:r w:rsidRPr="00FD50B2">
              <w:rPr>
                <w:rFonts w:ascii="Times New Roman" w:hAnsi="Times New Roman"/>
                <w:color w:val="auto"/>
                <w:sz w:val="20"/>
                <w:szCs w:val="20"/>
              </w:rPr>
              <w:t xml:space="preserve">федеральный округ </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bookmarkStart w:id="3" w:name="OLE_LINK45"/>
            <w:r w:rsidRPr="00FD50B2">
              <w:rPr>
                <w:rFonts w:ascii="Times New Roman" w:hAnsi="Times New Roman"/>
                <w:bCs/>
                <w:color w:val="auto"/>
                <w:sz w:val="20"/>
                <w:szCs w:val="20"/>
              </w:rPr>
              <w:t>47 314,6</w:t>
            </w:r>
            <w:bookmarkEnd w:id="3"/>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125,4</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37,6</w:t>
            </w:r>
          </w:p>
        </w:tc>
        <w:tc>
          <w:tcPr>
            <w:tcW w:w="564" w:type="pct"/>
            <w:vAlign w:val="center"/>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100</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Белгородская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1 146,0</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143,8</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0,9</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2,4</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Брянская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346,6</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124,4</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0,3</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0,7</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Владимирская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326,8</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139,8</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0,3</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0,7</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Воронежская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443,9</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149,6</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0,4</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0,9</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Ивановская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174,2</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113,6</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0,1</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0,4</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Калужская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245,4</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132,9</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0,2</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0,5</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Костромская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95,5</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108,2</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0,1</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0,2</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Курская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224,4</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162,3</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0,2</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0,5</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Липецкая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1 404,3</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135,0</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1,1</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3,0</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Московская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4 341,5</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137,8</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3,5</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9,2</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Орловская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557,0</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180,4</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0,4</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1,2</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Рязанская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650,8</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150,5</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0,5</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1,4</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Смоленская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440,3</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106,8</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0,3</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0,9</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Тамбовская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106,0</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102,5</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0,1</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0,2</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Тверская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188,3</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108,2</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0,1</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0,4</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Тульская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788,6</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104,9</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0,6</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1,7</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Ярославская область</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478,0</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116,4</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0,4</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1,0</w:t>
            </w:r>
          </w:p>
        </w:tc>
      </w:tr>
      <w:tr w:rsidR="00C3104B" w:rsidRPr="00FD50B2">
        <w:tc>
          <w:tcPr>
            <w:tcW w:w="1416" w:type="pct"/>
            <w:vAlign w:val="bottom"/>
          </w:tcPr>
          <w:p w:rsidR="00C3104B" w:rsidRPr="00FD50B2" w:rsidRDefault="00C3104B" w:rsidP="00FD50B2">
            <w:pPr>
              <w:pStyle w:val="a9"/>
              <w:spacing w:line="360" w:lineRule="auto"/>
              <w:jc w:val="both"/>
              <w:rPr>
                <w:rFonts w:ascii="Times New Roman" w:hAnsi="Times New Roman"/>
                <w:color w:val="auto"/>
                <w:sz w:val="20"/>
                <w:szCs w:val="20"/>
              </w:rPr>
            </w:pPr>
            <w:r w:rsidRPr="00FD50B2">
              <w:rPr>
                <w:rFonts w:ascii="Times New Roman" w:hAnsi="Times New Roman"/>
                <w:color w:val="auto"/>
                <w:sz w:val="20"/>
                <w:szCs w:val="20"/>
              </w:rPr>
              <w:t>г.Москва</w:t>
            </w:r>
          </w:p>
        </w:tc>
        <w:tc>
          <w:tcPr>
            <w:tcW w:w="1038"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35 357,1</w:t>
            </w:r>
          </w:p>
        </w:tc>
        <w:tc>
          <w:tcPr>
            <w:tcW w:w="1133"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122,9</w:t>
            </w:r>
          </w:p>
        </w:tc>
        <w:tc>
          <w:tcPr>
            <w:tcW w:w="849"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28,1</w:t>
            </w:r>
          </w:p>
        </w:tc>
        <w:tc>
          <w:tcPr>
            <w:tcW w:w="564" w:type="pct"/>
            <w:vAlign w:val="center"/>
          </w:tcPr>
          <w:p w:rsidR="00C3104B" w:rsidRPr="00FD50B2" w:rsidRDefault="00C3104B" w:rsidP="00FD50B2">
            <w:pPr>
              <w:pStyle w:val="a9"/>
              <w:spacing w:line="360" w:lineRule="auto"/>
              <w:jc w:val="both"/>
              <w:rPr>
                <w:rFonts w:ascii="Times New Roman" w:hAnsi="Times New Roman"/>
                <w:bCs/>
                <w:color w:val="auto"/>
                <w:sz w:val="20"/>
                <w:szCs w:val="20"/>
              </w:rPr>
            </w:pPr>
            <w:r w:rsidRPr="00FD50B2">
              <w:rPr>
                <w:rFonts w:ascii="Times New Roman" w:hAnsi="Times New Roman"/>
                <w:bCs/>
                <w:color w:val="auto"/>
                <w:sz w:val="20"/>
                <w:szCs w:val="20"/>
              </w:rPr>
              <w:t>74,7</w:t>
            </w:r>
          </w:p>
        </w:tc>
      </w:tr>
    </w:tbl>
    <w:p w:rsidR="00C3104B" w:rsidRPr="00FD50B2" w:rsidRDefault="00C3104B" w:rsidP="00FD50B2">
      <w:pPr>
        <w:pStyle w:val="a3"/>
        <w:spacing w:before="0" w:beforeAutospacing="0" w:after="0" w:afterAutospacing="0" w:line="360" w:lineRule="auto"/>
        <w:ind w:firstLine="709"/>
        <w:jc w:val="both"/>
        <w:rPr>
          <w:bCs/>
          <w:sz w:val="28"/>
        </w:rPr>
      </w:pPr>
    </w:p>
    <w:p w:rsidR="005142C5" w:rsidRPr="00FD50B2" w:rsidRDefault="005142C5" w:rsidP="00FD50B2">
      <w:pPr>
        <w:pStyle w:val="a3"/>
        <w:spacing w:before="0" w:beforeAutospacing="0" w:after="0" w:afterAutospacing="0" w:line="360" w:lineRule="auto"/>
        <w:ind w:firstLine="709"/>
        <w:jc w:val="center"/>
        <w:rPr>
          <w:rFonts w:cs="Arial"/>
          <w:b/>
          <w:sz w:val="28"/>
        </w:rPr>
      </w:pPr>
      <w:r w:rsidRPr="00FD50B2">
        <w:rPr>
          <w:rFonts w:cs="Arial"/>
          <w:b/>
          <w:bCs/>
          <w:sz w:val="28"/>
        </w:rPr>
        <w:t>Показатели экономической динамики</w:t>
      </w:r>
    </w:p>
    <w:p w:rsidR="00FD50B2" w:rsidRDefault="00FD50B2" w:rsidP="00FD50B2">
      <w:pPr>
        <w:pStyle w:val="a3"/>
        <w:spacing w:before="0" w:beforeAutospacing="0" w:after="0" w:afterAutospacing="0" w:line="360" w:lineRule="auto"/>
        <w:ind w:firstLine="709"/>
        <w:jc w:val="both"/>
        <w:rPr>
          <w:rFonts w:cs="Arial"/>
          <w:sz w:val="28"/>
        </w:rPr>
      </w:pPr>
    </w:p>
    <w:p w:rsidR="005142C5" w:rsidRPr="00FD50B2" w:rsidRDefault="005142C5" w:rsidP="00FD50B2">
      <w:pPr>
        <w:pStyle w:val="a3"/>
        <w:spacing w:before="0" w:beforeAutospacing="0" w:after="0" w:afterAutospacing="0" w:line="360" w:lineRule="auto"/>
        <w:ind w:firstLine="709"/>
        <w:jc w:val="both"/>
        <w:rPr>
          <w:rFonts w:cs="Arial"/>
          <w:sz w:val="28"/>
        </w:rPr>
      </w:pPr>
      <w:r w:rsidRPr="00FD50B2">
        <w:rPr>
          <w:rFonts w:cs="Arial"/>
          <w:sz w:val="28"/>
        </w:rPr>
        <w:t>В I квартале 2007г. по сравнению с I кварталом 2006г. рост основных экономических показателей отмечен в большинстве субъектов Российской Федерации (от 77% до 98% общего их числа по отдельным показателям).</w:t>
      </w:r>
    </w:p>
    <w:p w:rsidR="009D7C09" w:rsidRPr="00FD50B2" w:rsidRDefault="009D7C09" w:rsidP="00FD50B2">
      <w:pPr>
        <w:pStyle w:val="a3"/>
        <w:spacing w:before="0" w:beforeAutospacing="0" w:after="0" w:afterAutospacing="0" w:line="360" w:lineRule="auto"/>
        <w:ind w:firstLine="709"/>
        <w:jc w:val="both"/>
        <w:rPr>
          <w:rFonts w:cs="Arial"/>
          <w:bCs/>
          <w:sz w:val="28"/>
        </w:rPr>
      </w:pPr>
    </w:p>
    <w:p w:rsidR="00E73643" w:rsidRPr="00FD50B2" w:rsidRDefault="00E73643" w:rsidP="00FD50B2">
      <w:pPr>
        <w:pStyle w:val="a3"/>
        <w:spacing w:before="0" w:beforeAutospacing="0" w:after="0" w:afterAutospacing="0" w:line="360" w:lineRule="auto"/>
        <w:ind w:firstLine="709"/>
        <w:jc w:val="center"/>
        <w:rPr>
          <w:rFonts w:cs="Arial"/>
          <w:b/>
          <w:bCs/>
          <w:sz w:val="28"/>
        </w:rPr>
      </w:pPr>
      <w:r w:rsidRPr="00FD50B2">
        <w:rPr>
          <w:rFonts w:cs="Arial"/>
          <w:b/>
          <w:bCs/>
          <w:sz w:val="28"/>
        </w:rPr>
        <w:t>Цены</w:t>
      </w:r>
    </w:p>
    <w:p w:rsidR="00FD50B2" w:rsidRDefault="00FD50B2" w:rsidP="00FD50B2">
      <w:pPr>
        <w:pStyle w:val="a3"/>
        <w:spacing w:before="0" w:beforeAutospacing="0" w:after="0" w:afterAutospacing="0" w:line="360" w:lineRule="auto"/>
        <w:ind w:firstLine="709"/>
        <w:jc w:val="both"/>
        <w:rPr>
          <w:rFonts w:cs="Arial"/>
          <w:sz w:val="28"/>
        </w:rPr>
      </w:pPr>
    </w:p>
    <w:p w:rsidR="00E73643" w:rsidRPr="00FD50B2" w:rsidRDefault="00E73643" w:rsidP="00FD50B2">
      <w:pPr>
        <w:pStyle w:val="a3"/>
        <w:spacing w:before="0" w:beforeAutospacing="0" w:after="0" w:afterAutospacing="0" w:line="360" w:lineRule="auto"/>
        <w:ind w:firstLine="709"/>
        <w:jc w:val="both"/>
        <w:rPr>
          <w:rFonts w:cs="Arial"/>
          <w:sz w:val="28"/>
        </w:rPr>
      </w:pPr>
      <w:r w:rsidRPr="00FD50B2">
        <w:rPr>
          <w:rFonts w:cs="Arial"/>
          <w:sz w:val="28"/>
        </w:rPr>
        <w:t>По индексам потребительских цен наибольшее превышение среднероссийского уровня отмечено в Смоленской области, по индексам цен производителей промышленных товаров в ЦФО лидирует Тверская область.</w:t>
      </w:r>
    </w:p>
    <w:p w:rsidR="00E73643" w:rsidRDefault="00E73643" w:rsidP="00FD50B2">
      <w:pPr>
        <w:pStyle w:val="a3"/>
        <w:spacing w:before="0" w:beforeAutospacing="0" w:after="0" w:afterAutospacing="0" w:line="360" w:lineRule="auto"/>
        <w:ind w:firstLine="709"/>
        <w:jc w:val="both"/>
        <w:rPr>
          <w:sz w:val="28"/>
          <w:szCs w:val="15"/>
        </w:rPr>
      </w:pPr>
      <w:r w:rsidRPr="00FD50B2">
        <w:rPr>
          <w:sz w:val="28"/>
          <w:szCs w:val="15"/>
        </w:rPr>
        <w:t>на конец месяца</w:t>
      </w:r>
    </w:p>
    <w:p w:rsidR="00FD50B2" w:rsidRPr="00FD50B2" w:rsidRDefault="00FD50B2" w:rsidP="00FD50B2">
      <w:pPr>
        <w:pStyle w:val="a3"/>
        <w:spacing w:before="0" w:beforeAutospacing="0" w:after="0" w:afterAutospacing="0" w:line="360" w:lineRule="auto"/>
        <w:ind w:firstLine="709"/>
        <w:jc w:val="both"/>
        <w:rPr>
          <w:sz w:val="28"/>
          <w:szCs w:val="15"/>
        </w:rPr>
      </w:pPr>
    </w:p>
    <w:tbl>
      <w:tblPr>
        <w:tblW w:w="8764"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78"/>
        <w:gridCol w:w="1707"/>
        <w:gridCol w:w="1154"/>
        <w:gridCol w:w="1043"/>
        <w:gridCol w:w="976"/>
        <w:gridCol w:w="1182"/>
        <w:gridCol w:w="1124"/>
      </w:tblGrid>
      <w:tr w:rsidR="00E73643" w:rsidRPr="00FD50B2" w:rsidTr="00DF39AD">
        <w:trPr>
          <w:tblCellSpacing w:w="7" w:type="dxa"/>
          <w:jc w:val="center"/>
        </w:trPr>
        <w:tc>
          <w:tcPr>
            <w:tcW w:w="1847" w:type="pct"/>
            <w:vMerge w:val="restart"/>
            <w:tcBorders>
              <w:top w:val="outset" w:sz="6" w:space="0" w:color="auto"/>
              <w:bottom w:val="outset" w:sz="6" w:space="0" w:color="auto"/>
              <w:right w:val="outset" w:sz="6" w:space="0" w:color="auto"/>
            </w:tcBorders>
          </w:tcPr>
          <w:p w:rsidR="00E73643" w:rsidRPr="00FD50B2" w:rsidRDefault="00E73643" w:rsidP="00FD50B2">
            <w:pPr>
              <w:spacing w:line="360" w:lineRule="auto"/>
              <w:ind w:firstLine="4"/>
              <w:jc w:val="both"/>
              <w:rPr>
                <w:sz w:val="20"/>
                <w:szCs w:val="20"/>
              </w:rPr>
            </w:pPr>
          </w:p>
        </w:tc>
        <w:tc>
          <w:tcPr>
            <w:tcW w:w="3129" w:type="pct"/>
            <w:gridSpan w:val="6"/>
            <w:tcBorders>
              <w:top w:val="outset" w:sz="6" w:space="0" w:color="auto"/>
              <w:left w:val="outset" w:sz="6" w:space="0" w:color="auto"/>
              <w:bottom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Март 2007г. в % к декабрю 2006г.</w:t>
            </w:r>
          </w:p>
        </w:tc>
      </w:tr>
      <w:tr w:rsidR="00E73643" w:rsidRPr="00FD50B2" w:rsidTr="00DF39AD">
        <w:trPr>
          <w:tblCellSpacing w:w="7" w:type="dxa"/>
          <w:jc w:val="center"/>
        </w:trPr>
        <w:tc>
          <w:tcPr>
            <w:tcW w:w="1847" w:type="pct"/>
            <w:vMerge/>
            <w:tcBorders>
              <w:top w:val="outset" w:sz="6" w:space="0" w:color="auto"/>
              <w:bottom w:val="outset" w:sz="6" w:space="0" w:color="auto"/>
              <w:right w:val="outset" w:sz="6" w:space="0" w:color="auto"/>
            </w:tcBorders>
            <w:vAlign w:val="center"/>
          </w:tcPr>
          <w:p w:rsidR="00E73643" w:rsidRPr="00FD50B2" w:rsidRDefault="00E73643" w:rsidP="00FD50B2">
            <w:pPr>
              <w:spacing w:line="360" w:lineRule="auto"/>
              <w:ind w:firstLine="4"/>
              <w:jc w:val="both"/>
              <w:rPr>
                <w:sz w:val="20"/>
                <w:szCs w:val="20"/>
              </w:rPr>
            </w:pPr>
          </w:p>
        </w:tc>
        <w:tc>
          <w:tcPr>
            <w:tcW w:w="512" w:type="pct"/>
            <w:vMerge w:val="restart"/>
            <w:tcBorders>
              <w:top w:val="outset" w:sz="6" w:space="0" w:color="auto"/>
              <w:left w:val="outset" w:sz="6" w:space="0" w:color="auto"/>
              <w:bottom w:val="outset" w:sz="6" w:space="0" w:color="auto"/>
              <w:right w:val="outset" w:sz="6" w:space="0" w:color="auto"/>
            </w:tcBorders>
          </w:tcPr>
          <w:p w:rsidR="00E73643" w:rsidRPr="00FD50B2" w:rsidRDefault="00FD50B2" w:rsidP="00FD50B2">
            <w:pPr>
              <w:pStyle w:val="a3"/>
              <w:spacing w:before="0" w:beforeAutospacing="0" w:after="0" w:afterAutospacing="0" w:line="360" w:lineRule="auto"/>
              <w:ind w:firstLine="4"/>
              <w:jc w:val="both"/>
              <w:rPr>
                <w:sz w:val="20"/>
                <w:szCs w:val="20"/>
              </w:rPr>
            </w:pPr>
            <w:r w:rsidRPr="00FD50B2">
              <w:rPr>
                <w:sz w:val="20"/>
                <w:szCs w:val="20"/>
              </w:rPr>
              <w:t>И</w:t>
            </w:r>
            <w:r w:rsidR="00E73643" w:rsidRPr="00FD50B2">
              <w:rPr>
                <w:sz w:val="20"/>
                <w:szCs w:val="20"/>
              </w:rPr>
              <w:t>ндекс</w:t>
            </w:r>
            <w:r w:rsidRPr="00FD50B2">
              <w:rPr>
                <w:sz w:val="20"/>
                <w:szCs w:val="20"/>
              </w:rPr>
              <w:t xml:space="preserve"> </w:t>
            </w:r>
            <w:r w:rsidR="00E73643" w:rsidRPr="00FD50B2">
              <w:rPr>
                <w:sz w:val="20"/>
                <w:szCs w:val="20"/>
              </w:rPr>
              <w:t>потребительских</w:t>
            </w:r>
            <w:r w:rsidRPr="00FD50B2">
              <w:rPr>
                <w:sz w:val="20"/>
                <w:szCs w:val="20"/>
              </w:rPr>
              <w:t xml:space="preserve"> </w:t>
            </w:r>
            <w:r w:rsidR="00E73643" w:rsidRPr="00FD50B2">
              <w:rPr>
                <w:sz w:val="20"/>
                <w:szCs w:val="20"/>
              </w:rPr>
              <w:t>цен</w:t>
            </w:r>
          </w:p>
        </w:tc>
        <w:tc>
          <w:tcPr>
            <w:tcW w:w="601" w:type="pct"/>
            <w:vMerge w:val="restart"/>
            <w:tcBorders>
              <w:top w:val="outset" w:sz="6" w:space="0" w:color="auto"/>
              <w:left w:val="outset" w:sz="6" w:space="0" w:color="auto"/>
              <w:bottom w:val="outset" w:sz="6" w:space="0" w:color="auto"/>
              <w:right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изменение</w:t>
            </w:r>
            <w:r w:rsidRPr="00FD50B2">
              <w:rPr>
                <w:sz w:val="20"/>
                <w:szCs w:val="20"/>
              </w:rPr>
              <w:br/>
              <w:t>стоимости фиксиро-</w:t>
            </w:r>
            <w:r w:rsidRPr="00FD50B2">
              <w:rPr>
                <w:sz w:val="20"/>
                <w:szCs w:val="20"/>
              </w:rPr>
              <w:br/>
              <w:t>ванного набора потреби-</w:t>
            </w:r>
            <w:r w:rsidRPr="00FD50B2">
              <w:rPr>
                <w:sz w:val="20"/>
                <w:szCs w:val="20"/>
              </w:rPr>
              <w:br/>
              <w:t>тельских</w:t>
            </w:r>
            <w:r w:rsidRPr="00FD50B2">
              <w:rPr>
                <w:sz w:val="20"/>
                <w:szCs w:val="20"/>
              </w:rPr>
              <w:br/>
              <w:t>товаров</w:t>
            </w:r>
            <w:r w:rsidRPr="00FD50B2">
              <w:rPr>
                <w:sz w:val="20"/>
                <w:szCs w:val="20"/>
              </w:rPr>
              <w:br/>
              <w:t>и услуг</w:t>
            </w:r>
          </w:p>
        </w:tc>
        <w:tc>
          <w:tcPr>
            <w:tcW w:w="2000" w:type="pct"/>
            <w:gridSpan w:val="4"/>
            <w:tcBorders>
              <w:top w:val="outset" w:sz="6" w:space="0" w:color="auto"/>
              <w:left w:val="outset" w:sz="6" w:space="0" w:color="auto"/>
              <w:bottom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индексы цен производителей</w:t>
            </w:r>
          </w:p>
        </w:tc>
      </w:tr>
      <w:tr w:rsidR="00E73643" w:rsidRPr="00FD50B2" w:rsidTr="00DF39AD">
        <w:trPr>
          <w:tblCellSpacing w:w="7" w:type="dxa"/>
          <w:jc w:val="center"/>
        </w:trPr>
        <w:tc>
          <w:tcPr>
            <w:tcW w:w="1847" w:type="pct"/>
            <w:vMerge/>
            <w:tcBorders>
              <w:top w:val="outset" w:sz="6" w:space="0" w:color="auto"/>
              <w:bottom w:val="outset" w:sz="6" w:space="0" w:color="auto"/>
              <w:right w:val="outset" w:sz="6" w:space="0" w:color="auto"/>
            </w:tcBorders>
            <w:vAlign w:val="center"/>
          </w:tcPr>
          <w:p w:rsidR="00E73643" w:rsidRPr="00FD50B2" w:rsidRDefault="00E73643" w:rsidP="00FD50B2">
            <w:pPr>
              <w:spacing w:line="360" w:lineRule="auto"/>
              <w:ind w:firstLine="4"/>
              <w:jc w:val="both"/>
              <w:rPr>
                <w:sz w:val="20"/>
                <w:szCs w:val="20"/>
              </w:rPr>
            </w:pPr>
          </w:p>
        </w:tc>
        <w:tc>
          <w:tcPr>
            <w:tcW w:w="512" w:type="pct"/>
            <w:vMerge/>
            <w:tcBorders>
              <w:top w:val="outset" w:sz="6" w:space="0" w:color="auto"/>
              <w:left w:val="outset" w:sz="6" w:space="0" w:color="auto"/>
              <w:bottom w:val="outset" w:sz="6" w:space="0" w:color="auto"/>
              <w:right w:val="outset" w:sz="6" w:space="0" w:color="auto"/>
            </w:tcBorders>
            <w:vAlign w:val="center"/>
          </w:tcPr>
          <w:p w:rsidR="00E73643" w:rsidRPr="00FD50B2" w:rsidRDefault="00E73643" w:rsidP="00FD50B2">
            <w:pPr>
              <w:spacing w:line="360" w:lineRule="auto"/>
              <w:ind w:firstLine="4"/>
              <w:jc w:val="both"/>
              <w:rPr>
                <w:sz w:val="20"/>
                <w:szCs w:val="20"/>
              </w:rPr>
            </w:pPr>
          </w:p>
        </w:tc>
        <w:tc>
          <w:tcPr>
            <w:tcW w:w="601" w:type="pct"/>
            <w:vMerge/>
            <w:tcBorders>
              <w:top w:val="outset" w:sz="6" w:space="0" w:color="auto"/>
              <w:left w:val="outset" w:sz="6" w:space="0" w:color="auto"/>
              <w:bottom w:val="outset" w:sz="6" w:space="0" w:color="auto"/>
              <w:right w:val="outset" w:sz="6" w:space="0" w:color="auto"/>
            </w:tcBorders>
            <w:vAlign w:val="center"/>
          </w:tcPr>
          <w:p w:rsidR="00E73643" w:rsidRPr="00FD50B2" w:rsidRDefault="00E73643" w:rsidP="00FD50B2">
            <w:pPr>
              <w:spacing w:line="360" w:lineRule="auto"/>
              <w:ind w:firstLine="4"/>
              <w:jc w:val="both"/>
              <w:rPr>
                <w:sz w:val="20"/>
                <w:szCs w:val="20"/>
              </w:rPr>
            </w:pPr>
          </w:p>
        </w:tc>
        <w:tc>
          <w:tcPr>
            <w:tcW w:w="475" w:type="pct"/>
            <w:tcBorders>
              <w:top w:val="outset" w:sz="6" w:space="0" w:color="auto"/>
              <w:left w:val="outset" w:sz="6" w:space="0" w:color="auto"/>
              <w:bottom w:val="outset" w:sz="6" w:space="0" w:color="auto"/>
              <w:right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промыш-</w:t>
            </w:r>
            <w:r w:rsidRPr="00FD50B2">
              <w:rPr>
                <w:sz w:val="20"/>
                <w:szCs w:val="20"/>
              </w:rPr>
              <w:br/>
              <w:t>ленных товаров</w:t>
            </w:r>
          </w:p>
        </w:tc>
        <w:tc>
          <w:tcPr>
            <w:tcW w:w="461" w:type="pct"/>
            <w:tcBorders>
              <w:top w:val="outset" w:sz="6" w:space="0" w:color="auto"/>
              <w:left w:val="outset" w:sz="6" w:space="0" w:color="auto"/>
              <w:bottom w:val="outset" w:sz="6" w:space="0" w:color="auto"/>
              <w:right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сельско-</w:t>
            </w:r>
            <w:r w:rsidRPr="00FD50B2">
              <w:rPr>
                <w:sz w:val="20"/>
                <w:szCs w:val="20"/>
              </w:rPr>
              <w:br/>
              <w:t>хозяйст-</w:t>
            </w:r>
            <w:r w:rsidRPr="00FD50B2">
              <w:rPr>
                <w:sz w:val="20"/>
                <w:szCs w:val="20"/>
              </w:rPr>
              <w:br/>
              <w:t>венной продук-</w:t>
            </w:r>
            <w:r w:rsidRPr="00FD50B2">
              <w:rPr>
                <w:sz w:val="20"/>
                <w:szCs w:val="20"/>
              </w:rPr>
              <w:br/>
              <w:t>ции</w:t>
            </w:r>
          </w:p>
        </w:tc>
        <w:tc>
          <w:tcPr>
            <w:tcW w:w="534" w:type="pct"/>
            <w:tcBorders>
              <w:top w:val="outset" w:sz="6" w:space="0" w:color="auto"/>
              <w:left w:val="outset" w:sz="6" w:space="0" w:color="auto"/>
              <w:bottom w:val="outset" w:sz="6" w:space="0" w:color="auto"/>
              <w:right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строи-</w:t>
            </w:r>
            <w:r w:rsidRPr="00FD50B2">
              <w:rPr>
                <w:sz w:val="20"/>
                <w:szCs w:val="20"/>
              </w:rPr>
              <w:br/>
              <w:t>тельной продукции</w:t>
            </w:r>
          </w:p>
        </w:tc>
        <w:tc>
          <w:tcPr>
            <w:tcW w:w="506" w:type="pct"/>
            <w:tcBorders>
              <w:top w:val="outset" w:sz="6" w:space="0" w:color="auto"/>
              <w:left w:val="outset" w:sz="6" w:space="0" w:color="auto"/>
              <w:bottom w:val="outset" w:sz="6" w:space="0" w:color="auto"/>
            </w:tcBorders>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тарифы</w:t>
            </w:r>
            <w:r w:rsidRPr="00FD50B2">
              <w:rPr>
                <w:sz w:val="20"/>
                <w:szCs w:val="20"/>
              </w:rPr>
              <w:br/>
              <w:t>на</w:t>
            </w:r>
            <w:r w:rsidRPr="00FD50B2">
              <w:rPr>
                <w:sz w:val="20"/>
                <w:szCs w:val="20"/>
              </w:rPr>
              <w:br/>
              <w:t>грузовые перевозки</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Российская Федерация</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103,4</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106,8</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101,8</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103,1</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102,8</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111,1</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Центральный</w:t>
            </w:r>
            <w:r w:rsidRPr="00FD50B2">
              <w:rPr>
                <w:sz w:val="20"/>
                <w:szCs w:val="20"/>
              </w:rPr>
              <w:br/>
              <w:t>федеральный округ</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103,6</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106,8</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103,2</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103,5</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103,2</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109,0</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Белгородская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103,4</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106,4</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103,3</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102,4</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102,3</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115,2</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Брянская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104,4</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107,1</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108,6</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98,5</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103,0</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118,6</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Владимирская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104,0</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109,9</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106,4</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102,9</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103,2</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101,7</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Воронежская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102,9</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106,3</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105,8</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103,4</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103,9</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106,4</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Ивановская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103,9</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106,9</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104,6</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103,7</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104,7</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100,0</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Калужская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103,1</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105,5</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107,2</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103,0</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103,9</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100,4</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Костромская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103,8</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107,0</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111,3</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110,5</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102,9</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104,6</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Курская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103,2</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106,0</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97,8</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104,6</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102,9</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126,3</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Липецкая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102,5</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104,1</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101,2</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102,6</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102,8</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98,3</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Московская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103,1</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105,2</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102,3</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106,5</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103,5</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111,7</w:t>
            </w:r>
          </w:p>
        </w:tc>
      </w:tr>
      <w:tr w:rsidR="00E73643" w:rsidRPr="00FD50B2" w:rsidTr="00FD50B2">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Орловская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102,8</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104,6</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104,8</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102,9</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103,5</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101,0</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Рязанская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104,3</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109,0</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105,3</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103,1</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102,9</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117,1</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Смоленская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105,2</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108,5</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106,1</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106,3</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103,5</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102,4</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Тамбовская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104,4</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107,1</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106,4</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102,6</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101,2</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112,8</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Тверская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103,5</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110,2</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108,2</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100,2</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103,5</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101,8</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Тульская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104,2</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106,4</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105,7</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103,1</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102,4</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100,0</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Ярославская область</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103,8</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105,3</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103,8</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101,3</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101,0</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109,0</w:t>
            </w:r>
          </w:p>
        </w:tc>
      </w:tr>
      <w:tr w:rsidR="00E73643" w:rsidRPr="00FD50B2" w:rsidTr="00DF39AD">
        <w:trPr>
          <w:tblCellSpacing w:w="7" w:type="dxa"/>
          <w:jc w:val="center"/>
        </w:trPr>
        <w:tc>
          <w:tcPr>
            <w:tcW w:w="1847" w:type="pct"/>
            <w:tcBorders>
              <w:top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г.Москва</w:t>
            </w:r>
          </w:p>
        </w:tc>
        <w:tc>
          <w:tcPr>
            <w:tcW w:w="512"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104,1</w:t>
            </w:r>
          </w:p>
        </w:tc>
        <w:tc>
          <w:tcPr>
            <w:tcW w:w="60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rFonts w:cs="Times New Roman CYR"/>
                <w:sz w:val="20"/>
                <w:szCs w:val="20"/>
              </w:rPr>
              <w:t>106,7</w:t>
            </w:r>
          </w:p>
        </w:tc>
        <w:tc>
          <w:tcPr>
            <w:tcW w:w="475"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101,9</w:t>
            </w:r>
          </w:p>
        </w:tc>
        <w:tc>
          <w:tcPr>
            <w:tcW w:w="461"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w:t>
            </w:r>
          </w:p>
        </w:tc>
        <w:tc>
          <w:tcPr>
            <w:tcW w:w="534" w:type="pct"/>
            <w:tcBorders>
              <w:top w:val="outset" w:sz="6" w:space="0" w:color="auto"/>
              <w:left w:val="outset" w:sz="6" w:space="0" w:color="auto"/>
              <w:bottom w:val="outset" w:sz="6" w:space="0" w:color="auto"/>
              <w:right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103,6</w:t>
            </w:r>
          </w:p>
        </w:tc>
        <w:tc>
          <w:tcPr>
            <w:tcW w:w="506" w:type="pct"/>
            <w:tcBorders>
              <w:top w:val="outset" w:sz="6" w:space="0" w:color="auto"/>
              <w:left w:val="outset" w:sz="6" w:space="0" w:color="auto"/>
              <w:bottom w:val="outset" w:sz="6" w:space="0" w:color="auto"/>
            </w:tcBorders>
            <w:vAlign w:val="bottom"/>
          </w:tcPr>
          <w:p w:rsidR="00E73643" w:rsidRPr="00FD50B2" w:rsidRDefault="00E73643" w:rsidP="00FD50B2">
            <w:pPr>
              <w:pStyle w:val="a3"/>
              <w:spacing w:before="0" w:beforeAutospacing="0" w:after="0" w:afterAutospacing="0" w:line="360" w:lineRule="auto"/>
              <w:ind w:firstLine="4"/>
              <w:jc w:val="both"/>
              <w:rPr>
                <w:sz w:val="20"/>
                <w:szCs w:val="20"/>
              </w:rPr>
            </w:pPr>
            <w:r w:rsidRPr="00FD50B2">
              <w:rPr>
                <w:sz w:val="20"/>
                <w:szCs w:val="20"/>
              </w:rPr>
              <w:t>107,3</w:t>
            </w:r>
          </w:p>
        </w:tc>
      </w:tr>
    </w:tbl>
    <w:p w:rsidR="00F85012" w:rsidRPr="00FD50B2" w:rsidRDefault="00F85012" w:rsidP="00FD50B2">
      <w:pPr>
        <w:pStyle w:val="a3"/>
        <w:spacing w:before="0" w:beforeAutospacing="0" w:after="0" w:afterAutospacing="0" w:line="360" w:lineRule="auto"/>
        <w:ind w:firstLine="709"/>
        <w:jc w:val="both"/>
        <w:rPr>
          <w:rFonts w:cs="Arial"/>
          <w:sz w:val="28"/>
          <w:szCs w:val="22"/>
          <w:lang w:val="en-US"/>
        </w:rPr>
      </w:pPr>
    </w:p>
    <w:p w:rsidR="00F85012" w:rsidRPr="00FD50B2" w:rsidRDefault="00F85012" w:rsidP="00FD50B2">
      <w:pPr>
        <w:pStyle w:val="a3"/>
        <w:spacing w:before="0" w:beforeAutospacing="0" w:after="0" w:afterAutospacing="0" w:line="360" w:lineRule="auto"/>
        <w:ind w:firstLine="709"/>
        <w:jc w:val="center"/>
        <w:rPr>
          <w:rFonts w:cs="Arial"/>
          <w:b/>
          <w:sz w:val="28"/>
          <w:szCs w:val="22"/>
        </w:rPr>
      </w:pPr>
      <w:r w:rsidRPr="00FD50B2">
        <w:rPr>
          <w:rFonts w:cs="Arial"/>
          <w:b/>
          <w:sz w:val="28"/>
          <w:szCs w:val="22"/>
        </w:rPr>
        <w:t>Уровень жизни населения</w:t>
      </w:r>
    </w:p>
    <w:p w:rsidR="00FD50B2" w:rsidRDefault="00FD50B2" w:rsidP="00FD50B2">
      <w:pPr>
        <w:pStyle w:val="a3"/>
        <w:spacing w:before="0" w:beforeAutospacing="0" w:after="0" w:afterAutospacing="0" w:line="360" w:lineRule="auto"/>
        <w:ind w:firstLine="709"/>
        <w:jc w:val="both"/>
        <w:rPr>
          <w:rFonts w:cs="Arial"/>
          <w:sz w:val="28"/>
        </w:rPr>
      </w:pPr>
    </w:p>
    <w:p w:rsidR="006B429F" w:rsidRPr="00FD50B2" w:rsidRDefault="006B429F" w:rsidP="00FD50B2">
      <w:pPr>
        <w:pStyle w:val="a3"/>
        <w:spacing w:before="0" w:beforeAutospacing="0" w:after="0" w:afterAutospacing="0" w:line="360" w:lineRule="auto"/>
        <w:ind w:firstLine="709"/>
        <w:jc w:val="both"/>
        <w:rPr>
          <w:rFonts w:cs="Arial"/>
          <w:sz w:val="28"/>
        </w:rPr>
      </w:pPr>
      <w:r w:rsidRPr="00FD50B2">
        <w:rPr>
          <w:rFonts w:cs="Arial"/>
          <w:sz w:val="28"/>
        </w:rPr>
        <w:t>Федеральная служба государственной статистики опубликовала данные уровня жизни населения.</w:t>
      </w:r>
    </w:p>
    <w:p w:rsidR="006B429F" w:rsidRPr="00FD50B2" w:rsidRDefault="006B429F" w:rsidP="00FD50B2">
      <w:pPr>
        <w:pStyle w:val="a3"/>
        <w:spacing w:before="0" w:beforeAutospacing="0" w:after="0" w:afterAutospacing="0" w:line="360" w:lineRule="auto"/>
        <w:ind w:firstLine="709"/>
        <w:jc w:val="both"/>
        <w:rPr>
          <w:rFonts w:cs="Arial"/>
          <w:sz w:val="28"/>
        </w:rPr>
      </w:pPr>
      <w:r w:rsidRPr="00FD50B2">
        <w:rPr>
          <w:rFonts w:cs="Arial"/>
          <w:sz w:val="28"/>
        </w:rPr>
        <w:t>Реальные денежные доходы населения в I полугодии 2007г. по сравнению с I полугодием 2006г. увеличились во всех областях ЦФО. Наибольший их прирост (более, чем на 20%) отмечен в Московской и Калужской областях.</w:t>
      </w:r>
    </w:p>
    <w:p w:rsidR="006B429F" w:rsidRPr="00FD50B2" w:rsidRDefault="006B429F" w:rsidP="00FD50B2">
      <w:pPr>
        <w:pStyle w:val="a3"/>
        <w:spacing w:before="0" w:beforeAutospacing="0" w:after="0" w:afterAutospacing="0" w:line="360" w:lineRule="auto"/>
        <w:ind w:firstLine="709"/>
        <w:jc w:val="both"/>
        <w:rPr>
          <w:rFonts w:cs="Arial"/>
          <w:sz w:val="28"/>
        </w:rPr>
      </w:pPr>
      <w:r w:rsidRPr="00FD50B2">
        <w:rPr>
          <w:rFonts w:cs="Arial"/>
          <w:sz w:val="28"/>
        </w:rPr>
        <w:t>При этом коэффициент вариации денежных доходов на душу населения по субъектам Российской Федерации высокий (44,2%). Различие между максимальным (в г.Москве) и минимальным в ЦФО (в Ивановской области) размерами среднедушевых денежных доходов населения составило 6 раз.</w:t>
      </w:r>
    </w:p>
    <w:p w:rsidR="006B429F" w:rsidRPr="00FD50B2" w:rsidRDefault="006B429F" w:rsidP="00FD50B2">
      <w:pPr>
        <w:pStyle w:val="a3"/>
        <w:spacing w:before="0" w:beforeAutospacing="0" w:after="0" w:afterAutospacing="0" w:line="360" w:lineRule="auto"/>
        <w:ind w:firstLine="709"/>
        <w:jc w:val="both"/>
        <w:rPr>
          <w:rFonts w:cs="Arial"/>
          <w:sz w:val="28"/>
        </w:rPr>
      </w:pPr>
      <w:r w:rsidRPr="00FD50B2">
        <w:rPr>
          <w:rFonts w:cs="Arial"/>
          <w:sz w:val="28"/>
        </w:rPr>
        <w:t>Наибольший темп роста реальной начисленной заработной платы (более, чем на 25%) отмечен в Воронежской, Московской областях.</w:t>
      </w:r>
    </w:p>
    <w:p w:rsidR="006B429F" w:rsidRPr="00FD50B2" w:rsidRDefault="006B429F" w:rsidP="00FD50B2">
      <w:pPr>
        <w:pStyle w:val="a3"/>
        <w:spacing w:before="0" w:beforeAutospacing="0" w:after="0" w:afterAutospacing="0" w:line="360" w:lineRule="auto"/>
        <w:ind w:firstLine="709"/>
        <w:jc w:val="both"/>
        <w:rPr>
          <w:rFonts w:cs="Arial"/>
          <w:sz w:val="28"/>
        </w:rPr>
      </w:pPr>
      <w:r w:rsidRPr="00FD50B2">
        <w:rPr>
          <w:rFonts w:cs="Arial"/>
          <w:sz w:val="28"/>
        </w:rPr>
        <w:t>К концу I полугодия по сравнению с соответствующим периодом прошлого года реальный размер назначенных месячных пенсий увеличился во всех областях ЦФО. Наиболее положительно выглядят Орловская и Воронежская области.</w:t>
      </w:r>
    </w:p>
    <w:p w:rsidR="006B429F" w:rsidRDefault="006B429F" w:rsidP="00FD50B2">
      <w:pPr>
        <w:pStyle w:val="a3"/>
        <w:spacing w:before="0" w:beforeAutospacing="0" w:after="0" w:afterAutospacing="0" w:line="360" w:lineRule="auto"/>
        <w:ind w:firstLine="709"/>
        <w:jc w:val="both"/>
        <w:rPr>
          <w:rFonts w:cs="Arial"/>
          <w:sz w:val="28"/>
        </w:rPr>
      </w:pPr>
      <w:r w:rsidRPr="00FD50B2">
        <w:rPr>
          <w:rFonts w:cs="Arial"/>
          <w:sz w:val="28"/>
        </w:rPr>
        <w:t>в % к соответствующему периоду 2006г.</w:t>
      </w:r>
    </w:p>
    <w:p w:rsidR="00FD50B2" w:rsidRPr="00FD50B2" w:rsidRDefault="00FD50B2" w:rsidP="00FD50B2">
      <w:pPr>
        <w:pStyle w:val="a3"/>
        <w:spacing w:before="0" w:beforeAutospacing="0" w:after="0" w:afterAutospacing="0" w:line="360" w:lineRule="auto"/>
        <w:ind w:firstLine="709"/>
        <w:jc w:val="both"/>
        <w:rPr>
          <w:rFonts w:cs="Arial"/>
          <w:sz w:val="28"/>
        </w:rPr>
      </w:pPr>
    </w:p>
    <w:tbl>
      <w:tblPr>
        <w:tblW w:w="94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86"/>
        <w:gridCol w:w="1158"/>
        <w:gridCol w:w="1158"/>
        <w:gridCol w:w="1260"/>
        <w:gridCol w:w="3138"/>
      </w:tblGrid>
      <w:tr w:rsidR="006B429F" w:rsidRPr="00FD50B2" w:rsidTr="00DF39AD">
        <w:trPr>
          <w:tblCellSpacing w:w="7" w:type="dxa"/>
        </w:trPr>
        <w:tc>
          <w:tcPr>
            <w:tcW w:w="1422" w:type="pct"/>
            <w:vMerge w:val="restart"/>
            <w:tcBorders>
              <w:top w:val="outset" w:sz="6" w:space="0" w:color="auto"/>
              <w:bottom w:val="outset" w:sz="6" w:space="0" w:color="auto"/>
              <w:right w:val="outset" w:sz="6" w:space="0" w:color="auto"/>
            </w:tcBorders>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 </w:t>
            </w:r>
          </w:p>
        </w:tc>
        <w:tc>
          <w:tcPr>
            <w:tcW w:w="1885" w:type="pct"/>
            <w:gridSpan w:val="3"/>
            <w:tcBorders>
              <w:top w:val="outset" w:sz="6" w:space="0" w:color="auto"/>
              <w:left w:val="outset" w:sz="6" w:space="0" w:color="auto"/>
              <w:bottom w:val="outset" w:sz="6" w:space="0" w:color="auto"/>
              <w:right w:val="outset" w:sz="6" w:space="0" w:color="auto"/>
            </w:tcBorders>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iCs/>
                <w:sz w:val="20"/>
                <w:szCs w:val="20"/>
              </w:rPr>
              <w:t>I полугодие 2007г.</w:t>
            </w:r>
          </w:p>
        </w:tc>
        <w:tc>
          <w:tcPr>
            <w:tcW w:w="1663" w:type="pct"/>
            <w:vMerge w:val="restart"/>
            <w:tcBorders>
              <w:top w:val="outset" w:sz="6" w:space="0" w:color="auto"/>
              <w:left w:val="outset" w:sz="6" w:space="0" w:color="auto"/>
              <w:bottom w:val="outset" w:sz="6" w:space="0" w:color="auto"/>
            </w:tcBorders>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iCs/>
                <w:sz w:val="20"/>
                <w:szCs w:val="20"/>
              </w:rPr>
              <w:t>Реальный размер</w:t>
            </w:r>
            <w:r w:rsidRPr="00FD50B2">
              <w:rPr>
                <w:rFonts w:cs="Arial"/>
                <w:iCs/>
                <w:sz w:val="20"/>
                <w:szCs w:val="20"/>
              </w:rPr>
              <w:br/>
              <w:t>назначенных</w:t>
            </w:r>
            <w:r w:rsidRPr="00FD50B2">
              <w:rPr>
                <w:rFonts w:cs="Arial"/>
                <w:iCs/>
                <w:sz w:val="20"/>
                <w:szCs w:val="20"/>
              </w:rPr>
              <w:br/>
              <w:t>месячных</w:t>
            </w:r>
            <w:r w:rsidRPr="00FD50B2">
              <w:rPr>
                <w:rFonts w:cs="Arial"/>
                <w:iCs/>
                <w:sz w:val="20"/>
                <w:szCs w:val="20"/>
              </w:rPr>
              <w:br/>
              <w:t>пенсий</w:t>
            </w:r>
            <w:r w:rsidRPr="00FD50B2">
              <w:rPr>
                <w:rFonts w:cs="Arial"/>
                <w:iCs/>
                <w:sz w:val="20"/>
                <w:szCs w:val="20"/>
              </w:rPr>
              <w:br/>
              <w:t>(на 1 июля)</w:t>
            </w:r>
          </w:p>
        </w:tc>
      </w:tr>
      <w:tr w:rsidR="006B429F" w:rsidRPr="00FD50B2" w:rsidTr="00DF39AD">
        <w:trPr>
          <w:tblCellSpacing w:w="7" w:type="dxa"/>
        </w:trPr>
        <w:tc>
          <w:tcPr>
            <w:tcW w:w="1422" w:type="pct"/>
            <w:vMerge/>
            <w:tcBorders>
              <w:top w:val="outset" w:sz="6" w:space="0" w:color="auto"/>
              <w:bottom w:val="outset" w:sz="6" w:space="0" w:color="auto"/>
              <w:right w:val="outset" w:sz="6" w:space="0" w:color="auto"/>
            </w:tcBorders>
            <w:vAlign w:val="center"/>
          </w:tcPr>
          <w:p w:rsidR="006B429F" w:rsidRPr="00FD50B2" w:rsidRDefault="006B429F" w:rsidP="00FD50B2">
            <w:pPr>
              <w:spacing w:line="360" w:lineRule="auto"/>
              <w:jc w:val="both"/>
              <w:rPr>
                <w:rFonts w:cs="Arial"/>
                <w:sz w:val="20"/>
                <w:szCs w:val="20"/>
              </w:rPr>
            </w:pPr>
          </w:p>
        </w:tc>
        <w:tc>
          <w:tcPr>
            <w:tcW w:w="610" w:type="pct"/>
            <w:tcBorders>
              <w:top w:val="outset" w:sz="6" w:space="0" w:color="auto"/>
              <w:left w:val="outset" w:sz="6" w:space="0" w:color="auto"/>
              <w:bottom w:val="outset" w:sz="6" w:space="0" w:color="auto"/>
              <w:right w:val="outset" w:sz="6" w:space="0" w:color="auto"/>
            </w:tcBorders>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iCs/>
                <w:sz w:val="20"/>
                <w:szCs w:val="20"/>
              </w:rPr>
              <w:t>денежные</w:t>
            </w:r>
            <w:r w:rsidRPr="00FD50B2">
              <w:rPr>
                <w:rFonts w:cs="Arial"/>
                <w:iCs/>
                <w:sz w:val="20"/>
                <w:szCs w:val="20"/>
              </w:rPr>
              <w:br/>
              <w:t>доходы</w:t>
            </w:r>
            <w:r w:rsidRPr="00FD50B2">
              <w:rPr>
                <w:rFonts w:cs="Arial"/>
                <w:iCs/>
                <w:sz w:val="20"/>
                <w:szCs w:val="20"/>
              </w:rPr>
              <w:br/>
              <w:t>на душу населения,</w:t>
            </w:r>
            <w:r w:rsidRPr="00FD50B2">
              <w:rPr>
                <w:rFonts w:cs="Arial"/>
                <w:iCs/>
                <w:sz w:val="20"/>
                <w:szCs w:val="20"/>
              </w:rPr>
              <w:br/>
              <w:t>рублей</w:t>
            </w:r>
          </w:p>
        </w:tc>
        <w:tc>
          <w:tcPr>
            <w:tcW w:w="610" w:type="pct"/>
            <w:tcBorders>
              <w:top w:val="outset" w:sz="6" w:space="0" w:color="auto"/>
              <w:left w:val="outset" w:sz="6" w:space="0" w:color="auto"/>
              <w:bottom w:val="outset" w:sz="6" w:space="0" w:color="auto"/>
              <w:right w:val="outset" w:sz="6" w:space="0" w:color="auto"/>
            </w:tcBorders>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iCs/>
                <w:sz w:val="20"/>
                <w:szCs w:val="20"/>
              </w:rPr>
              <w:t>реальные</w:t>
            </w:r>
            <w:r w:rsidRPr="00FD50B2">
              <w:rPr>
                <w:rFonts w:cs="Arial"/>
                <w:iCs/>
                <w:sz w:val="20"/>
                <w:szCs w:val="20"/>
              </w:rPr>
              <w:br/>
              <w:t>денежные</w:t>
            </w:r>
            <w:r w:rsidRPr="00FD50B2">
              <w:rPr>
                <w:rFonts w:cs="Arial"/>
                <w:iCs/>
                <w:sz w:val="20"/>
                <w:szCs w:val="20"/>
              </w:rPr>
              <w:br/>
              <w:t>доходы</w:t>
            </w:r>
            <w:r w:rsidRPr="00FD50B2">
              <w:rPr>
                <w:rFonts w:cs="Arial"/>
                <w:iCs/>
                <w:sz w:val="20"/>
                <w:szCs w:val="20"/>
              </w:rPr>
              <w:br/>
              <w:t>населения</w:t>
            </w:r>
          </w:p>
        </w:tc>
        <w:tc>
          <w:tcPr>
            <w:tcW w:w="651" w:type="pct"/>
            <w:tcBorders>
              <w:top w:val="outset" w:sz="6" w:space="0" w:color="auto"/>
              <w:left w:val="outset" w:sz="6" w:space="0" w:color="auto"/>
              <w:bottom w:val="outset" w:sz="6" w:space="0" w:color="auto"/>
              <w:right w:val="outset" w:sz="6" w:space="0" w:color="auto"/>
            </w:tcBorders>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iCs/>
                <w:sz w:val="20"/>
                <w:szCs w:val="20"/>
              </w:rPr>
              <w:t>реальная</w:t>
            </w:r>
            <w:r w:rsidRPr="00FD50B2">
              <w:rPr>
                <w:rFonts w:cs="Arial"/>
                <w:iCs/>
                <w:sz w:val="20"/>
                <w:szCs w:val="20"/>
              </w:rPr>
              <w:br/>
              <w:t>начисленная</w:t>
            </w:r>
            <w:r w:rsidRPr="00FD50B2">
              <w:rPr>
                <w:rFonts w:cs="Arial"/>
                <w:iCs/>
                <w:sz w:val="20"/>
                <w:szCs w:val="20"/>
              </w:rPr>
              <w:br/>
              <w:t>заработная</w:t>
            </w:r>
            <w:r w:rsidRPr="00FD50B2">
              <w:rPr>
                <w:rFonts w:cs="Arial"/>
                <w:iCs/>
                <w:sz w:val="20"/>
                <w:szCs w:val="20"/>
              </w:rPr>
              <w:br/>
              <w:t>плата</w:t>
            </w:r>
          </w:p>
        </w:tc>
        <w:tc>
          <w:tcPr>
            <w:tcW w:w="1663" w:type="pct"/>
            <w:vMerge/>
            <w:tcBorders>
              <w:top w:val="outset" w:sz="6" w:space="0" w:color="auto"/>
              <w:left w:val="outset" w:sz="6" w:space="0" w:color="auto"/>
              <w:bottom w:val="outset" w:sz="6" w:space="0" w:color="auto"/>
            </w:tcBorders>
            <w:vAlign w:val="center"/>
          </w:tcPr>
          <w:p w:rsidR="006B429F" w:rsidRPr="00FD50B2" w:rsidRDefault="006B429F" w:rsidP="00FD50B2">
            <w:pPr>
              <w:spacing w:line="360" w:lineRule="auto"/>
              <w:jc w:val="both"/>
              <w:rPr>
                <w:rFonts w:cs="Arial"/>
                <w:sz w:val="20"/>
                <w:szCs w:val="20"/>
              </w:rPr>
            </w:pP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Российская Федерация</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10755,8</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111,4</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117,4</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104,9</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Центральный</w:t>
            </w:r>
            <w:r w:rsidR="00FD50B2">
              <w:rPr>
                <w:rFonts w:cs="Arial"/>
                <w:bCs/>
                <w:sz w:val="20"/>
                <w:szCs w:val="20"/>
              </w:rPr>
              <w:t xml:space="preserve"> </w:t>
            </w:r>
            <w:r w:rsidRPr="00FD50B2">
              <w:rPr>
                <w:rFonts w:cs="Arial"/>
                <w:bCs/>
                <w:sz w:val="20"/>
                <w:szCs w:val="20"/>
              </w:rPr>
              <w:t>федеральный округ</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14119,2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107,6</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120,2</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bCs/>
                <w:sz w:val="20"/>
                <w:szCs w:val="20"/>
              </w:rPr>
              <w:t>104,5</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Белгородская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7400,5</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113,9</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112,0</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105,0</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Брянская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6679,4</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110,3</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115,1</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103,0</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Владимирская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5694,2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112,9</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116,1</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104,4</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Воронежская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7627,1</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108,2</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125,3</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105,3</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Ивановская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4751,3</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112,7</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115,9</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101,1</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Калужская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7688,7</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120,3</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115,6</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104,5</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Костромская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6305,0</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103,9</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113,7</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104,5</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Курская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7572,9</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116,4</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116,2</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103,4</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Липецкая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7745,4</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111,2</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117,5</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105,1</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Московская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11871,2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121,4</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125,4</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106,0</w:t>
            </w:r>
          </w:p>
        </w:tc>
      </w:tr>
      <w:tr w:rsidR="006B429F" w:rsidRPr="00FD50B2" w:rsidTr="00FD50B2">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Орловская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6241,2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111,5</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120,0</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105,6</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Рязанская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6201,2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107,1</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115,8</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102,4</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Смоленская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7029,2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105,2</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112,9</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102,8</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Тамбовская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6578,6</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113,0</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115,2</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104,1</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Тверская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7477,1</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110,0</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116,6</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104,9</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Тульская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7186,9</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116,9</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117,6</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103,7</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Ярославская область</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8824,2</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110,4</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113,5</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104,2</w:t>
            </w:r>
          </w:p>
        </w:tc>
      </w:tr>
      <w:tr w:rsidR="006B429F" w:rsidRPr="00FD50B2" w:rsidTr="00DF39AD">
        <w:trPr>
          <w:tblCellSpacing w:w="7" w:type="dxa"/>
        </w:trPr>
        <w:tc>
          <w:tcPr>
            <w:tcW w:w="1422" w:type="pct"/>
            <w:tcBorders>
              <w:top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г.Москва</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29236,1</w:t>
            </w:r>
          </w:p>
        </w:tc>
        <w:tc>
          <w:tcPr>
            <w:tcW w:w="610"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102,6</w:t>
            </w:r>
          </w:p>
        </w:tc>
        <w:tc>
          <w:tcPr>
            <w:tcW w:w="651" w:type="pct"/>
            <w:tcBorders>
              <w:top w:val="outset" w:sz="6" w:space="0" w:color="auto"/>
              <w:left w:val="outset" w:sz="6" w:space="0" w:color="auto"/>
              <w:bottom w:val="outset" w:sz="6" w:space="0" w:color="auto"/>
              <w:right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119,0</w:t>
            </w:r>
          </w:p>
        </w:tc>
        <w:tc>
          <w:tcPr>
            <w:tcW w:w="1663" w:type="pct"/>
            <w:tcBorders>
              <w:top w:val="outset" w:sz="6" w:space="0" w:color="auto"/>
              <w:left w:val="outset" w:sz="6" w:space="0" w:color="auto"/>
              <w:bottom w:val="outset" w:sz="6" w:space="0" w:color="auto"/>
            </w:tcBorders>
            <w:vAlign w:val="bottom"/>
          </w:tcPr>
          <w:p w:rsidR="006B429F" w:rsidRPr="00FD50B2" w:rsidRDefault="006B429F" w:rsidP="00FD50B2">
            <w:pPr>
              <w:pStyle w:val="a3"/>
              <w:spacing w:before="0" w:beforeAutospacing="0" w:after="0" w:afterAutospacing="0" w:line="360" w:lineRule="auto"/>
              <w:jc w:val="both"/>
              <w:rPr>
                <w:rFonts w:cs="Arial"/>
                <w:sz w:val="20"/>
                <w:szCs w:val="20"/>
              </w:rPr>
            </w:pPr>
            <w:r w:rsidRPr="00FD50B2">
              <w:rPr>
                <w:rFonts w:cs="Arial"/>
                <w:sz w:val="20"/>
                <w:szCs w:val="20"/>
              </w:rPr>
              <w:t>104,3</w:t>
            </w:r>
          </w:p>
        </w:tc>
      </w:tr>
    </w:tbl>
    <w:p w:rsidR="006B429F" w:rsidRPr="00FD50B2" w:rsidRDefault="006B429F" w:rsidP="00FD50B2">
      <w:pPr>
        <w:spacing w:line="360" w:lineRule="auto"/>
        <w:ind w:firstLine="709"/>
        <w:jc w:val="both"/>
        <w:rPr>
          <w:sz w:val="28"/>
          <w:lang w:val="en-US"/>
        </w:rPr>
      </w:pPr>
    </w:p>
    <w:p w:rsidR="00F85012" w:rsidRPr="00FD50B2" w:rsidRDefault="00F85012" w:rsidP="00FD50B2">
      <w:pPr>
        <w:pStyle w:val="a3"/>
        <w:spacing w:before="0" w:beforeAutospacing="0" w:after="0" w:afterAutospacing="0" w:line="360" w:lineRule="auto"/>
        <w:ind w:firstLine="709"/>
        <w:jc w:val="center"/>
        <w:rPr>
          <w:b/>
          <w:bCs/>
          <w:sz w:val="28"/>
        </w:rPr>
      </w:pPr>
      <w:r w:rsidRPr="00FD50B2">
        <w:rPr>
          <w:b/>
          <w:bCs/>
          <w:sz w:val="28"/>
        </w:rPr>
        <w:t>Безработица</w:t>
      </w:r>
    </w:p>
    <w:p w:rsidR="00FD50B2" w:rsidRDefault="00FD50B2" w:rsidP="00FD50B2">
      <w:pPr>
        <w:pStyle w:val="a3"/>
        <w:spacing w:before="0" w:beforeAutospacing="0" w:after="0" w:afterAutospacing="0" w:line="360" w:lineRule="auto"/>
        <w:ind w:firstLine="709"/>
        <w:jc w:val="both"/>
        <w:rPr>
          <w:rFonts w:cs="Arial"/>
          <w:sz w:val="28"/>
        </w:rPr>
      </w:pPr>
    </w:p>
    <w:p w:rsidR="00F85012" w:rsidRPr="00FD50B2" w:rsidRDefault="00F85012" w:rsidP="00FD50B2">
      <w:pPr>
        <w:pStyle w:val="a3"/>
        <w:spacing w:before="0" w:beforeAutospacing="0" w:after="0" w:afterAutospacing="0" w:line="360" w:lineRule="auto"/>
        <w:ind w:firstLine="709"/>
        <w:jc w:val="both"/>
        <w:rPr>
          <w:rFonts w:cs="Arial"/>
          <w:sz w:val="28"/>
        </w:rPr>
      </w:pPr>
      <w:r w:rsidRPr="00FD50B2">
        <w:rPr>
          <w:rFonts w:cs="Arial"/>
          <w:sz w:val="28"/>
        </w:rPr>
        <w:t>К концу марта 2007г. по сравнению с концом марта 2006г. в большинстве субъектов Российской Федерации число безработных, состоящих на учете в органах государственной службы занятости, сократилось.</w:t>
      </w:r>
    </w:p>
    <w:p w:rsidR="00F85012" w:rsidRPr="00FD50B2" w:rsidRDefault="00F85012" w:rsidP="00FD50B2">
      <w:pPr>
        <w:pStyle w:val="a3"/>
        <w:spacing w:before="0" w:beforeAutospacing="0" w:after="0" w:afterAutospacing="0" w:line="360" w:lineRule="auto"/>
        <w:ind w:firstLine="709"/>
        <w:jc w:val="both"/>
        <w:rPr>
          <w:rFonts w:cs="Arial"/>
          <w:sz w:val="28"/>
        </w:rPr>
      </w:pPr>
      <w:r w:rsidRPr="00FD50B2">
        <w:rPr>
          <w:rFonts w:cs="Arial"/>
          <w:sz w:val="28"/>
        </w:rPr>
        <w:t xml:space="preserve">В ЦФО самый высокий уровень зарегистрированной безработицы зафиксирован в Тамбовской и Воронежской областях. Наименьший уровень отмечен в Москве и Московской области, Тверской, Липецкой, Калужской, Тульской и Смоленской областях. </w:t>
      </w:r>
    </w:p>
    <w:p w:rsidR="00F85012" w:rsidRDefault="00F85012" w:rsidP="00FD50B2">
      <w:pPr>
        <w:pStyle w:val="a3"/>
        <w:spacing w:before="0" w:beforeAutospacing="0" w:after="0" w:afterAutospacing="0" w:line="360" w:lineRule="auto"/>
        <w:ind w:firstLine="709"/>
        <w:jc w:val="both"/>
        <w:rPr>
          <w:sz w:val="28"/>
          <w:szCs w:val="15"/>
        </w:rPr>
      </w:pPr>
      <w:r w:rsidRPr="00FD50B2">
        <w:rPr>
          <w:sz w:val="28"/>
          <w:szCs w:val="15"/>
        </w:rPr>
        <w:t>на конец периода</w:t>
      </w:r>
    </w:p>
    <w:p w:rsidR="00FD50B2" w:rsidRPr="00FD50B2" w:rsidRDefault="00FD50B2" w:rsidP="00FD50B2">
      <w:pPr>
        <w:pStyle w:val="a3"/>
        <w:spacing w:before="0" w:beforeAutospacing="0" w:after="0" w:afterAutospacing="0" w:line="360" w:lineRule="auto"/>
        <w:ind w:firstLine="709"/>
        <w:jc w:val="both"/>
        <w:rPr>
          <w:sz w:val="28"/>
          <w:szCs w:val="15"/>
        </w:rPr>
      </w:pPr>
    </w:p>
    <w:tbl>
      <w:tblPr>
        <w:tblW w:w="81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14"/>
        <w:gridCol w:w="1321"/>
        <w:gridCol w:w="924"/>
        <w:gridCol w:w="787"/>
        <w:gridCol w:w="1266"/>
        <w:gridCol w:w="924"/>
        <w:gridCol w:w="794"/>
      </w:tblGrid>
      <w:tr w:rsidR="00F85012" w:rsidRPr="00FD50B2">
        <w:trPr>
          <w:tblCellSpacing w:w="7" w:type="dxa"/>
          <w:jc w:val="center"/>
        </w:trPr>
        <w:tc>
          <w:tcPr>
            <w:tcW w:w="0" w:type="auto"/>
            <w:vMerge w:val="restart"/>
            <w:tcBorders>
              <w:top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631" w:type="pct"/>
            <w:vMerge w:val="restart"/>
            <w:tcBorders>
              <w:top w:val="outset" w:sz="6" w:space="0" w:color="auto"/>
              <w:left w:val="outset" w:sz="6" w:space="0" w:color="auto"/>
              <w:bottom w:val="outset" w:sz="6" w:space="0" w:color="auto"/>
              <w:right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численность не занятых</w:t>
            </w:r>
            <w:r w:rsidRPr="00FD50B2">
              <w:rPr>
                <w:sz w:val="20"/>
                <w:szCs w:val="20"/>
              </w:rPr>
              <w:br/>
              <w:t>трудовой деятель-</w:t>
            </w:r>
            <w:r w:rsidRPr="00FD50B2">
              <w:rPr>
                <w:sz w:val="20"/>
                <w:szCs w:val="20"/>
              </w:rPr>
              <w:br/>
              <w:t>ностью</w:t>
            </w:r>
            <w:r w:rsidRPr="00FD50B2">
              <w:rPr>
                <w:sz w:val="20"/>
                <w:szCs w:val="20"/>
              </w:rPr>
              <w:br/>
              <w:t>граждан, тыс.</w:t>
            </w:r>
            <w:r w:rsidRPr="00FD50B2">
              <w:rPr>
                <w:sz w:val="20"/>
                <w:szCs w:val="20"/>
              </w:rPr>
              <w:br/>
              <w:t>человек</w:t>
            </w:r>
          </w:p>
        </w:tc>
        <w:tc>
          <w:tcPr>
            <w:tcW w:w="2717" w:type="pct"/>
            <w:gridSpan w:val="5"/>
            <w:tcBorders>
              <w:top w:val="outset" w:sz="6" w:space="0" w:color="auto"/>
              <w:left w:val="outset" w:sz="6" w:space="0" w:color="auto"/>
              <w:bottom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из них</w:t>
            </w:r>
          </w:p>
        </w:tc>
      </w:tr>
      <w:tr w:rsidR="00F85012" w:rsidRPr="00FD50B2">
        <w:trPr>
          <w:tblCellSpacing w:w="7" w:type="dxa"/>
          <w:jc w:val="center"/>
        </w:trPr>
        <w:tc>
          <w:tcPr>
            <w:tcW w:w="0" w:type="auto"/>
            <w:vMerge/>
            <w:tcBorders>
              <w:top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1683" w:type="pct"/>
            <w:gridSpan w:val="3"/>
            <w:tcBorders>
              <w:top w:val="outset" w:sz="6" w:space="0" w:color="auto"/>
              <w:left w:val="outset" w:sz="6" w:space="0" w:color="auto"/>
              <w:bottom w:val="outset" w:sz="6" w:space="0" w:color="auto"/>
              <w:right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безработных, всего</w:t>
            </w:r>
          </w:p>
        </w:tc>
        <w:tc>
          <w:tcPr>
            <w:tcW w:w="1026" w:type="pct"/>
            <w:gridSpan w:val="2"/>
            <w:vMerge w:val="restart"/>
            <w:tcBorders>
              <w:top w:val="outset" w:sz="6" w:space="0" w:color="auto"/>
              <w:left w:val="outset" w:sz="6" w:space="0" w:color="auto"/>
              <w:bottom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безработных,</w:t>
            </w:r>
            <w:r w:rsidRPr="00FD50B2">
              <w:rPr>
                <w:sz w:val="20"/>
                <w:szCs w:val="20"/>
              </w:rPr>
              <w:br/>
              <w:t>которым назначено пособие по</w:t>
            </w:r>
            <w:r w:rsidRPr="00FD50B2">
              <w:rPr>
                <w:sz w:val="20"/>
                <w:szCs w:val="20"/>
              </w:rPr>
              <w:br/>
              <w:t>безработице</w:t>
            </w:r>
          </w:p>
        </w:tc>
      </w:tr>
      <w:tr w:rsidR="00F85012" w:rsidRPr="00FD50B2">
        <w:trPr>
          <w:trHeight w:val="483"/>
          <w:tblCellSpacing w:w="7" w:type="dxa"/>
          <w:jc w:val="center"/>
        </w:trPr>
        <w:tc>
          <w:tcPr>
            <w:tcW w:w="0" w:type="auto"/>
            <w:vMerge/>
            <w:tcBorders>
              <w:top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533" w:type="pct"/>
            <w:vMerge w:val="restart"/>
            <w:tcBorders>
              <w:top w:val="outset" w:sz="6" w:space="0" w:color="auto"/>
              <w:left w:val="outset" w:sz="6" w:space="0" w:color="auto"/>
              <w:bottom w:val="outset" w:sz="6" w:space="0" w:color="auto"/>
              <w:right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тыс.</w:t>
            </w:r>
            <w:r w:rsidRPr="00FD50B2">
              <w:rPr>
                <w:sz w:val="20"/>
                <w:szCs w:val="20"/>
              </w:rPr>
              <w:br/>
              <w:t>человек</w:t>
            </w:r>
          </w:p>
        </w:tc>
        <w:tc>
          <w:tcPr>
            <w:tcW w:w="533" w:type="pct"/>
            <w:vMerge w:val="restart"/>
            <w:tcBorders>
              <w:top w:val="outset" w:sz="6" w:space="0" w:color="auto"/>
              <w:left w:val="outset" w:sz="6" w:space="0" w:color="auto"/>
              <w:bottom w:val="outset" w:sz="6" w:space="0" w:color="auto"/>
              <w:right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в % к</w:t>
            </w:r>
            <w:r w:rsidRPr="00FD50B2">
              <w:rPr>
                <w:sz w:val="20"/>
                <w:szCs w:val="20"/>
              </w:rPr>
              <w:br/>
              <w:t>марту 2006г.</w:t>
            </w:r>
          </w:p>
        </w:tc>
        <w:tc>
          <w:tcPr>
            <w:tcW w:w="600" w:type="pct"/>
            <w:vMerge w:val="restart"/>
            <w:tcBorders>
              <w:top w:val="outset" w:sz="6" w:space="0" w:color="auto"/>
              <w:left w:val="outset" w:sz="6" w:space="0" w:color="auto"/>
              <w:bottom w:val="outset" w:sz="6" w:space="0" w:color="auto"/>
              <w:right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в % к</w:t>
            </w:r>
            <w:r w:rsidRPr="00FD50B2">
              <w:rPr>
                <w:sz w:val="20"/>
                <w:szCs w:val="20"/>
              </w:rPr>
              <w:br/>
              <w:t>экономи-</w:t>
            </w:r>
            <w:r w:rsidRPr="00FD50B2">
              <w:rPr>
                <w:sz w:val="20"/>
                <w:szCs w:val="20"/>
              </w:rPr>
              <w:br/>
              <w:t>чески ак-</w:t>
            </w:r>
            <w:r w:rsidRPr="00FD50B2">
              <w:rPr>
                <w:sz w:val="20"/>
                <w:szCs w:val="20"/>
              </w:rPr>
              <w:br/>
              <w:t>тивному населению (уровень зарегист-</w:t>
            </w:r>
            <w:r w:rsidRPr="00FD50B2">
              <w:rPr>
                <w:sz w:val="20"/>
                <w:szCs w:val="20"/>
              </w:rPr>
              <w:br/>
              <w:t>рированной безрабо-</w:t>
            </w:r>
            <w:r w:rsidRPr="00FD50B2">
              <w:rPr>
                <w:sz w:val="20"/>
                <w:szCs w:val="20"/>
              </w:rPr>
              <w:br/>
              <w:t>тицы)</w:t>
            </w:r>
          </w:p>
        </w:tc>
        <w:tc>
          <w:tcPr>
            <w:tcW w:w="0" w:type="auto"/>
            <w:gridSpan w:val="2"/>
            <w:vMerge/>
            <w:tcBorders>
              <w:top w:val="outset" w:sz="6" w:space="0" w:color="auto"/>
              <w:left w:val="outset" w:sz="6" w:space="0" w:color="auto"/>
              <w:bottom w:val="outset" w:sz="6" w:space="0" w:color="auto"/>
            </w:tcBorders>
            <w:vAlign w:val="center"/>
          </w:tcPr>
          <w:p w:rsidR="00F85012" w:rsidRPr="00FD50B2" w:rsidRDefault="00F85012" w:rsidP="00FD50B2">
            <w:pPr>
              <w:spacing w:line="360" w:lineRule="auto"/>
              <w:jc w:val="both"/>
              <w:rPr>
                <w:sz w:val="20"/>
                <w:szCs w:val="20"/>
              </w:rPr>
            </w:pPr>
          </w:p>
        </w:tc>
      </w:tr>
      <w:tr w:rsidR="00F85012" w:rsidRPr="00FD50B2">
        <w:trPr>
          <w:trHeight w:val="1183"/>
          <w:tblCellSpacing w:w="7" w:type="dxa"/>
          <w:jc w:val="center"/>
        </w:trPr>
        <w:tc>
          <w:tcPr>
            <w:tcW w:w="0" w:type="auto"/>
            <w:vMerge/>
            <w:tcBorders>
              <w:top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85012" w:rsidRPr="00FD50B2" w:rsidRDefault="00F85012" w:rsidP="00FD50B2">
            <w:pPr>
              <w:spacing w:line="360" w:lineRule="auto"/>
              <w:jc w:val="both"/>
              <w:rPr>
                <w:sz w:val="20"/>
                <w:szCs w:val="20"/>
              </w:rPr>
            </w:pPr>
          </w:p>
        </w:tc>
        <w:tc>
          <w:tcPr>
            <w:tcW w:w="533" w:type="pct"/>
            <w:tcBorders>
              <w:top w:val="outset" w:sz="6" w:space="0" w:color="auto"/>
              <w:left w:val="outset" w:sz="6" w:space="0" w:color="auto"/>
              <w:bottom w:val="outset" w:sz="6" w:space="0" w:color="auto"/>
              <w:right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тыс.</w:t>
            </w:r>
            <w:r w:rsidRPr="00FD50B2">
              <w:rPr>
                <w:sz w:val="20"/>
                <w:szCs w:val="20"/>
              </w:rPr>
              <w:br/>
              <w:t>человек</w:t>
            </w:r>
          </w:p>
        </w:tc>
        <w:tc>
          <w:tcPr>
            <w:tcW w:w="484" w:type="pct"/>
            <w:tcBorders>
              <w:top w:val="outset" w:sz="6" w:space="0" w:color="auto"/>
              <w:left w:val="outset" w:sz="6" w:space="0" w:color="auto"/>
              <w:bottom w:val="outset" w:sz="6" w:space="0" w:color="auto"/>
            </w:tcBorders>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в % к</w:t>
            </w:r>
            <w:r w:rsidRPr="00FD50B2">
              <w:rPr>
                <w:sz w:val="20"/>
                <w:szCs w:val="20"/>
              </w:rPr>
              <w:br/>
              <w:t>марту 2006г.</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Российская Федерация</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1929,8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1711,1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89,8</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1455,5</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89,0</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Центральный</w:t>
            </w:r>
            <w:r w:rsidRPr="00FD50B2">
              <w:rPr>
                <w:sz w:val="20"/>
                <w:szCs w:val="20"/>
              </w:rPr>
              <w:br/>
              <w:t>федеральный округ</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273,2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206,2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86,8</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1,0</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176,5</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82,2</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Белгородская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71,3</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6,9</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64,8</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Брянская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12,3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11,8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91,2</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10,8</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89,4</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Владимирская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14,2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12,6</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73,4</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1,6</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10,9</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68,7</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Воронежская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26,1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23,6</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98,0</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20,2</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89,1</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Ивановская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13,5</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11,5</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87,1</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2,0</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9,5</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84,1</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Калужская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4,7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4,1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88,3</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3,3</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78,0</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Костромская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4,7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89,0</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3,6</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71,0</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Курская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8,5</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88,5</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1,4</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6,9</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87,4</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Липецкая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4,8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93,1</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4,1</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82,0</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Московская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32,8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26,6</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78,9</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23,0</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78,6</w:t>
            </w:r>
          </w:p>
        </w:tc>
      </w:tr>
      <w:tr w:rsidR="00F85012" w:rsidRPr="00FD50B2" w:rsidT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Орловская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5,7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88,8</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5,2</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83,1</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Рязанская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92,0</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6,7</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91,4</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Смоленская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6,4</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5,0</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77,4</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0,9</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4,5</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70,8</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Тамбовская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16,2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15,2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92,7</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2,7</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13,0</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89,1</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Тверская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6,0</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81,7</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5,3</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74,6</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Тульская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7,8</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7,1</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81,2</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0,9</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6,4</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75,1</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Ярославская область</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13,2</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11,3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87,6</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1,6</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10,5</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86,3</w:t>
            </w:r>
          </w:p>
        </w:tc>
      </w:tr>
      <w:tr w:rsidR="00F85012" w:rsidRPr="00FD50B2">
        <w:trPr>
          <w:tblCellSpacing w:w="7" w:type="dxa"/>
          <w:jc w:val="center"/>
        </w:trPr>
        <w:tc>
          <w:tcPr>
            <w:tcW w:w="1617" w:type="pct"/>
            <w:tcBorders>
              <w:top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г.Москва</w:t>
            </w:r>
          </w:p>
        </w:tc>
        <w:tc>
          <w:tcPr>
            <w:tcW w:w="631"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71,6</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32,3</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94,6</w:t>
            </w:r>
          </w:p>
        </w:tc>
        <w:tc>
          <w:tcPr>
            <w:tcW w:w="600"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0,5</w:t>
            </w:r>
          </w:p>
        </w:tc>
        <w:tc>
          <w:tcPr>
            <w:tcW w:w="533" w:type="pct"/>
            <w:tcBorders>
              <w:top w:val="outset" w:sz="6" w:space="0" w:color="auto"/>
              <w:left w:val="outset" w:sz="6" w:space="0" w:color="auto"/>
              <w:bottom w:val="outset" w:sz="6" w:space="0" w:color="auto"/>
              <w:right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25,5</w:t>
            </w:r>
          </w:p>
        </w:tc>
        <w:tc>
          <w:tcPr>
            <w:tcW w:w="484" w:type="pct"/>
            <w:tcBorders>
              <w:top w:val="outset" w:sz="6" w:space="0" w:color="auto"/>
              <w:left w:val="outset" w:sz="6" w:space="0" w:color="auto"/>
              <w:bottom w:val="outset" w:sz="6" w:space="0" w:color="auto"/>
            </w:tcBorders>
            <w:vAlign w:val="bottom"/>
          </w:tcPr>
          <w:p w:rsidR="00F85012" w:rsidRPr="00FD50B2" w:rsidRDefault="00F85012" w:rsidP="00FD50B2">
            <w:pPr>
              <w:pStyle w:val="a3"/>
              <w:spacing w:before="0" w:beforeAutospacing="0" w:after="0" w:afterAutospacing="0" w:line="360" w:lineRule="auto"/>
              <w:jc w:val="both"/>
              <w:rPr>
                <w:sz w:val="20"/>
                <w:szCs w:val="20"/>
              </w:rPr>
            </w:pPr>
            <w:r w:rsidRPr="00FD50B2">
              <w:rPr>
                <w:sz w:val="20"/>
                <w:szCs w:val="20"/>
              </w:rPr>
              <w:t>90,7</w:t>
            </w:r>
          </w:p>
        </w:tc>
      </w:tr>
    </w:tbl>
    <w:p w:rsidR="00F85012" w:rsidRPr="00FD50B2" w:rsidRDefault="00F85012" w:rsidP="00FD50B2">
      <w:pPr>
        <w:spacing w:line="360" w:lineRule="auto"/>
        <w:ind w:firstLine="709"/>
        <w:jc w:val="both"/>
        <w:rPr>
          <w:sz w:val="28"/>
          <w:lang w:val="en-US"/>
        </w:rPr>
      </w:pPr>
    </w:p>
    <w:p w:rsidR="00B4523F" w:rsidRPr="00FD50B2" w:rsidRDefault="00FD50B2" w:rsidP="00FD50B2">
      <w:pPr>
        <w:pStyle w:val="4"/>
        <w:spacing w:before="0" w:beforeAutospacing="0" w:after="0" w:afterAutospacing="0" w:line="360" w:lineRule="auto"/>
        <w:ind w:firstLine="709"/>
        <w:jc w:val="center"/>
        <w:rPr>
          <w:rFonts w:cs="Arial"/>
          <w:sz w:val="28"/>
        </w:rPr>
      </w:pPr>
      <w:r>
        <w:rPr>
          <w:rFonts w:cs="Arial"/>
          <w:sz w:val="28"/>
        </w:rPr>
        <w:br w:type="page"/>
      </w:r>
      <w:r w:rsidR="00B4523F" w:rsidRPr="00FD50B2">
        <w:rPr>
          <w:rFonts w:cs="Arial"/>
          <w:sz w:val="28"/>
        </w:rPr>
        <w:t>Потенциал ЦФО</w:t>
      </w:r>
    </w:p>
    <w:p w:rsidR="00FD50B2" w:rsidRDefault="00FD50B2" w:rsidP="00FD50B2">
      <w:pPr>
        <w:pStyle w:val="a3"/>
        <w:spacing w:before="0" w:beforeAutospacing="0" w:after="0" w:afterAutospacing="0" w:line="360" w:lineRule="auto"/>
        <w:ind w:firstLine="709"/>
        <w:jc w:val="both"/>
        <w:rPr>
          <w:rFonts w:cs="Arial"/>
          <w:sz w:val="28"/>
          <w:szCs w:val="20"/>
        </w:rPr>
      </w:pP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Все перспективы развития ЦФО связаны с выгодным экономико-географическим положением, а также с развитой инфраструктурой и высоким научно-техническим потенциалом. Внешнеторговый оборот всегда характеризуется положительным торговым сальдо и составляет около 48% от общероссийского внешнеторгового оборота. На долю Центрального федерального округа приходится 24,9% всех инвестиций России. Удельный вес инвестиций за счет собственных средств составляет 36,2%, привлеченные средства – 63,8%, в том числе 4,1% – средства федерального бюджета.</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Структура промышленного производства формируется за счет отраслей, имеющих высокую долю добавленной стоимости и способствующих научно-техническому прогрессу. К ним относятся все отрасли машиностроения и металлообработки (около 25% промышленной продукции), пищевая промышленность (около 24%), электроэнергетика (более 20%). Особенности специализации в ЦФО находятся в прямой зависимости от достаточно большого производственно-технического потенциала и огромного количества квалифицированных работников.</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 xml:space="preserve">Центральный федеральный округ обгоняет все другие округа по всем основным показателям социально-экономического развития, то есть уровень жизни в округе в среднем выше, чем во всех других округах. И только по общему объему промышленного производства ЦФО немного уступает Приволжскому федеральному округу. </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Постепенно увеличивающиеся темпы инвестиций и промышленного производства свидетельствуют о росте покупательной способности. Инвестиционный потенциал округа находится на высоком уровне. В связи с самым низким инвестиционным риском по стране федеральный округ становится самым привлекательным для инвесторов.</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 xml:space="preserve">О росте экономической активности свидетельствуют такие показатели, как рост доходов бюджета, расходов бюджета на социальное обеспечение, развитие человеческого капитала. </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С 2000 года активно развиваются промышленность, малый и средний бизнес, торговля, сфера обслуживания и туризм.</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 xml:space="preserve">Рынок сбыта на территории ЦФО находится в благоприятном состоянии, наметилась тенденция к его постоянному увеличению. </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 xml:space="preserve">Это </w:t>
      </w:r>
      <w:r w:rsidR="00FD50B2" w:rsidRPr="00FD50B2">
        <w:rPr>
          <w:rFonts w:cs="Arial"/>
          <w:sz w:val="28"/>
          <w:szCs w:val="20"/>
        </w:rPr>
        <w:t>связано,</w:t>
      </w:r>
      <w:r w:rsidRPr="00FD50B2">
        <w:rPr>
          <w:rFonts w:cs="Arial"/>
          <w:sz w:val="28"/>
          <w:szCs w:val="20"/>
        </w:rPr>
        <w:t xml:space="preserve"> прежде </w:t>
      </w:r>
      <w:r w:rsidR="00FD50B2" w:rsidRPr="00FD50B2">
        <w:rPr>
          <w:rFonts w:cs="Arial"/>
          <w:sz w:val="28"/>
          <w:szCs w:val="20"/>
        </w:rPr>
        <w:t>всего,</w:t>
      </w:r>
      <w:r w:rsidRPr="00FD50B2">
        <w:rPr>
          <w:rFonts w:cs="Arial"/>
          <w:sz w:val="28"/>
          <w:szCs w:val="20"/>
        </w:rPr>
        <w:t xml:space="preserve"> с высокой численностью населения Центрального федерального округа, с высоким уровнем платежеспособного спроса, с постоянным ростом доходов и расходов населения. Хотя в некоторых регионах все еще существуют проблемы с задолженностью по заработной плате, особенно в промышленных отраслях. В ЦФО наметился рост спроса на жилищное строительство и рост рынка платных услуг. </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Однако в Центральном федеральном округе есть некоторые потенциальные проблемы, которые могут влиять на дальнейшее развитие округа. Например, относительно низкий уровень поддержки государством сельского хозяйства, который может вылиться в стагнацию данной отрасли. Также есть потенциальная опасность увеличения уровня безработицы, что в свою очередь спровоцирует снижение платежеспособного спроса населения.</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Также существует потенциальный риск усиления темпов инфляции в Центральном федеральном округе. Это может быть вызвано как интенсивным ростом цен производителей, так и дисбалансом спроса и предложения на сбытовом рынке.</w:t>
      </w:r>
    </w:p>
    <w:p w:rsidR="00B4523F" w:rsidRPr="00FD50B2" w:rsidRDefault="00B4523F" w:rsidP="00FD50B2">
      <w:pPr>
        <w:pStyle w:val="a3"/>
        <w:spacing w:before="0" w:beforeAutospacing="0" w:after="0" w:afterAutospacing="0" w:line="360" w:lineRule="auto"/>
        <w:ind w:firstLine="709"/>
        <w:jc w:val="both"/>
        <w:rPr>
          <w:rFonts w:cs="Arial"/>
          <w:sz w:val="28"/>
          <w:szCs w:val="20"/>
        </w:rPr>
      </w:pPr>
      <w:r w:rsidRPr="00FD50B2">
        <w:rPr>
          <w:rFonts w:cs="Arial"/>
          <w:sz w:val="28"/>
          <w:szCs w:val="20"/>
        </w:rPr>
        <w:t xml:space="preserve">В меньшей степени, чем для остальных федеральных округов России, все же существует потенциальный риск снижения инвестиционной привлекательности вследствие роста инвестиционного риска, вызванного политической или социальной нестабильностью </w:t>
      </w:r>
    </w:p>
    <w:p w:rsidR="00B4523F" w:rsidRDefault="00B4523F" w:rsidP="00FD50B2">
      <w:pPr>
        <w:pStyle w:val="5"/>
        <w:spacing w:before="0" w:beforeAutospacing="0" w:after="0" w:afterAutospacing="0" w:line="360" w:lineRule="auto"/>
        <w:ind w:firstLine="709"/>
        <w:jc w:val="both"/>
        <w:rPr>
          <w:rFonts w:cs="Arial"/>
          <w:b w:val="0"/>
          <w:sz w:val="28"/>
        </w:rPr>
      </w:pPr>
      <w:r w:rsidRPr="00FD50B2">
        <w:rPr>
          <w:rFonts w:cs="Arial"/>
          <w:b w:val="0"/>
          <w:sz w:val="28"/>
        </w:rPr>
        <w:t>Таблица. Экономическое состояние ЦФО</w:t>
      </w:r>
    </w:p>
    <w:p w:rsidR="00FD50B2" w:rsidRPr="00FD50B2" w:rsidRDefault="00FD50B2" w:rsidP="00FD50B2">
      <w:pPr>
        <w:pStyle w:val="5"/>
        <w:spacing w:before="0" w:beforeAutospacing="0" w:after="0" w:afterAutospacing="0" w:line="360" w:lineRule="auto"/>
        <w:ind w:firstLine="709"/>
        <w:jc w:val="both"/>
        <w:rPr>
          <w:rFonts w:cs="Arial"/>
          <w:b w:val="0"/>
          <w:sz w:val="28"/>
        </w:rPr>
      </w:pPr>
    </w:p>
    <w:tbl>
      <w:tblPr>
        <w:tblW w:w="7800" w:type="dxa"/>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firstRow="0" w:lastRow="0" w:firstColumn="0" w:lastColumn="0" w:noHBand="0" w:noVBand="0"/>
      </w:tblPr>
      <w:tblGrid>
        <w:gridCol w:w="1262"/>
        <w:gridCol w:w="1032"/>
        <w:gridCol w:w="938"/>
        <w:gridCol w:w="1186"/>
        <w:gridCol w:w="485"/>
        <w:gridCol w:w="886"/>
        <w:gridCol w:w="677"/>
        <w:gridCol w:w="892"/>
        <w:gridCol w:w="854"/>
      </w:tblGrid>
      <w:tr w:rsidR="00B4523F" w:rsidRPr="00FD50B2">
        <w:trPr>
          <w:tblCellSpacing w:w="0" w:type="dxa"/>
        </w:trPr>
        <w:tc>
          <w:tcPr>
            <w:tcW w:w="0" w:type="auto"/>
            <w:vMerge w:val="restart"/>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vMerge w:val="restart"/>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Объем инвестиций в основной капитал, </w:t>
            </w:r>
            <w:smartTag w:uri="urn:schemas-microsoft-com:office:smarttags" w:element="metricconverter">
              <w:smartTagPr>
                <w:attr w:name="ProductID" w:val="2004 г"/>
              </w:smartTagPr>
              <w:r w:rsidRPr="00FD50B2">
                <w:rPr>
                  <w:rFonts w:cs="Arial"/>
                  <w:sz w:val="20"/>
                  <w:szCs w:val="20"/>
                </w:rPr>
                <w:t>2004 г</w:t>
              </w:r>
            </w:smartTag>
            <w:r w:rsidRPr="00FD50B2">
              <w:rPr>
                <w:rFonts w:cs="Arial"/>
                <w:sz w:val="20"/>
                <w:szCs w:val="20"/>
              </w:rPr>
              <w:t>., млн руб.1</w:t>
            </w:r>
          </w:p>
        </w:tc>
        <w:tc>
          <w:tcPr>
            <w:tcW w:w="1470" w:type="dxa"/>
            <w:vMerge w:val="restart"/>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Оборот розничной торговли, </w:t>
            </w:r>
            <w:smartTag w:uri="urn:schemas-microsoft-com:office:smarttags" w:element="metricconverter">
              <w:smartTagPr>
                <w:attr w:name="ProductID" w:val="2004 г"/>
              </w:smartTagPr>
              <w:r w:rsidRPr="00FD50B2">
                <w:rPr>
                  <w:rFonts w:cs="Arial"/>
                  <w:sz w:val="20"/>
                  <w:szCs w:val="20"/>
                </w:rPr>
                <w:t>2004 г</w:t>
              </w:r>
            </w:smartTag>
            <w:r w:rsidRPr="00FD50B2">
              <w:rPr>
                <w:rFonts w:cs="Arial"/>
                <w:sz w:val="20"/>
                <w:szCs w:val="20"/>
              </w:rPr>
              <w:t>, млн руб.1</w:t>
            </w:r>
          </w:p>
        </w:tc>
        <w:tc>
          <w:tcPr>
            <w:tcW w:w="1905" w:type="dxa"/>
            <w:vMerge w:val="restart"/>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Количество малых предприятий, </w:t>
            </w:r>
            <w:smartTag w:uri="urn:schemas-microsoft-com:office:smarttags" w:element="metricconverter">
              <w:smartTagPr>
                <w:attr w:name="ProductID" w:val="2004 г"/>
              </w:smartTagPr>
              <w:r w:rsidRPr="00FD50B2">
                <w:rPr>
                  <w:rFonts w:cs="Arial"/>
                  <w:sz w:val="20"/>
                  <w:szCs w:val="20"/>
                </w:rPr>
                <w:t>2004 г</w:t>
              </w:r>
            </w:smartTag>
            <w:r w:rsidRPr="00FD50B2">
              <w:rPr>
                <w:rFonts w:cs="Arial"/>
                <w:sz w:val="20"/>
                <w:szCs w:val="20"/>
              </w:rPr>
              <w:t>., единиц</w:t>
            </w:r>
          </w:p>
        </w:tc>
        <w:tc>
          <w:tcPr>
            <w:tcW w:w="0" w:type="auto"/>
            <w:gridSpan w:val="5"/>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Просроченная задолженность по заработной плате на 1 июля </w:t>
            </w:r>
            <w:smartTag w:uri="urn:schemas-microsoft-com:office:smarttags" w:element="metricconverter">
              <w:smartTagPr>
                <w:attr w:name="ProductID" w:val="2005 г"/>
              </w:smartTagPr>
              <w:r w:rsidRPr="00FD50B2">
                <w:rPr>
                  <w:rFonts w:cs="Arial"/>
                  <w:sz w:val="20"/>
                  <w:szCs w:val="20"/>
                </w:rPr>
                <w:t>2005 г</w:t>
              </w:r>
            </w:smartTag>
            <w:r w:rsidRPr="00FD50B2">
              <w:rPr>
                <w:rFonts w:cs="Arial"/>
                <w:sz w:val="20"/>
                <w:szCs w:val="20"/>
              </w:rPr>
              <w:t>.2, млн руб.</w:t>
            </w:r>
          </w:p>
        </w:tc>
      </w:tr>
      <w:tr w:rsidR="00B4523F" w:rsidRPr="00FD50B2">
        <w:trPr>
          <w:tblCellSpacing w:w="0" w:type="dxa"/>
        </w:trPr>
        <w:tc>
          <w:tcPr>
            <w:tcW w:w="0" w:type="auto"/>
            <w:vMerge/>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p>
        </w:tc>
        <w:tc>
          <w:tcPr>
            <w:tcW w:w="750" w:type="dxa"/>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всего</w:t>
            </w:r>
          </w:p>
        </w:tc>
        <w:tc>
          <w:tcPr>
            <w:tcW w:w="1605" w:type="dxa"/>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в том числе федераль- ного бюджета</w:t>
            </w:r>
          </w:p>
        </w:tc>
        <w:tc>
          <w:tcPr>
            <w:tcW w:w="1485" w:type="dxa"/>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бюдже-тов субъек-тов РФ</w:t>
            </w:r>
          </w:p>
        </w:tc>
        <w:tc>
          <w:tcPr>
            <w:tcW w:w="1395" w:type="dxa"/>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местных бюджетов</w:t>
            </w:r>
          </w:p>
        </w:tc>
        <w:tc>
          <w:tcPr>
            <w:tcW w:w="4155" w:type="dxa"/>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из-за отсут- ствия собствен- ных средств</w:t>
            </w:r>
          </w:p>
        </w:tc>
      </w:tr>
      <w:tr w:rsidR="00B4523F" w:rsidRPr="00FD50B2">
        <w:trPr>
          <w:tblCellSpacing w:w="0" w:type="dxa"/>
        </w:trPr>
        <w:tc>
          <w:tcPr>
            <w:tcW w:w="2220" w:type="dxa"/>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Белгородская обл. </w:t>
            </w:r>
          </w:p>
        </w:tc>
        <w:tc>
          <w:tcPr>
            <w:tcW w:w="1620" w:type="dxa"/>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19 956,80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36 559,80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8160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25,6</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25,6</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Брянская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6994</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30 896,50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3209</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209,3</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7,9</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201,2</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Владимирская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12 008,60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24 935,40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7784</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124,2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122,7</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Воронежская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20 876,80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64 336,10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14 959</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122,3</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15</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107,3</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Ивановская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8 518,70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17 426,10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3446</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56,2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0,1</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56,1</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Калужская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10 348,10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31 231,90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6251</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19,8</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0,5</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19,3</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Костромская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12 177,40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16 146,70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3031</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98</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0,3</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3,8</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93,4</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Курская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14 535,60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30 524,50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4265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139,5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0,1</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139,4</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Липецкая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25 759,10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34 180,90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5480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45,7</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0,4</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45,3</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Орловская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6805,3</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21 357,10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3155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92,4</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3,6</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86,7</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Рязанская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12 486,40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29 967,10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6792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55,2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55,2</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Смоленская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10 338,10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30 999,40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2662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54,6</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3,9</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50,7</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Тамбовская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10 815,30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29 400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3125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173,8</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173,8</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Тверская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28 956,40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40 512,60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5387</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140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0,1</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0,8</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0,3</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138,8</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Тульская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12 652,20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38 792,10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6495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205,7</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4,2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5,1</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27,8</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168,6</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Ярославская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21 857,70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31 653,20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9410</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72,5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72,5</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 xml:space="preserve">Московская обл. </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39 669</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117,2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18,4</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98,8</w:t>
            </w:r>
          </w:p>
        </w:tc>
      </w:tr>
      <w:tr w:rsidR="00B4523F" w:rsidRPr="00FD50B2">
        <w:trPr>
          <w:tblCellSpacing w:w="0" w:type="dxa"/>
        </w:trPr>
        <w:tc>
          <w:tcPr>
            <w:tcW w:w="0" w:type="auto"/>
            <w:tcBorders>
              <w:top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Москва</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1 370 135</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196 678</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393</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50,2</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right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w:t>
            </w:r>
          </w:p>
        </w:tc>
        <w:tc>
          <w:tcPr>
            <w:tcW w:w="0" w:type="auto"/>
            <w:tcBorders>
              <w:top w:val="outset" w:sz="6" w:space="0" w:color="CCCCCC"/>
              <w:left w:val="outset" w:sz="6" w:space="0" w:color="CCCCCC"/>
              <w:bottom w:val="outset" w:sz="6" w:space="0" w:color="CCCCCC"/>
            </w:tcBorders>
            <w:vAlign w:val="center"/>
          </w:tcPr>
          <w:p w:rsidR="00B4523F" w:rsidRPr="00FD50B2" w:rsidRDefault="00B4523F" w:rsidP="00FD50B2">
            <w:pPr>
              <w:spacing w:line="360" w:lineRule="auto"/>
              <w:jc w:val="both"/>
              <w:rPr>
                <w:rFonts w:cs="Arial"/>
                <w:sz w:val="20"/>
                <w:szCs w:val="20"/>
              </w:rPr>
            </w:pPr>
            <w:r w:rsidRPr="00FD50B2">
              <w:rPr>
                <w:rFonts w:cs="Arial"/>
                <w:sz w:val="20"/>
                <w:szCs w:val="20"/>
              </w:rPr>
              <w:t>342,8</w:t>
            </w:r>
          </w:p>
        </w:tc>
      </w:tr>
    </w:tbl>
    <w:p w:rsidR="00B4523F" w:rsidRPr="00FD50B2" w:rsidRDefault="00B4523F" w:rsidP="00FD50B2">
      <w:pPr>
        <w:spacing w:line="360" w:lineRule="auto"/>
        <w:ind w:firstLine="709"/>
        <w:jc w:val="both"/>
        <w:rPr>
          <w:sz w:val="28"/>
          <w:lang w:val="en-US"/>
        </w:rPr>
      </w:pPr>
      <w:bookmarkStart w:id="4" w:name="_GoBack"/>
      <w:bookmarkEnd w:id="4"/>
    </w:p>
    <w:sectPr w:rsidR="00B4523F" w:rsidRPr="00FD50B2" w:rsidSect="00FD50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29F"/>
    <w:rsid w:val="00051517"/>
    <w:rsid w:val="003E322C"/>
    <w:rsid w:val="005142C5"/>
    <w:rsid w:val="006B429F"/>
    <w:rsid w:val="00816EDC"/>
    <w:rsid w:val="00835EB1"/>
    <w:rsid w:val="009D7C09"/>
    <w:rsid w:val="00B4523F"/>
    <w:rsid w:val="00C3104B"/>
    <w:rsid w:val="00DF39AD"/>
    <w:rsid w:val="00E73643"/>
    <w:rsid w:val="00EA1559"/>
    <w:rsid w:val="00EA5FA1"/>
    <w:rsid w:val="00F85012"/>
    <w:rsid w:val="00FD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BB317AE-FE87-4E07-9C8C-5407C8FB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D7C0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3104B"/>
    <w:pPr>
      <w:keepNext/>
      <w:spacing w:before="240" w:after="60"/>
      <w:outlineLvl w:val="2"/>
    </w:pPr>
    <w:rPr>
      <w:rFonts w:ascii="Arial" w:hAnsi="Arial" w:cs="Arial"/>
      <w:b/>
      <w:bCs/>
      <w:sz w:val="26"/>
      <w:szCs w:val="26"/>
    </w:rPr>
  </w:style>
  <w:style w:type="paragraph" w:styleId="4">
    <w:name w:val="heading 4"/>
    <w:basedOn w:val="a"/>
    <w:link w:val="40"/>
    <w:uiPriority w:val="9"/>
    <w:qFormat/>
    <w:rsid w:val="00B4523F"/>
    <w:pPr>
      <w:spacing w:before="100" w:beforeAutospacing="1" w:after="100" w:afterAutospacing="1"/>
      <w:outlineLvl w:val="3"/>
    </w:pPr>
    <w:rPr>
      <w:b/>
      <w:bCs/>
    </w:rPr>
  </w:style>
  <w:style w:type="paragraph" w:styleId="5">
    <w:name w:val="heading 5"/>
    <w:basedOn w:val="a"/>
    <w:link w:val="50"/>
    <w:uiPriority w:val="9"/>
    <w:qFormat/>
    <w:rsid w:val="00B4523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rsid w:val="006B429F"/>
    <w:pPr>
      <w:spacing w:before="100" w:beforeAutospacing="1" w:after="100" w:afterAutospacing="1"/>
    </w:pPr>
  </w:style>
  <w:style w:type="paragraph" w:customStyle="1" w:styleId="a4">
    <w:name w:val="Заголовок ФедО"/>
    <w:basedOn w:val="a5"/>
    <w:rsid w:val="00EA5FA1"/>
    <w:pPr>
      <w:overflowPunct w:val="0"/>
      <w:autoSpaceDE w:val="0"/>
      <w:autoSpaceDN w:val="0"/>
      <w:adjustRightInd w:val="0"/>
      <w:jc w:val="left"/>
      <w:textAlignment w:val="baseline"/>
      <w:outlineLvl w:val="9"/>
    </w:pPr>
    <w:rPr>
      <w:b/>
      <w:bCs/>
      <w:sz w:val="32"/>
      <w:szCs w:val="20"/>
    </w:rPr>
  </w:style>
  <w:style w:type="paragraph" w:customStyle="1" w:styleId="a6">
    <w:name w:val="Текст ФО"/>
    <w:basedOn w:val="a"/>
    <w:rsid w:val="00EA5FA1"/>
    <w:pPr>
      <w:ind w:firstLine="709"/>
      <w:jc w:val="both"/>
    </w:pPr>
    <w:rPr>
      <w:rFonts w:ascii="Arial" w:hAnsi="Arial" w:cs="Arial"/>
      <w:szCs w:val="20"/>
    </w:rPr>
  </w:style>
  <w:style w:type="paragraph" w:styleId="a5">
    <w:name w:val="Subtitle"/>
    <w:basedOn w:val="a"/>
    <w:link w:val="a7"/>
    <w:uiPriority w:val="11"/>
    <w:qFormat/>
    <w:rsid w:val="00EA5FA1"/>
    <w:pPr>
      <w:spacing w:after="60"/>
      <w:jc w:val="center"/>
      <w:outlineLvl w:val="1"/>
    </w:pPr>
    <w:rPr>
      <w:rFonts w:ascii="Arial" w:hAnsi="Arial" w:cs="Arial"/>
    </w:rPr>
  </w:style>
  <w:style w:type="character" w:customStyle="1" w:styleId="a7">
    <w:name w:val="Подзаголовок Знак"/>
    <w:basedOn w:val="a0"/>
    <w:link w:val="a5"/>
    <w:uiPriority w:val="11"/>
    <w:rPr>
      <w:rFonts w:asciiTheme="majorHAnsi" w:eastAsiaTheme="majorEastAsia" w:hAnsiTheme="majorHAnsi" w:cstheme="majorBidi"/>
      <w:sz w:val="24"/>
      <w:szCs w:val="24"/>
    </w:rPr>
  </w:style>
  <w:style w:type="paragraph" w:customStyle="1" w:styleId="a8">
    <w:name w:val="Название таб ФО"/>
    <w:basedOn w:val="a"/>
    <w:rsid w:val="009D7C09"/>
    <w:pPr>
      <w:spacing w:before="120"/>
    </w:pPr>
    <w:rPr>
      <w:rFonts w:ascii="Arial" w:hAnsi="Arial"/>
      <w:b/>
    </w:rPr>
  </w:style>
  <w:style w:type="paragraph" w:customStyle="1" w:styleId="a9">
    <w:name w:val="Обычный Таб"/>
    <w:basedOn w:val="a"/>
    <w:rsid w:val="009D7C09"/>
    <w:rPr>
      <w:rFonts w:ascii="Arial" w:hAnsi="Arial"/>
      <w:color w:val="000000"/>
      <w:sz w:val="22"/>
      <w:szCs w:val="22"/>
    </w:rPr>
  </w:style>
  <w:style w:type="paragraph" w:styleId="21">
    <w:name w:val="Body Text Indent 2"/>
    <w:basedOn w:val="a"/>
    <w:link w:val="22"/>
    <w:uiPriority w:val="99"/>
    <w:rsid w:val="00C3104B"/>
    <w:pPr>
      <w:overflowPunct w:val="0"/>
      <w:autoSpaceDE w:val="0"/>
      <w:autoSpaceDN w:val="0"/>
      <w:adjustRightInd w:val="0"/>
      <w:ind w:firstLine="720"/>
      <w:jc w:val="both"/>
      <w:textAlignment w:val="baseline"/>
    </w:pPr>
    <w:rPr>
      <w:rFonts w:ascii="Arial" w:hAnsi="Arial"/>
      <w:sz w:val="20"/>
      <w:szCs w:val="20"/>
    </w:rPr>
  </w:style>
  <w:style w:type="character" w:customStyle="1" w:styleId="22">
    <w:name w:val="Основной текст с отступом 2 Знак"/>
    <w:basedOn w:val="a0"/>
    <w:link w:val="21"/>
    <w:uiPriority w:val="99"/>
    <w:semiHidden/>
    <w:rPr>
      <w:sz w:val="24"/>
      <w:szCs w:val="24"/>
    </w:rPr>
  </w:style>
  <w:style w:type="character" w:customStyle="1" w:styleId="tabhead1">
    <w:name w:val="tabhead1"/>
    <w:basedOn w:val="a0"/>
    <w:rsid w:val="00C3104B"/>
    <w:rPr>
      <w:rFonts w:cs="Arial"/>
      <w:i/>
      <w:iCs/>
      <w:noProof/>
      <w:sz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40617">
      <w:marLeft w:val="0"/>
      <w:marRight w:val="0"/>
      <w:marTop w:val="0"/>
      <w:marBottom w:val="0"/>
      <w:divBdr>
        <w:top w:val="none" w:sz="0" w:space="0" w:color="auto"/>
        <w:left w:val="none" w:sz="0" w:space="0" w:color="auto"/>
        <w:bottom w:val="none" w:sz="0" w:space="0" w:color="auto"/>
        <w:right w:val="none" w:sz="0" w:space="0" w:color="auto"/>
      </w:divBdr>
      <w:divsChild>
        <w:div w:id="1546140622">
          <w:marLeft w:val="0"/>
          <w:marRight w:val="0"/>
          <w:marTop w:val="0"/>
          <w:marBottom w:val="0"/>
          <w:divBdr>
            <w:top w:val="none" w:sz="0" w:space="0" w:color="auto"/>
            <w:left w:val="none" w:sz="0" w:space="0" w:color="auto"/>
            <w:bottom w:val="none" w:sz="0" w:space="0" w:color="auto"/>
            <w:right w:val="none" w:sz="0" w:space="0" w:color="auto"/>
          </w:divBdr>
          <w:divsChild>
            <w:div w:id="15461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0618">
      <w:marLeft w:val="0"/>
      <w:marRight w:val="0"/>
      <w:marTop w:val="0"/>
      <w:marBottom w:val="0"/>
      <w:divBdr>
        <w:top w:val="none" w:sz="0" w:space="0" w:color="auto"/>
        <w:left w:val="none" w:sz="0" w:space="0" w:color="auto"/>
        <w:bottom w:val="none" w:sz="0" w:space="0" w:color="auto"/>
        <w:right w:val="none" w:sz="0" w:space="0" w:color="auto"/>
      </w:divBdr>
      <w:divsChild>
        <w:div w:id="1546140619">
          <w:marLeft w:val="0"/>
          <w:marRight w:val="0"/>
          <w:marTop w:val="0"/>
          <w:marBottom w:val="0"/>
          <w:divBdr>
            <w:top w:val="none" w:sz="0" w:space="0" w:color="auto"/>
            <w:left w:val="none" w:sz="0" w:space="0" w:color="auto"/>
            <w:bottom w:val="none" w:sz="0" w:space="0" w:color="auto"/>
            <w:right w:val="none" w:sz="0" w:space="0" w:color="auto"/>
          </w:divBdr>
          <w:divsChild>
            <w:div w:id="15461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0624">
      <w:marLeft w:val="0"/>
      <w:marRight w:val="0"/>
      <w:marTop w:val="0"/>
      <w:marBottom w:val="0"/>
      <w:divBdr>
        <w:top w:val="none" w:sz="0" w:space="0" w:color="auto"/>
        <w:left w:val="none" w:sz="0" w:space="0" w:color="auto"/>
        <w:bottom w:val="none" w:sz="0" w:space="0" w:color="auto"/>
        <w:right w:val="none" w:sz="0" w:space="0" w:color="auto"/>
      </w:divBdr>
      <w:divsChild>
        <w:div w:id="1546140623">
          <w:marLeft w:val="0"/>
          <w:marRight w:val="0"/>
          <w:marTop w:val="0"/>
          <w:marBottom w:val="0"/>
          <w:divBdr>
            <w:top w:val="none" w:sz="0" w:space="0" w:color="auto"/>
            <w:left w:val="none" w:sz="0" w:space="0" w:color="auto"/>
            <w:bottom w:val="none" w:sz="0" w:space="0" w:color="auto"/>
            <w:right w:val="none" w:sz="0" w:space="0" w:color="auto"/>
          </w:divBdr>
          <w:divsChild>
            <w:div w:id="15461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16837</Characters>
  <Application>Microsoft Office Word</Application>
  <DocSecurity>0</DocSecurity>
  <Lines>140</Lines>
  <Paragraphs>39</Paragraphs>
  <ScaleCrop>false</ScaleCrop>
  <Company>Hewlett-Packard</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2014-04-19T01:48:00Z</dcterms:created>
  <dcterms:modified xsi:type="dcterms:W3CDTF">2014-04-19T01:48:00Z</dcterms:modified>
</cp:coreProperties>
</file>