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B2" w:rsidRDefault="00355668">
      <w:pPr>
        <w:pStyle w:val="1"/>
        <w:jc w:val="center"/>
      </w:pPr>
      <w:r>
        <w:t>Животноводческая отрасль Кизлярского муниципального района Республики Дагестан и динамика ее развития в современных условиях</w:t>
      </w:r>
    </w:p>
    <w:p w:rsidR="000F53B2" w:rsidRPr="00355668" w:rsidRDefault="00355668">
      <w:pPr>
        <w:pStyle w:val="a3"/>
      </w:pPr>
      <w:r>
        <w:t> Хапаев Ильяс Борисович,канд. филос. наук, доцент, зав. кафедрой экономики, менеджмента и финансового права Карачаево-Черкесского филиала Российского государственного социального университета</w:t>
      </w:r>
    </w:p>
    <w:p w:rsidR="000F53B2" w:rsidRDefault="00355668">
      <w:pPr>
        <w:pStyle w:val="a3"/>
      </w:pPr>
      <w:r>
        <w:t>В статье дается краткая географическая справка о муниципалитете, выявляется объем сельскохозяйственной продукции в районе, в том числе продукции животноводства. Характеризуется динамика развития животноводческой отрасли муниципалитета, рассматривается динамика и структура численности поголовья основных отраслей животноводства Кизлярского муниципального района.</w:t>
      </w:r>
    </w:p>
    <w:p w:rsidR="000F53B2" w:rsidRDefault="00355668">
      <w:pPr>
        <w:pStyle w:val="a3"/>
      </w:pPr>
      <w:r>
        <w:t>Выявляется роль и значение животноводства в развитии экономики рассматриваемого муниципалитета, обозначаются проблемы в развитии животноводческой отрасли муниципалитета и меры по их устранению.</w:t>
      </w:r>
    </w:p>
    <w:p w:rsidR="000F53B2" w:rsidRDefault="00355668">
      <w:pPr>
        <w:pStyle w:val="a3"/>
      </w:pPr>
      <w:r>
        <w:t>Кизлярский муниципальный район Республики Дагестан находится на севере региона, который граничит на севере и западе с Тарумовским районом, на юге - с Баба- юртовским, на западе - с Чеченской Республикой, на востоке - с Каспийским морем.</w:t>
      </w:r>
    </w:p>
    <w:p w:rsidR="000F53B2" w:rsidRDefault="00355668">
      <w:pPr>
        <w:pStyle w:val="a3"/>
      </w:pPr>
      <w:r>
        <w:t>Его территория располагается на Прикаспийской низменности, в устье реки Терек, что отражается на характере растительности и ландшафта. Ландшафт степного типа с наличием лугов, заболоченных участков, а также солончаковых пустынь. Площадь территории составляет 3047 кв. км.</w:t>
      </w:r>
    </w:p>
    <w:p w:rsidR="000F53B2" w:rsidRDefault="00355668">
      <w:pPr>
        <w:pStyle w:val="a3"/>
      </w:pPr>
      <w:r>
        <w:t>В состав Кизлярского муниципального района входят 22 муниципальных образования, численность их населения на сегодняшний день насчитывает около 70 тыс. человек.</w:t>
      </w:r>
    </w:p>
    <w:p w:rsidR="000F53B2" w:rsidRDefault="00355668">
      <w:pPr>
        <w:pStyle w:val="a3"/>
      </w:pPr>
      <w:r>
        <w:t>Главной составляющей экономики данного муниципалитета является сельское хозяйство, в котором выделяется его основная отрасль - животноводство, состоящее из следующих направлений: скотоводство, овцеводство, коневодство и свиноводство.</w:t>
      </w:r>
    </w:p>
    <w:p w:rsidR="000F53B2" w:rsidRDefault="00355668">
      <w:pPr>
        <w:pStyle w:val="a3"/>
      </w:pPr>
      <w:r>
        <w:t>Овцеводческая отрасль района представлена главным образом отгонным животноводством, поскольку в зимнее время с горной части мелкий скот перегоняют на более равнинную, мягкую по сравнению с горами территорию.</w:t>
      </w:r>
    </w:p>
    <w:p w:rsidR="000F53B2" w:rsidRDefault="00355668">
      <w:pPr>
        <w:pStyle w:val="a3"/>
      </w:pPr>
      <w:r>
        <w:t>Поголовье скота на конец года, голов [2, с. 4—12]</w:t>
      </w:r>
    </w:p>
    <w:p w:rsidR="000F53B2" w:rsidRDefault="0035566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137"/>
        <w:gridCol w:w="137"/>
        <w:gridCol w:w="137"/>
        <w:gridCol w:w="137"/>
        <w:gridCol w:w="137"/>
        <w:gridCol w:w="138"/>
      </w:tblGrid>
      <w:tr w:rsidR="000F53B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Годы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Крупный рогатый скот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В том числе коровы (без коров на откорме и нагуле)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Овцы и козы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Лошади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Свиньи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Овцекозоматки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0F53B2" w:rsidRDefault="00355668">
            <w:r>
              <w:t>Хозяйства всех категорий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47493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25464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147920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1258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684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106741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51237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27094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157914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1513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583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121932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 г. в % к 2011 г.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107,9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106,4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106,8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120,3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85,2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114,2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0F53B2" w:rsidRDefault="00355668">
            <w:r>
              <w:t>Сельскохозяйственные организации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9491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4465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41107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134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26167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12464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6086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45443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128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36663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 г. в % к 2011 г.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131,3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136,3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110,5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95,5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140,1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0F53B2" w:rsidRDefault="00355668">
            <w:r>
              <w:t>Хозяйства населения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33850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18903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62241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1061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642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44603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32856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18383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52535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1212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583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38948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 г. в % к 2011 г.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97,1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97,2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84,4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114,2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90,8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87,3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0F53B2" w:rsidRDefault="00355668">
            <w:r>
              <w:t>Крестьянские (фермерские) хозяйства и индивидуальные предприниматели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4152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2096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44572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63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35971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5917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2625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59936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173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46321</w:t>
            </w:r>
          </w:p>
        </w:tc>
      </w:tr>
      <w:tr w:rsidR="000F53B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F53B2" w:rsidRDefault="00355668">
            <w:r>
              <w:t>2012 г. в % к 2011 г.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142,5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125,2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134,5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274,6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0F53B2" w:rsidRDefault="00355668">
            <w:r>
              <w:t>128,8</w:t>
            </w:r>
          </w:p>
        </w:tc>
      </w:tr>
    </w:tbl>
    <w:p w:rsidR="000F53B2" w:rsidRPr="00355668" w:rsidRDefault="00355668">
      <w:pPr>
        <w:pStyle w:val="a3"/>
      </w:pPr>
      <w:r>
        <w:t>Основными субъектами хозяйствования животноводческой отрасли и производителями ее продукции в районе являются ООО «Молочник», ООО «Сириус», ОАО «Кизляр- агрокомплекс», ООО «Аверьяновка», СПК «Колхоз «Вперед», ООО «Элита», КФХ «Новый путь» и т. д., общая прибыль которых в 2011 году составила 44 млн рублей [1].</w:t>
      </w:r>
    </w:p>
    <w:p w:rsidR="000F53B2" w:rsidRDefault="00355668">
      <w:pPr>
        <w:pStyle w:val="a3"/>
      </w:pPr>
      <w:r>
        <w:t>Объем произведенной сельскохозяйственной продукции в районе за данный период составил 4132 млн рублей, из которых на долю животноводческой продукции приходилось 1501 млн рублей, то есть более 1/3 объема произведенной сельскохозяйственной продукции за 2011 год приходилось на ее долю. Более наглядно вышеизложенное представлено на рис. 1.</w:t>
      </w:r>
    </w:p>
    <w:p w:rsidR="000F53B2" w:rsidRDefault="00F52F3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52pt;height:100.5pt">
            <v:imagedata r:id="rId4" o:title=""/>
          </v:shape>
        </w:pict>
      </w:r>
    </w:p>
    <w:p w:rsidR="000F53B2" w:rsidRDefault="00355668">
      <w:pPr>
        <w:pStyle w:val="a3"/>
      </w:pPr>
      <w:r>
        <w:t>Рис. 1. Производство сельскохозяйственной продукции в Кизлярском муниципальном районе Республики Дагестан в 2011 году</w:t>
      </w:r>
    </w:p>
    <w:p w:rsidR="000F53B2" w:rsidRDefault="00355668">
      <w:pPr>
        <w:pStyle w:val="a3"/>
      </w:pPr>
      <w:r>
        <w:t>Как свидетельствуют данные рис. 1, в структуре произведенной сельскохозяйственной продукции доля животноводческой продукции в целом по району за 2011 год составила 36%, соответственно на долю продукции растениеводства приходилось 64%. При этом необходимо подчеркнуть, что в целом по району в структуре численности крупного и мелкого скота 41% приходится на крестьянские (фермерские) хозяйства.</w:t>
      </w:r>
    </w:p>
    <w:p w:rsidR="000F53B2" w:rsidRDefault="00355668">
      <w:pPr>
        <w:pStyle w:val="a3"/>
      </w:pPr>
      <w:r>
        <w:t>Как представляется, это обусловлено в первую очередь географическим местоположением района, основная часть которого расположена на равнинной территории республики. Но при этом следует подчеркнуть, что имеется ряд субъективных факторов, тормозящих развитие животноводческой отрасли Кизлярского муниципального района, о которых более подробно речь пойдет далее.</w:t>
      </w:r>
    </w:p>
    <w:p w:rsidR="000F53B2" w:rsidRDefault="00355668">
      <w:pPr>
        <w:pStyle w:val="a3"/>
      </w:pPr>
      <w:r>
        <w:t>Необходимо отметить, что за рассматриваемый период в целом по району субъектами хозяйствования было заготовлено 146 тыс. тонн и 48 тыс. тонн грубых и сочных кормов соответственно, продуктивность коров по сравнению с предыдущим периодом возросла на 43 кг и составила 1924 кг, настриг шерсти увеличился на 27% и достиг 463 тонн.</w:t>
      </w:r>
    </w:p>
    <w:p w:rsidR="000F53B2" w:rsidRDefault="00355668">
      <w:pPr>
        <w:pStyle w:val="a3"/>
      </w:pPr>
      <w:r>
        <w:t>В целом по Кизлярскому муниципальному району Республики Дагестан за 2011 год было произведено 8048 тонн мяса, 65809 тонн молока, 22206 тыс. яиц.</w:t>
      </w:r>
    </w:p>
    <w:p w:rsidR="000F53B2" w:rsidRDefault="00355668">
      <w:pPr>
        <w:pStyle w:val="a3"/>
      </w:pPr>
      <w:r>
        <w:t>Рассмотрим динамику развития животноводческой отрасли района в целом по данным табл.</w:t>
      </w:r>
    </w:p>
    <w:p w:rsidR="000F53B2" w:rsidRDefault="00355668">
      <w:pPr>
        <w:pStyle w:val="a3"/>
      </w:pPr>
      <w:r>
        <w:t>Как показывают данные табл., за 2012 год по сравнению с предыдущим годом поголовье крупного рогатого скота по району возросло на 7,9%, в том числе коров (без коров на откорме и нагуле) на 6,4%. Увеличение поголовья крупного рогатого скота произошло за счет роста его численности в сельскохозяйственных организациях и в крестьянских (фермерских) хозяйствах и у индивидуальных предпринимателей на 31,3 и 42,5% соответственно. При этом следует заметить, что в хозяйствах населения района наблюдается некоторое сокращение поголовья крупного рогатого скота (на 2,9%).</w:t>
      </w:r>
    </w:p>
    <w:p w:rsidR="000F53B2" w:rsidRDefault="00355668">
      <w:pPr>
        <w:pStyle w:val="a3"/>
      </w:pPr>
      <w:r>
        <w:t>Таким образом, отрадно говорить, что в 2012 году по сравнению с аналогичным показателем предыдущего года по Кизлярскому муниципальному району Республики Дагестан численность крупного рогатого скота увеличилась на 3744 головы.</w:t>
      </w:r>
    </w:p>
    <w:p w:rsidR="000F53B2" w:rsidRDefault="00355668">
      <w:pPr>
        <w:pStyle w:val="a3"/>
      </w:pPr>
      <w:r>
        <w:t>Данные табл. свидетельствуют о том, что аналогичная картина наблюдается и по отношению к численности коров. По сравнению с 2011 годом в 2012 году их поголовье по району в целом возросло на 1630 голов (на 6,4%). Заметный рост численности коров наблюдается в сельскохозяйственных организациях и в крестьянских (фермерских) хозяйства и у индивидуальных предпринимателей - на 36,3 и 25,2%. Но здесь приходится констатировать тот факт, что за данный период произошло заметное сокращение их численности в частном подворье - на 15,6%.</w:t>
      </w:r>
    </w:p>
    <w:p w:rsidR="000F53B2" w:rsidRDefault="00355668">
      <w:pPr>
        <w:pStyle w:val="a3"/>
      </w:pPr>
      <w:r>
        <w:t>Вышеизложенное говорит о безусловной стабилизации и динамичности развития скотоводческой отрасли района в целом, но при этом, как ранее было сказано, заметно упали показатели в данном секторе животноводства в хозяйствах населения.</w:t>
      </w:r>
    </w:p>
    <w:p w:rsidR="000F53B2" w:rsidRDefault="00355668">
      <w:pPr>
        <w:pStyle w:val="a3"/>
      </w:pPr>
      <w:r>
        <w:t>Как представляется, снижение численности крупного рогатого скота, в том числе коров (без коров на откорме и нагуле), произошло за счет как объективных, так и субъективных факторов. Одной из основных объективных причин, на мой взгляд, является интеграция ЛПХ в КФХ. К субъективным же факторам относятся:</w:t>
      </w:r>
    </w:p>
    <w:p w:rsidR="000F53B2" w:rsidRDefault="00355668">
      <w:pPr>
        <w:pStyle w:val="a3"/>
      </w:pPr>
      <w:r>
        <w:t>слабая техническая оснащенность;</w:t>
      </w:r>
    </w:p>
    <w:p w:rsidR="000F53B2" w:rsidRDefault="00355668">
      <w:pPr>
        <w:pStyle w:val="a3"/>
      </w:pPr>
      <w:r>
        <w:t>низкая материальная поддержка частного подворья в виде субсидирования;</w:t>
      </w:r>
    </w:p>
    <w:p w:rsidR="000F53B2" w:rsidRDefault="00355668">
      <w:pPr>
        <w:pStyle w:val="a3"/>
      </w:pPr>
      <w:r>
        <w:t>отсутствие регулируемого рынка сбыта животноводческой продукции.</w:t>
      </w:r>
    </w:p>
    <w:p w:rsidR="000F53B2" w:rsidRDefault="00355668">
      <w:pPr>
        <w:pStyle w:val="a3"/>
      </w:pPr>
      <w:r>
        <w:t>Что касается состояния овцеводческой отрасли, то, как свидетельствуют данные табл., численность овец и коз увеличилась в 2012 году по сравнению с аналогичным показателем 2011 года на 9994 головы (на 6,8%) и достигла 157914 голов. Данное обстоятельство обусловлено ростом численности овец и коз в сельскохозяйственных организациях и в крестьянских (фермерских) хозяйствах и у индивидуальных предпринимателей на 10,5 и 34,5% соответственно. В численности поголовья овцекозоматок в рассматриваемом периоде по району также наблюдается рост - на 14,2%, заметное их увеличение произошло в сельскохозяйственных организациях и в крестьянских (фермерских) хозяйствах и у индивидуальных предпринимателей (40,1 и 28,8% соответственно). В частном же подворье выявляется несколько иная, противоположная данным субъектам хозяйствования ситуация: поголовье козоматок существенно сократилось - на 12,7%. На сегодняшний день в Кизляр- ском муниципальном районе Республики Дагестан численность овцекозоматок, согласно данным табл., составляет 36663 головы.</w:t>
      </w:r>
    </w:p>
    <w:p w:rsidR="000F53B2" w:rsidRDefault="00355668">
      <w:pPr>
        <w:pStyle w:val="a3"/>
      </w:pPr>
      <w:r>
        <w:t>В данном муниципалитете быстрыми темпами идет восстановление и развитие коневодства, которое практически прекратило свое существование в начале 90-х годов прошлого века, в годы становления рыночной экономики. На данном этапе развития в коневодческой отрасли животноводства района, как показывают данные табл., насчитывается 1513 голов. По сравнению с 2011 годом в 2012 году темп прироста лошадей составил 20,3%. При этом необходимо отметить, что заметное их увеличение произошло в крестьянских (фермерских) хозяйствах и у индивидуальных предпринимателей - более чем в 2,5 раза. Некоторое снижение произошло в сельскохозяйственных организациях - на 4,5%. В частном подворье данный показатель 2012 года по сравнению с аналогичным показателем прошлого периода увеличился на 14,2%.</w:t>
      </w:r>
    </w:p>
    <w:p w:rsidR="000F53B2" w:rsidRDefault="00355668">
      <w:pPr>
        <w:pStyle w:val="a3"/>
      </w:pPr>
      <w:r>
        <w:t>Более слабой отраслью животноводства района, как свидетельствуют данные табл., является свиноводство, которое на данный момент развивается только за счет частного подворья. По сравнению с 2011 годом в 2012 году поголовье свиней сократилось на 14,8%, если в аналогичном периоде 2011 года их поголовье составляло 684 головы, то в 2012 году - всего 583 головы. Это происходит в первую очередь за счет слабого спроса на продукцию свиноводства как в районе, так и главным образом в республике в целом.</w:t>
      </w:r>
    </w:p>
    <w:p w:rsidR="000F53B2" w:rsidRDefault="00355668">
      <w:pPr>
        <w:pStyle w:val="a3"/>
      </w:pPr>
      <w:r>
        <w:t>Вследствие вышеизложенного необходимо, как представляется, наладить поставки свиноводческой продукции в другие субъекты РФ путем строительства и введения в строй частных свиноводческих фирм. Для этого наиболее действенным методом регулирования данного процесса является разработка и внедрение, прежде всего на уровне муниципалитета, отраслевой программы развития свиноводческой отрасли путем привлечения как внутренних, так и внешних источников финансирования, как происходит в скотоводческой и овцеводческой отрасли района, о чем речь пойдет немного далее.</w:t>
      </w:r>
    </w:p>
    <w:p w:rsidR="000F53B2" w:rsidRDefault="00355668">
      <w:pPr>
        <w:pStyle w:val="a3"/>
      </w:pPr>
      <w:r>
        <w:t>Если же посмотреть на структуру животноводческой отрасли в целом, то основная доля во многих ее направлениях принадлежит хозяйствам населения. Это более наглядно показано на рис. 2-4.</w:t>
      </w:r>
    </w:p>
    <w:p w:rsidR="000F53B2" w:rsidRDefault="00F52F32">
      <w:pPr>
        <w:pStyle w:val="a3"/>
      </w:pPr>
      <w:r>
        <w:rPr>
          <w:noProof/>
        </w:rPr>
        <w:pict>
          <v:shape id="_x0000_i1034" type="#_x0000_t75" style="width:252pt;height:126pt">
            <v:imagedata r:id="rId5" o:title=""/>
          </v:shape>
        </w:pict>
      </w:r>
    </w:p>
    <w:p w:rsidR="000F53B2" w:rsidRDefault="00355668">
      <w:pPr>
        <w:pStyle w:val="a3"/>
      </w:pPr>
      <w:r>
        <w:t>Рис. 2. Структура численности крупного рогатого скота (в том числе коров) в Кизлярском муниципальном районе Республики Дагестан в 2012 году</w:t>
      </w:r>
    </w:p>
    <w:p w:rsidR="000F53B2" w:rsidRDefault="00355668">
      <w:pPr>
        <w:pStyle w:val="a3"/>
      </w:pPr>
      <w:r>
        <w:t>По данным рис. 2, в структуре численности крупного рогатого скота (в том числе коров) района в 2012 году доля частного подворья составляет 64%, которая превышает аналогичный показатель сельскохозяйственных организаций и крестьянских (фермерских) хозяйств и индивидуальных предпринимателей в 2,7 и 5,4 раза соответственно, несмотря, как ранее было сказано, на сокращение в хозяйствах населения численности поголовья крупного рогатого скота (в том числе коров) за данный период.</w:t>
      </w:r>
    </w:p>
    <w:p w:rsidR="000F53B2" w:rsidRDefault="00F52F32">
      <w:pPr>
        <w:pStyle w:val="a3"/>
      </w:pPr>
      <w:r>
        <w:rPr>
          <w:noProof/>
        </w:rPr>
        <w:pict>
          <v:shape id="_x0000_i1037" type="#_x0000_t75" style="width:230.25pt;height:117.75pt">
            <v:imagedata r:id="rId6" o:title=""/>
          </v:shape>
        </w:pict>
      </w:r>
    </w:p>
    <w:p w:rsidR="000F53B2" w:rsidRDefault="00355668">
      <w:pPr>
        <w:pStyle w:val="a3"/>
      </w:pPr>
      <w:r>
        <w:t>Рис. 3. Структура численности овец и коз (в том числе овцекозоматок) в Кизлярском муниципальном районе Республики Дагестан в 2012 году</w:t>
      </w:r>
    </w:p>
    <w:p w:rsidR="000F53B2" w:rsidRDefault="00355668">
      <w:pPr>
        <w:pStyle w:val="a3"/>
      </w:pPr>
      <w:r>
        <w:t>Данные рис. 3 показывают, что в структуре овцеводческой отрасли района сложилась несколько иная картина: размещение численности овец и коз (в том числе овцекозо- маток) носит более равномерный характер по сравнению с ситуацией, сложившейся в скотоводческой отрасли. Лидером являются крестьянские (фермерские) хозяйства и индивидуальные предприниматели (38%), затем идут хозяйства населения, которые отстают от лидера на 5% (33%), на последнем месте находятся сельскохозяйственные организации, у которых данный показатель ниже названных выше субъектов хозяйствования на 9 и 4% соответственно (29%).</w:t>
      </w:r>
    </w:p>
    <w:p w:rsidR="000F53B2" w:rsidRDefault="00F52F32">
      <w:pPr>
        <w:pStyle w:val="a3"/>
      </w:pPr>
      <w:r>
        <w:rPr>
          <w:noProof/>
        </w:rPr>
        <w:pict>
          <v:shape id="_x0000_i1040" type="#_x0000_t75" style="width:239.25pt;height:126.75pt">
            <v:imagedata r:id="rId7" o:title=""/>
          </v:shape>
        </w:pict>
      </w:r>
    </w:p>
    <w:p w:rsidR="000F53B2" w:rsidRDefault="00355668">
      <w:pPr>
        <w:pStyle w:val="a3"/>
      </w:pPr>
      <w:r>
        <w:t>Рис. 4. Структура численности лошадей в Кизлярском муниципальном районе Республики Дагестан в 2012 году</w:t>
      </w:r>
    </w:p>
    <w:p w:rsidR="000F53B2" w:rsidRDefault="00355668">
      <w:pPr>
        <w:pStyle w:val="a3"/>
      </w:pPr>
      <w:r>
        <w:t>Если же посмотреть на сложившуюся ситуацию в структуре коневодческой отрасли муниципалитета, то, согласно данным рис. 4, львиная доля приходится на хозяйства населения (81%), которая превышает другие вместе взятые субъекты хозяйствования более чем в 4,2 раза (сельскохозяйственные организации - 8%, крестьянские (фермерские) хозяйства и индивидуальные предприниматели - 11%).</w:t>
      </w:r>
    </w:p>
    <w:p w:rsidR="000F53B2" w:rsidRDefault="00F52F32">
      <w:pPr>
        <w:pStyle w:val="a3"/>
      </w:pPr>
      <w:r>
        <w:rPr>
          <w:noProof/>
        </w:rPr>
        <w:pict>
          <v:shape id="_x0000_i1043" type="#_x0000_t75" style="width:237.75pt;height:128.25pt">
            <v:imagedata r:id="rId8" o:title=""/>
          </v:shape>
        </w:pict>
      </w:r>
    </w:p>
    <w:p w:rsidR="000F53B2" w:rsidRDefault="00355668">
      <w:pPr>
        <w:pStyle w:val="a3"/>
      </w:pPr>
      <w:r>
        <w:t>Рис. 5. Структура численности свиней в Кизлярском муниципальном районе Республики Дагестан в 2012 году</w:t>
      </w:r>
    </w:p>
    <w:p w:rsidR="000F53B2" w:rsidRDefault="00355668">
      <w:pPr>
        <w:pStyle w:val="a3"/>
      </w:pPr>
      <w:r>
        <w:t>Практически вся доля в структуре свиноводческой отрасли района, как наглядно показывают данные рис. 5, находится «в руках» личного подворья - 99%, соответственно на долю крестьянских (фермерских) хозяйств и индивидуальных предпринимателей приходится всего 1%. Здесь приходится, к сожалению, констатировать, что свиноводческая отрасль не нашла свое развитие в сельскохозяйственных организациях, но данное явление объясняется прежде всего тем, что в республике спросом в первую очередь пользуется скотоводческая продукция и каждый субъект хозяйствования ведет конкурентную борьбу за место на рынке для осуществления своей дальнейшей финансово-хозяйственной деятельности.</w:t>
      </w:r>
    </w:p>
    <w:p w:rsidR="000F53B2" w:rsidRDefault="00355668">
      <w:pPr>
        <w:pStyle w:val="a3"/>
      </w:pPr>
      <w:r>
        <w:t>Вышеизложенное позволяет с уверенностью говорить о том, что практически вся животноводческая отрасль сельского хозяйства Кизлярского муниципального района Республики Дагестан развивается главным образом за счет частного подворья, которое тем самым становится основным поставщиком животноводческой продукции и играет основную роль в продовольственной безопасности данного муниципалитета.</w:t>
      </w:r>
    </w:p>
    <w:p w:rsidR="000F53B2" w:rsidRDefault="00355668">
      <w:pPr>
        <w:pStyle w:val="a3"/>
      </w:pPr>
      <w:r>
        <w:t>Несмотря на наметившуюся положительную тенденцию в динамике развития животноводческой отрасли рассматриваемого муниципалитета Республики Дагестан в целом, остается, как было ранее сказано, ряд основных проблем, снижающих эффективность очень важного направления сельского хозяйства Кизлярского муниципального района, являющегося основным источником продуктов питания его населения.</w:t>
      </w:r>
    </w:p>
    <w:p w:rsidR="000F53B2" w:rsidRDefault="00355668">
      <w:pPr>
        <w:pStyle w:val="a3"/>
      </w:pPr>
      <w:r>
        <w:t>Среди них наиболее важными являются:</w:t>
      </w:r>
    </w:p>
    <w:p w:rsidR="000F53B2" w:rsidRDefault="00355668">
      <w:pPr>
        <w:pStyle w:val="a3"/>
      </w:pPr>
      <w:r>
        <w:t>обновление технической оснащенности;</w:t>
      </w:r>
    </w:p>
    <w:p w:rsidR="000F53B2" w:rsidRDefault="00355668">
      <w:pPr>
        <w:pStyle w:val="a3"/>
      </w:pPr>
      <w:r>
        <w:t>снижение кадрового потенциала;</w:t>
      </w:r>
    </w:p>
    <w:p w:rsidR="000F53B2" w:rsidRDefault="00355668">
      <w:pPr>
        <w:pStyle w:val="a3"/>
      </w:pPr>
      <w:r>
        <w:t>отток сельского населения;</w:t>
      </w:r>
    </w:p>
    <w:p w:rsidR="000F53B2" w:rsidRDefault="00355668">
      <w:pPr>
        <w:pStyle w:val="a3"/>
      </w:pPr>
      <w:r>
        <w:t>внедрение энергосберегающих технологий в производстве животноводческой продукции.</w:t>
      </w:r>
    </w:p>
    <w:p w:rsidR="000F53B2" w:rsidRDefault="00355668">
      <w:pPr>
        <w:pStyle w:val="a3"/>
      </w:pPr>
      <w:r>
        <w:t>Отток населения из села происходит главным образом из-за безработицы, отсутствия должного социального пакета, слабой инфраструктуры муниципального образования. Перечисленные факторы, безусловно, оказывают негативное влияние и на кадровое обеспечение субъектов хозяйствования животноводческой отрасли, в связи чем, на наш взгляд, необходимо в первую очередь создавать дополнительные рабочие места в сельскохозяйственных организациях путем привлечения дополнительных инвестиций, улучшения социальной обеспеченности сельского жителя, увеличения заработной платы на селе, улучшения качества жилья и т. д.</w:t>
      </w:r>
    </w:p>
    <w:p w:rsidR="000F53B2" w:rsidRDefault="00355668">
      <w:pPr>
        <w:pStyle w:val="a3"/>
      </w:pPr>
      <w:r>
        <w:t>Одним из основных рычагов успешного функционирования животноводческой отрасли и ее субъектов хозяйствования, как и других отраслей экономики района, является привлечение дополнительных инвестиционных потоков. Так, в начале 2012 года в данном муниципалитете началась реализация приоритетного инвестиционного проекта «Реконструкция и модернизация существующих и строительство новых животноводческих комплексов в Кизлярском, Тарумовском и Бабаюртовском районах» с общим объемом 3834,0 млн рублей, инициатором которого является ОАО «Кизлярагро- комплекс». Данная программа рассчитана на четыре года со сроком окупаемости в семь лет [3]. При этом объем инвестиций в Кизлярский муниципальный район составил 250 млн рублей для финансирования строительства животноводческого комплекса на 2500 голов дойного стада [4].</w:t>
      </w:r>
    </w:p>
    <w:p w:rsidR="000F53B2" w:rsidRDefault="00355668">
      <w:pPr>
        <w:pStyle w:val="a3"/>
      </w:pPr>
      <w:r>
        <w:t>На сегодняшний день в рамках реализации данного проекта приобретено современное оборудование для молокоперерабатывающего завода мощностью 100 тонн в смену, построены и реконструированы животноводческие комплексы на 1200 молочных коров в с. Черняевка, на 600 голов - в с. Некрасовка, на 500 голов - в с. Задоевка Кизляр- ского района [3].</w:t>
      </w:r>
    </w:p>
    <w:p w:rsidR="000F53B2" w:rsidRDefault="00355668">
      <w:pPr>
        <w:pStyle w:val="a3"/>
      </w:pPr>
      <w:r>
        <w:t>Вышеизложенное, на наш взгляд, будет способствовать более интенсивному развитию как животноводческой отрасли, так и сельского хозяйства Кизлярского муниципального района в целом.</w:t>
      </w:r>
    </w:p>
    <w:p w:rsidR="000F53B2" w:rsidRDefault="00355668">
      <w:pPr>
        <w:pStyle w:val="a3"/>
      </w:pPr>
      <w:r>
        <w:t>Отчет главы муниципального района «Кизлярский район» о своей деятельности и деятельности администрации муниципального района «Кизлярский район» за 2011 год [Электронный ресурс]. URL: http://kizlyar-rayon.ru(дата обращения: 08.05.2013).</w:t>
      </w:r>
    </w:p>
    <w:p w:rsidR="000F53B2" w:rsidRDefault="00355668">
      <w:pPr>
        <w:pStyle w:val="a3"/>
      </w:pPr>
      <w:r>
        <w:t>Итоги учета скота / Дагстат // Стат. бюллетень сельского хозяйства. Махачкала, 2013. 28 с.</w:t>
      </w:r>
    </w:p>
    <w:p w:rsidR="000F53B2" w:rsidRDefault="00355668">
      <w:pPr>
        <w:pStyle w:val="a3"/>
      </w:pPr>
      <w:r>
        <w:t>Реконструкция и модернизация существующих и строительство новых животноводческих комплексов [Электронный ресурс]. URL: http://www.dagpred.ru (дата обращения: 10.05.2013).</w:t>
      </w:r>
    </w:p>
    <w:p w:rsidR="000F53B2" w:rsidRDefault="00355668">
      <w:pPr>
        <w:pStyle w:val="a3"/>
      </w:pPr>
      <w:r>
        <w:t>Кизлярский район готов к реализации «Стратегии-2025» [Электронный ресурс]. URL: http://07kbr.ru (дата обращения: 11.05.2013).</w:t>
      </w:r>
    </w:p>
    <w:p w:rsidR="000F53B2" w:rsidRDefault="00355668">
      <w:pPr>
        <w:pStyle w:val="a3"/>
      </w:pPr>
      <w:r>
        <w:t>Список литературы</w:t>
      </w:r>
    </w:p>
    <w:p w:rsidR="000F53B2" w:rsidRDefault="00355668">
      <w:pPr>
        <w:pStyle w:val="a3"/>
      </w:pPr>
      <w:r>
        <w:t>Хапаев И. Б. Особенности организации производственного процесса сельскохозяйственной продукции и его динамика в Прикубанском муниципальном районе Карачаево-Черкесии // Бизнес. Образование. Право. Вестник Волгоградского института бизнеса. 2013. № 2 (23). С. 111-114.</w:t>
      </w:r>
      <w:bookmarkStart w:id="0" w:name="_GoBack"/>
      <w:bookmarkEnd w:id="0"/>
    </w:p>
    <w:sectPr w:rsidR="000F5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668"/>
    <w:rsid w:val="000F53B2"/>
    <w:rsid w:val="00355668"/>
    <w:rsid w:val="00F5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D25156C-54A7-42FF-A3D4-002EB820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2448</Words>
  <Characters>13960</Characters>
  <Application>Microsoft Office Word</Application>
  <DocSecurity>0</DocSecurity>
  <Lines>116</Lines>
  <Paragraphs>32</Paragraphs>
  <ScaleCrop>false</ScaleCrop>
  <Company>diakov.net</Company>
  <LinksUpToDate>false</LinksUpToDate>
  <CharactersWithSpaces>16376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Животноводческая отрасль Кизлярского муниципального района Республики Дагестан и динамика ее развития в современных условиях</dc:title>
  <dc:subject/>
  <dc:creator>Irina</dc:creator>
  <cp:keywords/>
  <dc:description/>
  <cp:lastModifiedBy>Irina</cp:lastModifiedBy>
  <cp:revision>2</cp:revision>
  <dcterms:created xsi:type="dcterms:W3CDTF">2014-08-02T18:32:00Z</dcterms:created>
  <dcterms:modified xsi:type="dcterms:W3CDTF">2014-08-02T18:32:00Z</dcterms:modified>
</cp:coreProperties>
</file>