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15" w:rsidRDefault="00F15F15">
      <w:pPr>
        <w:pStyle w:val="1"/>
        <w:spacing w:line="360" w:lineRule="auto"/>
        <w:ind w:left="57" w:right="57" w:firstLine="709"/>
        <w:jc w:val="center"/>
        <w:rPr>
          <w:rFonts w:ascii="Arial" w:hAnsi="Arial" w:cs="Arial"/>
          <w:b/>
          <w:sz w:val="28"/>
        </w:rPr>
      </w:pPr>
    </w:p>
    <w:p w:rsidR="00F15F15" w:rsidRDefault="00F15F15">
      <w:pPr>
        <w:pStyle w:val="1"/>
        <w:spacing w:line="360" w:lineRule="auto"/>
        <w:ind w:left="57" w:right="57" w:firstLine="709"/>
        <w:jc w:val="center"/>
        <w:rPr>
          <w:rFonts w:ascii="Arial" w:hAnsi="Arial" w:cs="Arial"/>
          <w:b/>
          <w:sz w:val="28"/>
        </w:rPr>
      </w:pPr>
    </w:p>
    <w:p w:rsidR="00F15F15" w:rsidRDefault="00F15F15">
      <w:pPr>
        <w:pStyle w:val="1"/>
        <w:spacing w:line="360" w:lineRule="auto"/>
        <w:ind w:left="57" w:right="57" w:firstLine="709"/>
        <w:jc w:val="center"/>
        <w:rPr>
          <w:rFonts w:ascii="Arial" w:hAnsi="Arial" w:cs="Arial"/>
          <w:b/>
          <w:sz w:val="28"/>
        </w:rPr>
      </w:pPr>
    </w:p>
    <w:p w:rsidR="00F15F15" w:rsidRDefault="00F15F15">
      <w:pPr>
        <w:pStyle w:val="1"/>
        <w:spacing w:line="360" w:lineRule="auto"/>
        <w:ind w:left="57" w:right="57" w:firstLine="709"/>
        <w:jc w:val="center"/>
        <w:rPr>
          <w:rFonts w:ascii="Arial" w:hAnsi="Arial" w:cs="Arial"/>
          <w:b/>
          <w:sz w:val="28"/>
        </w:rPr>
      </w:pPr>
    </w:p>
    <w:p w:rsidR="00F15F15" w:rsidRDefault="001968D5">
      <w:pPr>
        <w:pStyle w:val="1"/>
        <w:spacing w:line="360" w:lineRule="auto"/>
        <w:ind w:left="57" w:right="57" w:firstLine="709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Реферат на тему:</w:t>
      </w:r>
    </w:p>
    <w:p w:rsidR="00F15F15" w:rsidRDefault="001968D5">
      <w:pPr>
        <w:pStyle w:val="1"/>
        <w:spacing w:line="360" w:lineRule="auto"/>
        <w:ind w:left="57" w:right="57" w:firstLine="709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ПРИЙМАННЯ, ОБЛІК І ЗБЕРІГАННЯ РЕЧОВИХ ДОКАЗІВ ТА ОСОБИСТИХ ДОКУМЕНТІВ У СУДОВИХ СПРАВАХ. ДІЛОВОДСТВО В ПРЕЗИДІЇ СУДУ.</w:t>
      </w:r>
    </w:p>
    <w:p w:rsidR="00F15F15" w:rsidRDefault="00F15F15">
      <w:pPr>
        <w:pStyle w:val="1"/>
        <w:spacing w:line="360" w:lineRule="auto"/>
        <w:ind w:left="57" w:right="57" w:firstLine="709"/>
        <w:jc w:val="center"/>
        <w:rPr>
          <w:rFonts w:ascii="Arial" w:hAnsi="Arial" w:cs="Arial"/>
          <w:sz w:val="28"/>
          <w:u w:val="single"/>
        </w:rPr>
        <w:sectPr w:rsidR="00F15F1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15F15" w:rsidRDefault="001968D5">
      <w:pPr>
        <w:pStyle w:val="1"/>
        <w:spacing w:line="360" w:lineRule="auto"/>
        <w:ind w:left="2123" w:right="57" w:firstLine="709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План</w:t>
      </w:r>
    </w:p>
    <w:p w:rsidR="00F15F15" w:rsidRDefault="001968D5">
      <w:pPr>
        <w:pStyle w:val="1"/>
        <w:numPr>
          <w:ilvl w:val="0"/>
          <w:numId w:val="1"/>
        </w:numPr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Приймання, облік і зберігання речових доказів.</w:t>
      </w:r>
    </w:p>
    <w:p w:rsidR="00F15F15" w:rsidRDefault="001968D5">
      <w:pPr>
        <w:pStyle w:val="1"/>
        <w:numPr>
          <w:ilvl w:val="0"/>
          <w:numId w:val="1"/>
        </w:numPr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Зберігання особистих документів.</w:t>
      </w:r>
    </w:p>
    <w:p w:rsidR="00F15F15" w:rsidRDefault="001968D5">
      <w:pPr>
        <w:pStyle w:val="1"/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 Реєстрація та облік скарг порядком нагляду.</w:t>
      </w:r>
    </w:p>
    <w:p w:rsidR="00F15F15" w:rsidRDefault="00F15F1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noProof/>
          <w:sz w:val="28"/>
        </w:rPr>
      </w:pP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 xml:space="preserve">1. </w:t>
      </w:r>
      <w:r>
        <w:rPr>
          <w:rFonts w:ascii="Arial" w:hAnsi="Arial" w:cs="Arial"/>
          <w:sz w:val="28"/>
        </w:rPr>
        <w:t>Приймання, облік і зберігання речових доказів у криміналь</w:t>
      </w:r>
      <w:r>
        <w:rPr>
          <w:rFonts w:ascii="Arial" w:hAnsi="Arial" w:cs="Arial"/>
          <w:sz w:val="28"/>
        </w:rPr>
        <w:softHyphen/>
        <w:t>них, цивільних справах та справах про адміністративні правопорушен</w:t>
      </w:r>
      <w:r>
        <w:rPr>
          <w:rFonts w:ascii="Arial" w:hAnsi="Arial" w:cs="Arial"/>
          <w:sz w:val="28"/>
        </w:rPr>
        <w:softHyphen/>
        <w:t>ня, крім цієї інструкції, провадиться відповідно до чинного законодавства.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 разі надходження речових доказів у кримінальних справах наявність їх звіряється за довідкою про речові докази, складеною органами слідства. Речові докази реєструються в журналі обліку речових доказів (форма</w:t>
      </w:r>
      <w:r>
        <w:rPr>
          <w:rFonts w:ascii="Arial" w:hAnsi="Arial" w:cs="Arial"/>
          <w:noProof/>
          <w:sz w:val="28"/>
        </w:rPr>
        <w:t xml:space="preserve"> № 40).</w:t>
      </w:r>
      <w:r>
        <w:rPr>
          <w:rFonts w:ascii="Arial" w:hAnsi="Arial" w:cs="Arial"/>
          <w:sz w:val="28"/>
        </w:rPr>
        <w:t xml:space="preserve"> Зберігаються речові докази в спеці</w:t>
      </w:r>
      <w:r>
        <w:rPr>
          <w:rFonts w:ascii="Arial" w:hAnsi="Arial" w:cs="Arial"/>
          <w:sz w:val="28"/>
        </w:rPr>
        <w:softHyphen/>
        <w:t>альному приміщенні (камері), сейфі, шафі тощо.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 відсутності зазначених в довідці речових доказів, складається акт, який підписує голова суду (заступник) і секретар.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Приміщення, шафи, сейфи, де зберігаються речові докази, мають бути замкнені та опечатані.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Додані до справи як речові докази: дорогоцінні метали, вироби з дорогоцінних металів, лом, дорогоцінне каміння, перли, монети з дорогоцінних металів, іноземна валюта, платіжні документи в іноземній валюті, банківські платіжні документи в національній валюті, сертифікати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до набуття вироком (ухвалою) законної сили зберіга</w:t>
      </w:r>
      <w:r>
        <w:rPr>
          <w:rFonts w:ascii="Arial" w:hAnsi="Arial" w:cs="Arial"/>
          <w:sz w:val="28"/>
        </w:rPr>
        <w:softHyphen/>
        <w:t>ються у відповідних фінансових установах органів слідства або здають</w:t>
      </w:r>
      <w:r>
        <w:rPr>
          <w:rFonts w:ascii="Arial" w:hAnsi="Arial" w:cs="Arial"/>
          <w:sz w:val="28"/>
        </w:rPr>
        <w:softHyphen/>
        <w:t>ся ними на зберігання до установ Національного банку України.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Приймаючи таку справу, секретар перевіряє наявність документів про передачу зазначених вище речових доказів для зберігання до відповідних установ.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Наркотичні засоби, що є речовими доказами, зберігаються у камері схову речових доказів органів слідства і судом на зберігання не приймаються. Копія вироку або його резолютивна частина надси</w:t>
      </w:r>
      <w:r>
        <w:rPr>
          <w:rFonts w:ascii="Arial" w:hAnsi="Arial" w:cs="Arial"/>
          <w:sz w:val="28"/>
        </w:rPr>
        <w:softHyphen/>
        <w:t>лається на виконання в органи слідства, де зберігаються речові докази. У супровідному листі пропонується повідомити суд про виконання.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Речові докази у цивільних справах, що подані сторонами, іншими учасниками процесу чи витребувані судом, зберігаються в справі або за окремим описом здаються секретарем до камери схову відповідно до ст.</w:t>
      </w:r>
      <w:r>
        <w:rPr>
          <w:rFonts w:ascii="Arial" w:hAnsi="Arial" w:cs="Arial"/>
          <w:noProof/>
          <w:sz w:val="28"/>
        </w:rPr>
        <w:t xml:space="preserve"> 54</w:t>
      </w:r>
      <w:r>
        <w:rPr>
          <w:rFonts w:ascii="Arial" w:hAnsi="Arial" w:cs="Arial"/>
          <w:sz w:val="28"/>
        </w:rPr>
        <w:t xml:space="preserve"> ЦПК України.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Після набрання рішенням законної сили речові докази поверта</w:t>
      </w:r>
      <w:r>
        <w:rPr>
          <w:rFonts w:ascii="Arial" w:hAnsi="Arial" w:cs="Arial"/>
          <w:sz w:val="28"/>
        </w:rPr>
        <w:softHyphen/>
        <w:t>ються особам, від яких були одержані, або передаються особам, за якими суд визнав право на ці речі відповідно до ст.</w:t>
      </w:r>
      <w:r>
        <w:rPr>
          <w:rFonts w:ascii="Arial" w:hAnsi="Arial" w:cs="Arial"/>
          <w:noProof/>
          <w:sz w:val="28"/>
        </w:rPr>
        <w:t xml:space="preserve"> 56</w:t>
      </w:r>
      <w:r>
        <w:rPr>
          <w:rFonts w:ascii="Arial" w:hAnsi="Arial" w:cs="Arial"/>
          <w:sz w:val="28"/>
        </w:rPr>
        <w:t xml:space="preserve"> ЦПК України.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 рух речових доказів по справах секретарі роблять відповідні записи у журналі (форма</w:t>
      </w:r>
      <w:r>
        <w:rPr>
          <w:rFonts w:ascii="Arial" w:hAnsi="Arial" w:cs="Arial"/>
          <w:noProof/>
          <w:sz w:val="28"/>
        </w:rPr>
        <w:t xml:space="preserve"> № 40).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До матеріалів справи приєднуються акти про знищення речових доказів чи розписки осіб, яким повернуто речові докази.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Працівникам суду категорично забороняється реалізація і придбання речових доказів.</w:t>
      </w:r>
    </w:p>
    <w:p w:rsidR="00F15F15" w:rsidRDefault="00F15F1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Вилучені у арештованих паспорти, військові квитки, трудові книжки та інші особисті документи зберігаються в окремому опечатаному пакеті, який підшивається до справи і нумерується черговим номером аркуша справи.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 випадках закриття справи або звільнення з-під варти володільця, документи повертаються йому під розписку.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 разі засудження до позбавлення волі військовий квиток і приписне свідоцтво призовника не пізніше семи днів після набрання вироком законної сили надсилаєтъся у військкомат за місцем останньої прописки, паспорт надсилається в місця попереднього ув'язнення.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Всі інші документи зберігаються в справі до звільнення і витребування їх засудженим.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Паспорти та інші документи осіб, які перебувають під вартою, надсилаються в місця попереднього ув'язнення, а щодо осіб, які знаходяться на волі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органу внутрішніх справ за місцем проживання засудженого.</w:t>
      </w:r>
    </w:p>
    <w:p w:rsidR="00F15F15" w:rsidRDefault="00F15F1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 xml:space="preserve">3. </w:t>
      </w:r>
      <w:r>
        <w:rPr>
          <w:rFonts w:ascii="Arial" w:hAnsi="Arial" w:cs="Arial"/>
          <w:sz w:val="28"/>
        </w:rPr>
        <w:t>Скарги, надіслані поштою або прийняті на особистому прийомі, реєструються секретарем колегії на обліково-статистичних картках у день їх надходження (форми</w:t>
      </w:r>
      <w:r>
        <w:rPr>
          <w:rFonts w:ascii="Arial" w:hAnsi="Arial" w:cs="Arial"/>
          <w:noProof/>
          <w:sz w:val="28"/>
        </w:rPr>
        <w:t xml:space="preserve"> № 32,34).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Повторні скарги реєструються під номером первинних скарг з індексом "П" (повторно), що ставиться попереду номера.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Повторною вважається скарга, що надійшла від однієї і тієї ж осо</w:t>
      </w:r>
      <w:r>
        <w:rPr>
          <w:rFonts w:ascii="Arial" w:hAnsi="Arial" w:cs="Arial"/>
          <w:sz w:val="28"/>
        </w:rPr>
        <w:softHyphen/>
        <w:t>би з одного і того ж питання на рішення, про обгрунтованість якого її вже повідомлялося, а також на несвоєчасний розгляд попередніх скарг.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Кожна скарга заноситься до алфавітного покажчика окремо по кримінальних і цивільних справах, де зазначається номер обліково-статистичної картки (форми</w:t>
      </w:r>
      <w:r>
        <w:rPr>
          <w:rFonts w:ascii="Arial" w:hAnsi="Arial" w:cs="Arial"/>
          <w:noProof/>
          <w:sz w:val="28"/>
        </w:rPr>
        <w:t xml:space="preserve"> № 4, 6).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 кожну справу заводиться окреме провадження за номером обліково-статистичної картки (форма</w:t>
      </w:r>
      <w:r>
        <w:rPr>
          <w:rFonts w:ascii="Arial" w:hAnsi="Arial" w:cs="Arial"/>
          <w:noProof/>
          <w:sz w:val="28"/>
        </w:rPr>
        <w:t xml:space="preserve"> № 31).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 скарзі проставляється номер, який складається з індексу</w:t>
      </w:r>
      <w:r>
        <w:rPr>
          <w:rFonts w:ascii="Arial" w:hAnsi="Arial" w:cs="Arial"/>
          <w:noProof/>
          <w:sz w:val="28"/>
        </w:rPr>
        <w:t xml:space="preserve"> (4), </w:t>
      </w:r>
      <w:r>
        <w:rPr>
          <w:rFonts w:ascii="Arial" w:hAnsi="Arial" w:cs="Arial"/>
          <w:sz w:val="28"/>
        </w:rPr>
        <w:t>позначення категорії справи ("к"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кримінальна,</w:t>
      </w:r>
      <w:r>
        <w:rPr>
          <w:rFonts w:ascii="Arial" w:hAnsi="Arial" w:cs="Arial"/>
          <w:sz w:val="28"/>
          <w:lang w:val="ru-RU"/>
        </w:rPr>
        <w:t xml:space="preserve"> "ц" —</w:t>
      </w:r>
      <w:r>
        <w:rPr>
          <w:rFonts w:ascii="Arial" w:hAnsi="Arial" w:cs="Arial"/>
          <w:sz w:val="28"/>
        </w:rPr>
        <w:t xml:space="preserve"> цивільна) і порядкового номера обліково-статистичної картки.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Після розгляду скарги виконавцем в обліково-статистичній картці секретар зазначає наслідки її розгляду, дату витребування або відмови у витребуванні справи.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 разі витребування справи надсилається вимога про її надіслання.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Провадження за скаргою, залишеною без задоволення (без витребування справи), вважається завершеним після накладення резолюції і відповіді заявникові.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Скарга, за якою витребувано справу і після її вивчення не встановлено підстав для опротестування судового рішення, вважається закінченою провадженням з часу надіслання відповіді заявникові.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Надіслані зі скаргою документи у випадку відхилення скарги підлягають поверненню заявникові.</w:t>
      </w:r>
    </w:p>
    <w:p w:rsidR="00F15F15" w:rsidRDefault="001968D5">
      <w:pPr>
        <w:pStyle w:val="1"/>
        <w:tabs>
          <w:tab w:val="num" w:pos="0"/>
        </w:tabs>
        <w:spacing w:line="360" w:lineRule="auto"/>
        <w:ind w:left="57" w:right="57"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Разом з відхиленою скаргою в провадженні зберігаються висновок про відмову в опротестуванні судового рішення та копія відповіді заявникові.</w:t>
      </w:r>
    </w:p>
    <w:p w:rsidR="00F15F15" w:rsidRDefault="00F15F15">
      <w:pPr>
        <w:spacing w:line="360" w:lineRule="auto"/>
        <w:ind w:left="57" w:right="57" w:firstLine="709"/>
        <w:rPr>
          <w:rFonts w:ascii="Arial" w:hAnsi="Arial" w:cs="Arial"/>
        </w:rPr>
      </w:pPr>
      <w:bookmarkStart w:id="0" w:name="_GoBack"/>
      <w:bookmarkEnd w:id="0"/>
    </w:p>
    <w:sectPr w:rsidR="00F15F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F4A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8D5"/>
    <w:rsid w:val="001968D5"/>
    <w:rsid w:val="004E70B5"/>
    <w:rsid w:val="00F1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5E5ED-7B80-4F0A-AD1C-0A17E3A0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260" w:lineRule="auto"/>
      <w:ind w:firstLine="400"/>
      <w:jc w:val="both"/>
    </w:pPr>
    <w:rPr>
      <w:snapToGrid w:val="0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6</vt:lpstr>
    </vt:vector>
  </TitlesOfParts>
  <Manager>Право. Міжнародні відносини</Manager>
  <Company> Право. Міжнародні відносини</Company>
  <LinksUpToDate>false</LinksUpToDate>
  <CharactersWithSpaces>5199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6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2014-04-07T01:48:00Z</dcterms:created>
  <dcterms:modified xsi:type="dcterms:W3CDTF">2014-04-07T01:48:00Z</dcterms:modified>
  <cp:category>Право. Міжнародні відносини</cp:category>
</cp:coreProperties>
</file>