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3F03" w:rsidRDefault="00E63F03" w:rsidP="00BD2141">
      <w:pPr>
        <w:jc w:val="center"/>
        <w:rPr>
          <w:rFonts w:ascii="Times New Roman" w:hAnsi="Times New Roman"/>
          <w:sz w:val="28"/>
          <w:szCs w:val="28"/>
        </w:rPr>
      </w:pPr>
    </w:p>
    <w:p w:rsidR="008B63EB" w:rsidRDefault="008B63EB" w:rsidP="00BD2141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СОДЕРЖАНИЕ</w:t>
      </w:r>
    </w:p>
    <w:p w:rsidR="008B63EB" w:rsidRDefault="008B63EB" w:rsidP="00BD214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ВВЕДЕНИЕ………………………………………………………………………..3</w:t>
      </w:r>
    </w:p>
    <w:p w:rsidR="008B63EB" w:rsidRDefault="008B63EB" w:rsidP="00BD214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1. Состав и структура нефтегазового комплекса………………………...6</w:t>
      </w:r>
    </w:p>
    <w:p w:rsidR="008B63EB" w:rsidRPr="00BD2141" w:rsidRDefault="008B63EB" w:rsidP="00BD2141">
      <w:pPr>
        <w:pStyle w:val="11"/>
        <w:numPr>
          <w:ilvl w:val="1"/>
          <w:numId w:val="3"/>
        </w:numPr>
        <w:jc w:val="both"/>
        <w:rPr>
          <w:rFonts w:ascii="Times New Roman" w:hAnsi="Times New Roman"/>
          <w:sz w:val="28"/>
          <w:szCs w:val="28"/>
        </w:rPr>
      </w:pPr>
      <w:r w:rsidRPr="00BD2141">
        <w:rPr>
          <w:rFonts w:ascii="Times New Roman" w:hAnsi="Times New Roman"/>
          <w:sz w:val="28"/>
          <w:szCs w:val="28"/>
        </w:rPr>
        <w:t>Нефтяная промышленность</w:t>
      </w:r>
      <w:r>
        <w:rPr>
          <w:rFonts w:ascii="Times New Roman" w:hAnsi="Times New Roman"/>
          <w:sz w:val="28"/>
          <w:szCs w:val="28"/>
        </w:rPr>
        <w:t>……………………………………………….6</w:t>
      </w:r>
    </w:p>
    <w:p w:rsidR="008B63EB" w:rsidRPr="00BD2141" w:rsidRDefault="008B63EB" w:rsidP="00BD2141">
      <w:pPr>
        <w:pStyle w:val="11"/>
        <w:numPr>
          <w:ilvl w:val="1"/>
          <w:numId w:val="3"/>
        </w:numPr>
        <w:jc w:val="both"/>
        <w:rPr>
          <w:rFonts w:ascii="Times New Roman" w:hAnsi="Times New Roman"/>
          <w:sz w:val="28"/>
          <w:szCs w:val="28"/>
        </w:rPr>
      </w:pPr>
      <w:r w:rsidRPr="00BD2141">
        <w:rPr>
          <w:rFonts w:ascii="Times New Roman" w:hAnsi="Times New Roman"/>
          <w:sz w:val="28"/>
          <w:szCs w:val="28"/>
        </w:rPr>
        <w:t>Газовая промышленность</w:t>
      </w:r>
      <w:r>
        <w:rPr>
          <w:rFonts w:ascii="Times New Roman" w:hAnsi="Times New Roman"/>
          <w:sz w:val="28"/>
          <w:szCs w:val="28"/>
        </w:rPr>
        <w:t>………………………………………………...12</w:t>
      </w:r>
    </w:p>
    <w:p w:rsidR="008B63EB" w:rsidRDefault="008B63EB" w:rsidP="002B368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2. Современное состояние, проблемы и перспективы развития нефтегазового комплекса России……………………………………………….17</w:t>
      </w:r>
    </w:p>
    <w:p w:rsidR="008B63EB" w:rsidRPr="00E01822" w:rsidRDefault="008B63EB" w:rsidP="00E01822">
      <w:pPr>
        <w:jc w:val="both"/>
        <w:rPr>
          <w:rFonts w:ascii="Times New Roman" w:hAnsi="Times New Roman"/>
          <w:sz w:val="28"/>
          <w:szCs w:val="28"/>
        </w:rPr>
      </w:pPr>
      <w:r w:rsidRPr="00E01822">
        <w:rPr>
          <w:rFonts w:ascii="Times New Roman" w:hAnsi="Times New Roman"/>
          <w:sz w:val="28"/>
          <w:szCs w:val="28"/>
        </w:rPr>
        <w:t>2.1. Проблемы российской нефтегазовой отрасли</w:t>
      </w:r>
      <w:r>
        <w:rPr>
          <w:rFonts w:ascii="Times New Roman" w:hAnsi="Times New Roman"/>
          <w:sz w:val="28"/>
          <w:szCs w:val="28"/>
        </w:rPr>
        <w:t>…………………………….17</w:t>
      </w:r>
    </w:p>
    <w:p w:rsidR="008B63EB" w:rsidRDefault="008B63EB" w:rsidP="002B368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2.2. </w:t>
      </w:r>
      <w:r w:rsidRPr="00A16A5F">
        <w:rPr>
          <w:rFonts w:ascii="Times New Roman" w:hAnsi="Times New Roman"/>
          <w:sz w:val="28"/>
          <w:szCs w:val="28"/>
        </w:rPr>
        <w:t>Перспективы российской нефтегазовой отрасли</w:t>
      </w:r>
      <w:r>
        <w:rPr>
          <w:rFonts w:ascii="Times New Roman" w:hAnsi="Times New Roman"/>
          <w:sz w:val="28"/>
          <w:szCs w:val="28"/>
        </w:rPr>
        <w:t>…………………………22</w:t>
      </w:r>
    </w:p>
    <w:p w:rsidR="008B63EB" w:rsidRDefault="008B63EB" w:rsidP="002B368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2.3. Современное состояние нефтегазового комплекса РФ…………………..29</w:t>
      </w:r>
    </w:p>
    <w:p w:rsidR="008B63EB" w:rsidRDefault="008B63EB" w:rsidP="002B368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ЗАКЛЮЧЕНИЕ………………………………………………………………….32</w:t>
      </w:r>
    </w:p>
    <w:p w:rsidR="008B63EB" w:rsidRDefault="008B63EB" w:rsidP="002B368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СПИСОК ИСПОЛЬЗУЕМОЙ ЛИТЕРАТУРЫ………………………………...34</w:t>
      </w:r>
    </w:p>
    <w:p w:rsidR="008B63EB" w:rsidRDefault="008B63EB" w:rsidP="002B368D">
      <w:pPr>
        <w:jc w:val="both"/>
        <w:rPr>
          <w:rFonts w:ascii="Times New Roman" w:hAnsi="Times New Roman"/>
          <w:sz w:val="28"/>
          <w:szCs w:val="28"/>
        </w:rPr>
      </w:pPr>
    </w:p>
    <w:p w:rsidR="008B63EB" w:rsidRDefault="008B63EB" w:rsidP="00BD2141">
      <w:pPr>
        <w:jc w:val="both"/>
        <w:rPr>
          <w:rFonts w:ascii="Times New Roman" w:hAnsi="Times New Roman"/>
          <w:sz w:val="28"/>
          <w:szCs w:val="28"/>
        </w:rPr>
      </w:pPr>
    </w:p>
    <w:p w:rsidR="008B63EB" w:rsidRDefault="008B63EB" w:rsidP="00BD2141">
      <w:pPr>
        <w:jc w:val="both"/>
        <w:rPr>
          <w:rFonts w:ascii="Times New Roman" w:hAnsi="Times New Roman"/>
          <w:sz w:val="28"/>
          <w:szCs w:val="28"/>
        </w:rPr>
      </w:pPr>
    </w:p>
    <w:p w:rsidR="008B63EB" w:rsidRDefault="008B63E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8B63EB" w:rsidRDefault="008B63EB" w:rsidP="002B368D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Введение</w:t>
      </w:r>
    </w:p>
    <w:p w:rsidR="008B63EB" w:rsidRPr="00F65D8D" w:rsidRDefault="008B63EB" w:rsidP="00F65D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5D8D">
        <w:rPr>
          <w:rFonts w:ascii="Times New Roman" w:hAnsi="Times New Roman"/>
          <w:sz w:val="28"/>
          <w:szCs w:val="28"/>
        </w:rPr>
        <w:t>Развиваясь, человечество начинает использовать все новые виды ресурсов (атомную и геотермальную энергию, солнечную, гидроэнергию приливов и отливов, ветряную и другие источники). Однако главную роль в обеспечении энергией всех отраслей экономики сегодня играют топливные ресурсы.</w:t>
      </w:r>
    </w:p>
    <w:p w:rsidR="008B63EB" w:rsidRPr="00F65D8D" w:rsidRDefault="008B63EB" w:rsidP="00F65D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5D8D">
        <w:rPr>
          <w:rFonts w:ascii="Times New Roman" w:hAnsi="Times New Roman"/>
          <w:sz w:val="28"/>
          <w:szCs w:val="28"/>
        </w:rPr>
        <w:t>Топливно-энергетический комплекс тесно связан со всей промышленностью и экономикой страны. На его развитие расходуется более 20% денежных средств. На ТЭК приходится 30% основных фондов и 30% стоимости промышленной продукции России. Он использует 10% продукции машиностроительного комплекса, 12% продукции металлургии, потребляет 2/3 труб в стране, дает больше половины экспорта РФ и значительное количество сырья для химической промышленности. Его доля в перевозках составляет треть всех грузов по железным дорогам, половину перевозок морского транспорта и всю транспортировку по трубопроводам.</w:t>
      </w:r>
    </w:p>
    <w:p w:rsidR="008B63EB" w:rsidRPr="00F65D8D" w:rsidRDefault="008B63EB" w:rsidP="00F65D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5D8D">
        <w:rPr>
          <w:rFonts w:ascii="Times New Roman" w:hAnsi="Times New Roman"/>
          <w:sz w:val="28"/>
          <w:szCs w:val="28"/>
        </w:rPr>
        <w:t>Таким образом, с топливно-энергетическим комплексом напрямую связано благосостояние всех граждан России.</w:t>
      </w:r>
    </w:p>
    <w:p w:rsidR="008B63EB" w:rsidRPr="00F65D8D" w:rsidRDefault="008B63EB" w:rsidP="00F65D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5D8D">
        <w:rPr>
          <w:rFonts w:ascii="Times New Roman" w:hAnsi="Times New Roman"/>
          <w:sz w:val="28"/>
          <w:szCs w:val="28"/>
        </w:rPr>
        <w:t>Большое значение в экономике страны играет входящий в ТЭК и являющийся его важнейшей частью нефтяной и газовый сектор.</w:t>
      </w:r>
    </w:p>
    <w:p w:rsidR="008B63EB" w:rsidRPr="00F65D8D" w:rsidRDefault="008B63EB" w:rsidP="00F65D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5D8D">
        <w:rPr>
          <w:rFonts w:ascii="Times New Roman" w:hAnsi="Times New Roman"/>
          <w:sz w:val="28"/>
          <w:szCs w:val="28"/>
        </w:rPr>
        <w:t>До перестройки нефть и газ были опорой советского руководства. Дешевые энергоносители обеспечивали оттяжку структурной перестройки энергоемкой промышленности СССР. Эта нефть и этот газ привязывали страны восточного блока. Валютные доходы от экспорта газа и нефти позволяли обеспечивать потребительский рынок импортными товарами.</w:t>
      </w:r>
    </w:p>
    <w:p w:rsidR="008B63EB" w:rsidRPr="00F65D8D" w:rsidRDefault="008B63EB" w:rsidP="00F65D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5D8D">
        <w:rPr>
          <w:rFonts w:ascii="Times New Roman" w:hAnsi="Times New Roman"/>
          <w:sz w:val="28"/>
          <w:szCs w:val="28"/>
        </w:rPr>
        <w:t>С тех пор изменилось многое. Радикально перестраивается внутренняя структура государства. Разворачивается процесс реорганизации российского административного пространства. В то же время нефть и газ по-прежнему остаются важнейшими источниками дохода в валюте для всей страны.</w:t>
      </w:r>
    </w:p>
    <w:p w:rsidR="008B63EB" w:rsidRPr="00F65D8D" w:rsidRDefault="008B63EB" w:rsidP="00F65D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5D8D">
        <w:rPr>
          <w:rFonts w:ascii="Times New Roman" w:hAnsi="Times New Roman"/>
          <w:sz w:val="28"/>
          <w:szCs w:val="28"/>
        </w:rPr>
        <w:t>Нефтегазовый комплекс за годы реформ значительно упрочил свои позиции в экономике страны. НГК возник и окреп, как и другие структурные подразделения в народном хозяйстве страны, еще в рамках СССР и единого народно-хозяйственного комплекса. После его развала нефтегазовый комплекс получил вполне самостоятельное значение. Что касается общего положения нефтегазового комплекса в российской экономике, то отрасль в гораздо меньшей степени затронул спад производства. Более того, за годы реформ сырьевые отрасли выдвинулись на ведущие позиции в народном хозяйстве страны.</w:t>
      </w:r>
    </w:p>
    <w:p w:rsidR="008B63EB" w:rsidRPr="00F65D8D" w:rsidRDefault="008B63EB" w:rsidP="00F65D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5D8D">
        <w:rPr>
          <w:rFonts w:ascii="Times New Roman" w:hAnsi="Times New Roman"/>
          <w:sz w:val="28"/>
          <w:szCs w:val="28"/>
        </w:rPr>
        <w:t>Действительно, отрасли ТЭК дают не менее 50% валютных поступлений в Россию, позволяют поддерживать курс рубля. Высоки доходы в бюджет страны от акцизов на нефть и нефтепродукты.</w:t>
      </w:r>
    </w:p>
    <w:p w:rsidR="008B63EB" w:rsidRPr="00F65D8D" w:rsidRDefault="008B63EB" w:rsidP="00F65D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5D8D">
        <w:rPr>
          <w:rFonts w:ascii="Times New Roman" w:hAnsi="Times New Roman"/>
          <w:sz w:val="28"/>
          <w:szCs w:val="28"/>
        </w:rPr>
        <w:t>Необходимо отметить также, что большинство отраслей перерабатывающей промышленности оказались убыточными вследствие избыточной энергоемкости, в несколько раз превышающей мировые стандарты, сформировавшиеся под влиянием топливно-энергетического кризиса 70х-80х годов. В этой ситуации упадка производства, неплатежей, социальной напряженности и безработицы относительно стабильный и экспортно-ориентированный нефтегазовый комплекс становится поистине жизненно важным элементом в структуре экономики нашей страны, той отраслью, которая способна стать опорой более высокотехнологичных и наукоемких современных производств. Однако до сих пор перерабатывающие отрасли страны находятся в глубоком кризисе.</w:t>
      </w:r>
    </w:p>
    <w:p w:rsidR="008B63EB" w:rsidRPr="00F65D8D" w:rsidRDefault="008B63EB" w:rsidP="00F65D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5D8D">
        <w:rPr>
          <w:rFonts w:ascii="Times New Roman" w:hAnsi="Times New Roman"/>
          <w:sz w:val="28"/>
          <w:szCs w:val="28"/>
        </w:rPr>
        <w:t>Велика роль нефтегазового сектора и в политике. Регулирование поставок нефти в страны ближнего зарубежья является, по сути дела, важным аргументом в диалоге с новыми государствами.</w:t>
      </w:r>
    </w:p>
    <w:p w:rsidR="008B63EB" w:rsidRPr="00F65D8D" w:rsidRDefault="008B63EB" w:rsidP="00F65D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5D8D">
        <w:rPr>
          <w:rFonts w:ascii="Times New Roman" w:hAnsi="Times New Roman"/>
          <w:sz w:val="28"/>
          <w:szCs w:val="28"/>
        </w:rPr>
        <w:t>Таким образом, нефтегазовая отрасль - это богатство России. Энергодобывающая промышленность РФ тесно связана со всеми отраслями народного хозяйства, имеет огромное значение для российской экономики. Спрос на нефть и газ достаточно стабилен, хотя и подвержен кризисам и снижениям цен, что в российских налоговых условиях даже может поставить экспортные операции на грань ликвидности. Поэтому в успешном развитии нашей нефтегазодобывающей промышленности заинтересованы практически все развитые государства мира и в первую очередь мы сами.</w:t>
      </w:r>
    </w:p>
    <w:p w:rsidR="008B63EB" w:rsidRPr="00F65D8D" w:rsidRDefault="008B63EB" w:rsidP="00F65D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5D8D">
        <w:rPr>
          <w:rFonts w:ascii="Times New Roman" w:hAnsi="Times New Roman"/>
          <w:sz w:val="28"/>
          <w:szCs w:val="28"/>
        </w:rPr>
        <w:t xml:space="preserve">Все вышеприведенные факторы обуславливают </w:t>
      </w:r>
      <w:r w:rsidRPr="00537469">
        <w:rPr>
          <w:rFonts w:ascii="Times New Roman" w:hAnsi="Times New Roman"/>
          <w:sz w:val="28"/>
          <w:szCs w:val="28"/>
        </w:rPr>
        <w:t>актуальность</w:t>
      </w:r>
      <w:r w:rsidRPr="00F65D8D">
        <w:rPr>
          <w:rFonts w:ascii="Times New Roman" w:hAnsi="Times New Roman"/>
          <w:sz w:val="28"/>
          <w:szCs w:val="28"/>
        </w:rPr>
        <w:t xml:space="preserve"> и значимость тематики работы на современном этапе, направленной на глубокое и всестороннее изучение современного состояния нефтегазовой промышленности.</w:t>
      </w:r>
    </w:p>
    <w:p w:rsidR="008B63EB" w:rsidRPr="00F65D8D" w:rsidRDefault="008B63EB" w:rsidP="00F65D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7469">
        <w:rPr>
          <w:rFonts w:ascii="Times New Roman" w:hAnsi="Times New Roman"/>
          <w:bCs/>
          <w:sz w:val="28"/>
          <w:szCs w:val="28"/>
        </w:rPr>
        <w:t>Целью</w:t>
      </w:r>
      <w:r w:rsidRPr="00F65D8D">
        <w:rPr>
          <w:rFonts w:ascii="Times New Roman" w:hAnsi="Times New Roman"/>
          <w:sz w:val="28"/>
          <w:szCs w:val="28"/>
        </w:rPr>
        <w:t xml:space="preserve"> данной работы является рассмотрение и изучение современного состояния нефтегазовой промышленности.</w:t>
      </w:r>
    </w:p>
    <w:p w:rsidR="008B63EB" w:rsidRPr="00F65D8D" w:rsidRDefault="008B63EB" w:rsidP="00F65D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5D8D">
        <w:rPr>
          <w:rFonts w:ascii="Times New Roman" w:hAnsi="Times New Roman"/>
          <w:sz w:val="28"/>
          <w:szCs w:val="28"/>
        </w:rPr>
        <w:t xml:space="preserve">В соответствии с поставленной целью в работе предполагается решить следующие </w:t>
      </w:r>
      <w:r w:rsidRPr="0075103F">
        <w:rPr>
          <w:rFonts w:ascii="Times New Roman" w:hAnsi="Times New Roman"/>
          <w:sz w:val="28"/>
          <w:szCs w:val="28"/>
        </w:rPr>
        <w:t>задачи:</w:t>
      </w:r>
    </w:p>
    <w:p w:rsidR="008B63EB" w:rsidRPr="00F65D8D" w:rsidRDefault="008B63EB" w:rsidP="00F65D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5D8D">
        <w:rPr>
          <w:rFonts w:ascii="Times New Roman" w:hAnsi="Times New Roman"/>
          <w:sz w:val="28"/>
          <w:szCs w:val="28"/>
        </w:rPr>
        <w:t>- рассмотреть современное состояние нефти и газовой промышленности;</w:t>
      </w:r>
    </w:p>
    <w:p w:rsidR="008B63EB" w:rsidRPr="00F65D8D" w:rsidRDefault="008B63EB" w:rsidP="00F65D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5D8D">
        <w:rPr>
          <w:rFonts w:ascii="Times New Roman" w:hAnsi="Times New Roman"/>
          <w:sz w:val="28"/>
          <w:szCs w:val="28"/>
        </w:rPr>
        <w:t>- изучить нефтяную отрасль России;</w:t>
      </w:r>
    </w:p>
    <w:p w:rsidR="008B63EB" w:rsidRPr="00F65D8D" w:rsidRDefault="008B63EB" w:rsidP="00F65D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5D8D">
        <w:rPr>
          <w:rFonts w:ascii="Times New Roman" w:hAnsi="Times New Roman"/>
          <w:sz w:val="28"/>
          <w:szCs w:val="28"/>
        </w:rPr>
        <w:t>- охарактеризовать газовую отрасль России;</w:t>
      </w:r>
    </w:p>
    <w:p w:rsidR="008B63EB" w:rsidRPr="00F65D8D" w:rsidRDefault="008B63EB" w:rsidP="00F65D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5D8D">
        <w:rPr>
          <w:rFonts w:ascii="Times New Roman" w:hAnsi="Times New Roman"/>
          <w:sz w:val="28"/>
          <w:szCs w:val="28"/>
        </w:rPr>
        <w:t>- проанализировать проблемы и перспективы развития нефтегазового комплекса России.</w:t>
      </w:r>
    </w:p>
    <w:p w:rsidR="008B63EB" w:rsidRPr="00F65D8D" w:rsidRDefault="008B63EB" w:rsidP="00F65D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5D8D">
        <w:rPr>
          <w:rFonts w:ascii="Times New Roman" w:hAnsi="Times New Roman"/>
          <w:sz w:val="28"/>
          <w:szCs w:val="28"/>
        </w:rPr>
        <w:t>Предмет исследования – современное состояние нефтегазовой промышленности. Объект исследования – нефтяная и газовая отрасль промышленности.</w:t>
      </w:r>
    </w:p>
    <w:p w:rsidR="008B63EB" w:rsidRDefault="008B63EB">
      <w:pPr>
        <w:rPr>
          <w:rFonts w:ascii="Times New Roman" w:hAnsi="Times New Roman"/>
          <w:sz w:val="28"/>
          <w:szCs w:val="28"/>
        </w:rPr>
      </w:pPr>
    </w:p>
    <w:p w:rsidR="008B63EB" w:rsidRDefault="008B63EB" w:rsidP="002B368D">
      <w:pPr>
        <w:jc w:val="center"/>
        <w:rPr>
          <w:rFonts w:ascii="Times New Roman" w:hAnsi="Times New Roman"/>
          <w:sz w:val="28"/>
          <w:szCs w:val="28"/>
        </w:rPr>
      </w:pPr>
    </w:p>
    <w:p w:rsidR="008B63EB" w:rsidRDefault="008B63EB" w:rsidP="002B368D">
      <w:pPr>
        <w:jc w:val="center"/>
        <w:rPr>
          <w:rFonts w:ascii="Times New Roman" w:hAnsi="Times New Roman"/>
          <w:sz w:val="28"/>
          <w:szCs w:val="28"/>
        </w:rPr>
      </w:pPr>
    </w:p>
    <w:p w:rsidR="008B63EB" w:rsidRDefault="008B63EB" w:rsidP="002B368D">
      <w:pPr>
        <w:jc w:val="center"/>
        <w:rPr>
          <w:rFonts w:ascii="Times New Roman" w:hAnsi="Times New Roman"/>
          <w:sz w:val="28"/>
          <w:szCs w:val="28"/>
        </w:rPr>
      </w:pPr>
    </w:p>
    <w:p w:rsidR="008B63EB" w:rsidRDefault="008B63EB" w:rsidP="002B368D">
      <w:pPr>
        <w:jc w:val="center"/>
        <w:rPr>
          <w:rFonts w:ascii="Times New Roman" w:hAnsi="Times New Roman"/>
          <w:sz w:val="28"/>
          <w:szCs w:val="28"/>
        </w:rPr>
      </w:pPr>
    </w:p>
    <w:p w:rsidR="008B63EB" w:rsidRDefault="008B63EB" w:rsidP="002B368D">
      <w:pPr>
        <w:jc w:val="center"/>
        <w:rPr>
          <w:rFonts w:ascii="Times New Roman" w:hAnsi="Times New Roman"/>
          <w:sz w:val="28"/>
          <w:szCs w:val="28"/>
        </w:rPr>
      </w:pPr>
    </w:p>
    <w:p w:rsidR="008B63EB" w:rsidRDefault="008B63EB" w:rsidP="002B368D">
      <w:pPr>
        <w:jc w:val="center"/>
        <w:rPr>
          <w:rFonts w:ascii="Times New Roman" w:hAnsi="Times New Roman"/>
          <w:sz w:val="28"/>
          <w:szCs w:val="28"/>
        </w:rPr>
      </w:pPr>
    </w:p>
    <w:p w:rsidR="008B63EB" w:rsidRDefault="008B63EB" w:rsidP="002B368D">
      <w:pPr>
        <w:jc w:val="center"/>
        <w:rPr>
          <w:rFonts w:ascii="Times New Roman" w:hAnsi="Times New Roman"/>
          <w:sz w:val="28"/>
          <w:szCs w:val="28"/>
        </w:rPr>
      </w:pPr>
    </w:p>
    <w:p w:rsidR="008B63EB" w:rsidRDefault="008B63EB" w:rsidP="002B368D">
      <w:pPr>
        <w:jc w:val="center"/>
        <w:rPr>
          <w:rFonts w:ascii="Times New Roman" w:hAnsi="Times New Roman"/>
          <w:sz w:val="28"/>
          <w:szCs w:val="28"/>
        </w:rPr>
      </w:pPr>
    </w:p>
    <w:p w:rsidR="008B63EB" w:rsidRDefault="008B63EB" w:rsidP="002B368D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1. Состав и структура нефтегазового комплекса</w:t>
      </w:r>
    </w:p>
    <w:p w:rsidR="008B63EB" w:rsidRDefault="008B63EB" w:rsidP="002B368D">
      <w:pPr>
        <w:pStyle w:val="11"/>
        <w:numPr>
          <w:ilvl w:val="1"/>
          <w:numId w:val="7"/>
        </w:numPr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Нефтяная промышленность</w:t>
      </w:r>
    </w:p>
    <w:p w:rsidR="008B63EB" w:rsidRPr="005A5914" w:rsidRDefault="008B63EB" w:rsidP="005A5914">
      <w:pPr>
        <w:pStyle w:val="11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A5914">
        <w:rPr>
          <w:rFonts w:ascii="Times New Roman" w:hAnsi="Times New Roman"/>
          <w:sz w:val="28"/>
          <w:szCs w:val="28"/>
        </w:rPr>
        <w:t>Нефтяная промышленность— отрасль экономики, занимающаяся добычей, переработкой, транспортировкой, складированием и продажей природного полезного ископаемого — нефти и сопутствующих нефтепродуктов. К смежным отраслям промышленности относят геофизику, бурение, производство нефтегазового оборудования. Основу нефтяной промышленности составляют вертикально-интегрированные нефтяные компании.</w:t>
      </w:r>
    </w:p>
    <w:p w:rsidR="008B63EB" w:rsidRPr="005A5914" w:rsidRDefault="008B63EB" w:rsidP="005A5914">
      <w:pPr>
        <w:pStyle w:val="11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A5914">
        <w:rPr>
          <w:rFonts w:ascii="Times New Roman" w:hAnsi="Times New Roman"/>
          <w:sz w:val="28"/>
          <w:szCs w:val="28"/>
        </w:rPr>
        <w:t>Нефтедобыча — сложный производственный процесс, включающий в себя геологоразведку, бурение скважин и их ремонт, очистку добытой нефти от воды, серы, парафина и многое другое. Нефтедобычей занимается нефтегазодобывающее управление — предприятие (или структурное подразделение предприятия) занимающееся добычей и перекачкой «сырой» нефти и газа до узла коммерческого учёта. В инфраструктуру НГДУ обычно входят ДНС (дожимные насосные станции), КНС (кустовые насосные станции), УПСВ (узел предварительного сброса воды), внутрипромысловые трубопроводы (Нефтепроводы)</w:t>
      </w:r>
    </w:p>
    <w:p w:rsidR="008B63EB" w:rsidRPr="005A5914" w:rsidRDefault="008B63EB" w:rsidP="005A5914">
      <w:pPr>
        <w:pStyle w:val="11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A5914">
        <w:rPr>
          <w:rFonts w:ascii="Times New Roman" w:hAnsi="Times New Roman"/>
          <w:sz w:val="28"/>
          <w:szCs w:val="28"/>
        </w:rPr>
        <w:t>Нефтепроводы это инженерно-технические сооружения трубопроводного транспорта, предназначенное для транспорта нефти. Различают магистральные и промысловые нефтепроводы. Сооружение и обслуживание трубопровода весьма дорогостояще, но тем не менее — это наиболее дешёвый способ транспортировки газа и нефти. Для транспортировки нефти по водным путям используются танкеры и супертанкеры (сверхкрупные океанский танкеры, водоизмещением от 320 000 метрических тонн (см. дедвейт) которые используется для перевозки сырой нефти из порта загрузки в место перегрузки или непосредственно на нефтеперерабатывающий завод).</w:t>
      </w:r>
    </w:p>
    <w:p w:rsidR="008B63EB" w:rsidRPr="005A5914" w:rsidRDefault="008B63EB" w:rsidP="005A5914">
      <w:pPr>
        <w:pStyle w:val="11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A5914">
        <w:rPr>
          <w:rFonts w:ascii="Times New Roman" w:hAnsi="Times New Roman"/>
          <w:sz w:val="28"/>
          <w:szCs w:val="28"/>
        </w:rPr>
        <w:t>Цель переработки нефти (нефтепереработки) это производство нефтепродуктов, прежде всего, различных топлив (автомобильных, авиационных, котельных и т. д.) и сырья для последующей химической переработки. Бензин, керосин, дизельное топливо и технические масла подразделяются на различные марки в зависимости от химического состава. Завершающей стадией производства НПЗ является смешение полученных компонентов для получения готовой продукции требуемого состава. Между этими этапами добычи и переработки нефтепродукты складируются в резервуарах-нефтехранилищах. В нефтяной промышленности, применяются стальные резервуары Шухова. Для контроля содержимого резервуара используются пробоотборники. Периодически, в периоды снижения спроса на международные перевозки нефти, супертанкеры используются как гигантские плавучие хранилища нефти.</w:t>
      </w:r>
    </w:p>
    <w:p w:rsidR="008B63EB" w:rsidRPr="005A5914" w:rsidRDefault="008B63EB" w:rsidP="005A5914">
      <w:pPr>
        <w:pStyle w:val="11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val="en-US"/>
        </w:rPr>
      </w:pPr>
      <w:r w:rsidRPr="005A5914">
        <w:rPr>
          <w:rFonts w:ascii="Times New Roman" w:hAnsi="Times New Roman"/>
          <w:sz w:val="28"/>
          <w:szCs w:val="28"/>
        </w:rPr>
        <w:t>Основные продукты нефтепереработки</w:t>
      </w:r>
      <w:r w:rsidRPr="005A5914">
        <w:rPr>
          <w:rFonts w:ascii="Times New Roman" w:hAnsi="Times New Roman"/>
          <w:sz w:val="28"/>
          <w:szCs w:val="28"/>
          <w:lang w:val="en-US"/>
        </w:rPr>
        <w:t>:</w:t>
      </w:r>
    </w:p>
    <w:p w:rsidR="008B63EB" w:rsidRPr="005A5914" w:rsidRDefault="008B63EB" w:rsidP="005A5914">
      <w:pPr>
        <w:pStyle w:val="11"/>
        <w:numPr>
          <w:ilvl w:val="0"/>
          <w:numId w:val="8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val="en-US"/>
        </w:rPr>
      </w:pPr>
      <w:r w:rsidRPr="005A5914">
        <w:rPr>
          <w:rFonts w:ascii="Times New Roman" w:hAnsi="Times New Roman"/>
          <w:sz w:val="28"/>
          <w:szCs w:val="28"/>
          <w:lang w:val="en-US"/>
        </w:rPr>
        <w:t>Нефтехимикаты (Пластмассы)</w:t>
      </w:r>
    </w:p>
    <w:p w:rsidR="008B63EB" w:rsidRPr="005A5914" w:rsidRDefault="008B63EB" w:rsidP="005A5914">
      <w:pPr>
        <w:pStyle w:val="11"/>
        <w:numPr>
          <w:ilvl w:val="0"/>
          <w:numId w:val="8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val="en-US"/>
        </w:rPr>
      </w:pPr>
      <w:r w:rsidRPr="005A5914">
        <w:rPr>
          <w:rFonts w:ascii="Times New Roman" w:hAnsi="Times New Roman"/>
          <w:sz w:val="28"/>
          <w:szCs w:val="28"/>
          <w:lang w:val="en-US"/>
        </w:rPr>
        <w:t>Асфальт</w:t>
      </w:r>
    </w:p>
    <w:p w:rsidR="008B63EB" w:rsidRPr="005A5914" w:rsidRDefault="008B63EB" w:rsidP="005A5914">
      <w:pPr>
        <w:pStyle w:val="11"/>
        <w:numPr>
          <w:ilvl w:val="0"/>
          <w:numId w:val="8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val="en-US"/>
        </w:rPr>
      </w:pPr>
      <w:r w:rsidRPr="005A5914">
        <w:rPr>
          <w:rFonts w:ascii="Times New Roman" w:hAnsi="Times New Roman"/>
          <w:sz w:val="28"/>
          <w:szCs w:val="28"/>
          <w:lang w:val="en-US"/>
        </w:rPr>
        <w:t>Дизельное топливо</w:t>
      </w:r>
    </w:p>
    <w:p w:rsidR="008B63EB" w:rsidRPr="005A5914" w:rsidRDefault="008B63EB" w:rsidP="005A5914">
      <w:pPr>
        <w:pStyle w:val="11"/>
        <w:numPr>
          <w:ilvl w:val="0"/>
          <w:numId w:val="8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val="en-US"/>
        </w:rPr>
      </w:pPr>
      <w:r w:rsidRPr="005A5914">
        <w:rPr>
          <w:rFonts w:ascii="Times New Roman" w:hAnsi="Times New Roman"/>
          <w:sz w:val="28"/>
          <w:szCs w:val="28"/>
          <w:lang w:val="en-US"/>
        </w:rPr>
        <w:t>Мазут</w:t>
      </w:r>
    </w:p>
    <w:p w:rsidR="008B63EB" w:rsidRPr="005A5914" w:rsidRDefault="008B63EB" w:rsidP="005A5914">
      <w:pPr>
        <w:pStyle w:val="11"/>
        <w:numPr>
          <w:ilvl w:val="0"/>
          <w:numId w:val="8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val="en-US"/>
        </w:rPr>
      </w:pPr>
      <w:r w:rsidRPr="005A5914">
        <w:rPr>
          <w:rFonts w:ascii="Times New Roman" w:hAnsi="Times New Roman"/>
          <w:sz w:val="28"/>
          <w:szCs w:val="28"/>
          <w:lang w:val="en-US"/>
        </w:rPr>
        <w:t>Бензин</w:t>
      </w:r>
    </w:p>
    <w:p w:rsidR="008B63EB" w:rsidRPr="005A5914" w:rsidRDefault="008B63EB" w:rsidP="005A5914">
      <w:pPr>
        <w:pStyle w:val="11"/>
        <w:numPr>
          <w:ilvl w:val="0"/>
          <w:numId w:val="8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val="en-US"/>
        </w:rPr>
      </w:pPr>
      <w:r w:rsidRPr="005A5914">
        <w:rPr>
          <w:rFonts w:ascii="Times New Roman" w:hAnsi="Times New Roman"/>
          <w:sz w:val="28"/>
          <w:szCs w:val="28"/>
          <w:lang w:val="en-US"/>
        </w:rPr>
        <w:t>Керосин</w:t>
      </w:r>
    </w:p>
    <w:p w:rsidR="008B63EB" w:rsidRPr="005A5914" w:rsidRDefault="008B63EB" w:rsidP="005A5914">
      <w:pPr>
        <w:pStyle w:val="11"/>
        <w:numPr>
          <w:ilvl w:val="0"/>
          <w:numId w:val="8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val="en-US"/>
        </w:rPr>
      </w:pPr>
      <w:r w:rsidRPr="005A5914">
        <w:rPr>
          <w:rFonts w:ascii="Times New Roman" w:hAnsi="Times New Roman"/>
          <w:sz w:val="28"/>
          <w:szCs w:val="28"/>
          <w:lang w:val="en-US"/>
        </w:rPr>
        <w:t>Сжиженный нефтяной газ (СНГ)</w:t>
      </w:r>
    </w:p>
    <w:p w:rsidR="008B63EB" w:rsidRPr="005A5914" w:rsidRDefault="008B63EB" w:rsidP="005A5914">
      <w:pPr>
        <w:pStyle w:val="11"/>
        <w:numPr>
          <w:ilvl w:val="0"/>
          <w:numId w:val="8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val="en-US"/>
        </w:rPr>
      </w:pPr>
      <w:r w:rsidRPr="005A5914">
        <w:rPr>
          <w:rFonts w:ascii="Times New Roman" w:hAnsi="Times New Roman"/>
          <w:sz w:val="28"/>
          <w:szCs w:val="28"/>
          <w:lang w:val="en-US"/>
        </w:rPr>
        <w:t>Нефтяные масла</w:t>
      </w:r>
    </w:p>
    <w:p w:rsidR="008B63EB" w:rsidRPr="005A5914" w:rsidRDefault="008B63EB" w:rsidP="005A5914">
      <w:pPr>
        <w:pStyle w:val="11"/>
        <w:numPr>
          <w:ilvl w:val="0"/>
          <w:numId w:val="8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val="en-US"/>
        </w:rPr>
      </w:pPr>
      <w:r w:rsidRPr="005A5914">
        <w:rPr>
          <w:rFonts w:ascii="Times New Roman" w:hAnsi="Times New Roman"/>
          <w:sz w:val="28"/>
          <w:szCs w:val="28"/>
          <w:lang w:val="en-US"/>
        </w:rPr>
        <w:t>Смазочные материалы</w:t>
      </w:r>
    </w:p>
    <w:p w:rsidR="008B63EB" w:rsidRPr="005A5914" w:rsidRDefault="008B63EB" w:rsidP="005A5914">
      <w:pPr>
        <w:pStyle w:val="11"/>
        <w:numPr>
          <w:ilvl w:val="0"/>
          <w:numId w:val="8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val="en-US"/>
        </w:rPr>
      </w:pPr>
      <w:r w:rsidRPr="005A5914">
        <w:rPr>
          <w:rFonts w:ascii="Times New Roman" w:hAnsi="Times New Roman"/>
          <w:sz w:val="28"/>
          <w:szCs w:val="28"/>
          <w:lang w:val="en-US"/>
        </w:rPr>
        <w:t>Парафин</w:t>
      </w:r>
    </w:p>
    <w:p w:rsidR="008B63EB" w:rsidRPr="005A5914" w:rsidRDefault="008B63EB" w:rsidP="005A5914">
      <w:pPr>
        <w:pStyle w:val="11"/>
        <w:numPr>
          <w:ilvl w:val="0"/>
          <w:numId w:val="8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val="en-US"/>
        </w:rPr>
      </w:pPr>
      <w:r w:rsidRPr="005A5914">
        <w:rPr>
          <w:rFonts w:ascii="Times New Roman" w:hAnsi="Times New Roman"/>
          <w:sz w:val="28"/>
          <w:szCs w:val="28"/>
          <w:lang w:val="en-US"/>
        </w:rPr>
        <w:t>Дёготь</w:t>
      </w:r>
    </w:p>
    <w:p w:rsidR="008B63EB" w:rsidRPr="005A5914" w:rsidRDefault="008B63EB" w:rsidP="005A591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A5914">
        <w:rPr>
          <w:rFonts w:ascii="Times New Roman" w:hAnsi="Times New Roman"/>
          <w:sz w:val="28"/>
          <w:szCs w:val="28"/>
        </w:rPr>
        <w:t>Быстрый рост добычи нефти во второй половине ХХ века по сравнению с углем был обусловлен рядом ее физических и технологических преимуществ:</w:t>
      </w:r>
    </w:p>
    <w:p w:rsidR="008B63EB" w:rsidRPr="005A5914" w:rsidRDefault="008B63EB" w:rsidP="005A5914">
      <w:pPr>
        <w:pStyle w:val="11"/>
        <w:numPr>
          <w:ilvl w:val="0"/>
          <w:numId w:val="8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A5914">
        <w:rPr>
          <w:rFonts w:ascii="Times New Roman" w:hAnsi="Times New Roman"/>
          <w:sz w:val="28"/>
          <w:szCs w:val="28"/>
        </w:rPr>
        <w:t>в 1-2 раза более высокая теплотворность;</w:t>
      </w:r>
    </w:p>
    <w:p w:rsidR="008B63EB" w:rsidRPr="005A5914" w:rsidRDefault="008B63EB" w:rsidP="005A5914">
      <w:pPr>
        <w:pStyle w:val="11"/>
        <w:numPr>
          <w:ilvl w:val="0"/>
          <w:numId w:val="8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A5914">
        <w:rPr>
          <w:rFonts w:ascii="Times New Roman" w:hAnsi="Times New Roman"/>
          <w:sz w:val="28"/>
          <w:szCs w:val="28"/>
        </w:rPr>
        <w:t>большая скорость сгорания;</w:t>
      </w:r>
    </w:p>
    <w:p w:rsidR="008B63EB" w:rsidRPr="005A5914" w:rsidRDefault="008B63EB" w:rsidP="005A5914">
      <w:pPr>
        <w:pStyle w:val="11"/>
        <w:numPr>
          <w:ilvl w:val="0"/>
          <w:numId w:val="8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A5914">
        <w:rPr>
          <w:rFonts w:ascii="Times New Roman" w:hAnsi="Times New Roman"/>
          <w:sz w:val="28"/>
          <w:szCs w:val="28"/>
        </w:rPr>
        <w:t>относительная несложность переработки и извлечения из нее широкого круга углеводородов</w:t>
      </w:r>
    </w:p>
    <w:p w:rsidR="008B63EB" w:rsidRPr="005A5914" w:rsidRDefault="008B63EB" w:rsidP="005A5914">
      <w:pPr>
        <w:pStyle w:val="11"/>
        <w:numPr>
          <w:ilvl w:val="0"/>
          <w:numId w:val="8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A5914">
        <w:rPr>
          <w:rFonts w:ascii="Times New Roman" w:hAnsi="Times New Roman"/>
          <w:sz w:val="28"/>
          <w:szCs w:val="28"/>
        </w:rPr>
        <w:t>использование нефти экологически безопаснее, чем угля;</w:t>
      </w:r>
    </w:p>
    <w:p w:rsidR="008B63EB" w:rsidRPr="005A5914" w:rsidRDefault="008B63EB" w:rsidP="005A5914">
      <w:pPr>
        <w:pStyle w:val="11"/>
        <w:numPr>
          <w:ilvl w:val="0"/>
          <w:numId w:val="8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A5914">
        <w:rPr>
          <w:rFonts w:ascii="Times New Roman" w:hAnsi="Times New Roman"/>
          <w:sz w:val="28"/>
          <w:szCs w:val="28"/>
        </w:rPr>
        <w:t>многим нефтепродуктам присущи те же или еще большие преимущества, что и у нефти;</w:t>
      </w:r>
    </w:p>
    <w:p w:rsidR="008B63EB" w:rsidRPr="005A5914" w:rsidRDefault="008B63EB" w:rsidP="005A5914">
      <w:pPr>
        <w:pStyle w:val="11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A5914">
        <w:rPr>
          <w:rFonts w:ascii="Times New Roman" w:hAnsi="Times New Roman"/>
          <w:sz w:val="28"/>
          <w:szCs w:val="28"/>
        </w:rPr>
        <w:t>Росту добычи нефти способствовали также экономические и географические условия:</w:t>
      </w:r>
    </w:p>
    <w:p w:rsidR="008B63EB" w:rsidRPr="005A5914" w:rsidRDefault="008B63EB" w:rsidP="005A591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A5914">
        <w:rPr>
          <w:rFonts w:ascii="Times New Roman" w:hAnsi="Times New Roman"/>
          <w:sz w:val="28"/>
          <w:szCs w:val="28"/>
        </w:rPr>
        <w:t>- низкие капиталовложения и себестоимость добычи по сравнению с углем;</w:t>
      </w:r>
    </w:p>
    <w:p w:rsidR="008B63EB" w:rsidRPr="005A5914" w:rsidRDefault="008B63EB" w:rsidP="005A591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A5914">
        <w:rPr>
          <w:rFonts w:ascii="Times New Roman" w:hAnsi="Times New Roman"/>
          <w:sz w:val="28"/>
          <w:szCs w:val="28"/>
        </w:rPr>
        <w:t>- концентрация крупнейших недровых запасов в странах (особенно Ближнего и Среднего Востока) с низким уровнем налогов, легкостью в прошлом получения концессий по низким ценам, дешевая рабочая сила;</w:t>
      </w:r>
    </w:p>
    <w:p w:rsidR="008B63EB" w:rsidRPr="005A5914" w:rsidRDefault="008B63EB" w:rsidP="005A591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A5914">
        <w:rPr>
          <w:rFonts w:ascii="Times New Roman" w:hAnsi="Times New Roman"/>
          <w:sz w:val="28"/>
          <w:szCs w:val="28"/>
        </w:rPr>
        <w:t>- благоприятные геологические условия - небольшая, как правило, глубина скважин;</w:t>
      </w:r>
    </w:p>
    <w:p w:rsidR="008B63EB" w:rsidRPr="005A5914" w:rsidRDefault="008B63EB" w:rsidP="005A591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A5914">
        <w:rPr>
          <w:rFonts w:ascii="Times New Roman" w:hAnsi="Times New Roman"/>
          <w:sz w:val="28"/>
          <w:szCs w:val="28"/>
        </w:rPr>
        <w:t>- мягкие экологические законы или их полное отсутствие;</w:t>
      </w:r>
    </w:p>
    <w:p w:rsidR="008B63EB" w:rsidRPr="005A5914" w:rsidRDefault="008B63EB" w:rsidP="005A591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A5914">
        <w:rPr>
          <w:rFonts w:ascii="Times New Roman" w:hAnsi="Times New Roman"/>
          <w:sz w:val="28"/>
          <w:szCs w:val="28"/>
        </w:rPr>
        <w:t>- рост морской добычи нефти (в середине 90 гг. - 30%) по-разному влияет на природную среду побережья и мероприятия по ее защите в тех или других странах;</w:t>
      </w:r>
    </w:p>
    <w:p w:rsidR="008B63EB" w:rsidRPr="005A5914" w:rsidRDefault="008B63EB" w:rsidP="005A591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A5914">
        <w:rPr>
          <w:rFonts w:ascii="Times New Roman" w:hAnsi="Times New Roman"/>
          <w:sz w:val="28"/>
          <w:szCs w:val="28"/>
        </w:rPr>
        <w:t>- текучесть нефти, что облегчает ее добычу, транспортировку, погрузку, эффективное использование тары для ее перевозки и хранения.</w:t>
      </w:r>
    </w:p>
    <w:p w:rsidR="008B63EB" w:rsidRPr="005A5914" w:rsidRDefault="008B63EB" w:rsidP="005A591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A5914">
        <w:rPr>
          <w:rFonts w:ascii="Times New Roman" w:hAnsi="Times New Roman"/>
          <w:sz w:val="28"/>
          <w:szCs w:val="28"/>
        </w:rPr>
        <w:t>Технико-экономические преимущества нефти и получаемых на ее базе продуктов обусловили особую роль нефтяной и нефтеперерабатывающей промышленности в мировом хозяйстве. На разных этапах развития в сферу этой отрасли были вовлечены также черная металлургия (трубопрокатное производство), особенно широко машиностроение (оборудование для добычи, транспортировки, переработке нефти), использование ее в различных отраслях транспорта, в химической переработке и т.д. произошла перестройка всего энергетического хозяйства, как на стационарных установках (электростанции), так и нестационарных (двигатели на всех видах транспорта). Нефтепродукты стали использоваться не только в сферах материального производства, но и в массовом количестве в бытовом потреблении:большая часть полумиллиардного мирового парка автомашин - это личные транспортные средства населения, ежедневно потребляющие подавляющую часть нефтепродуктов.</w:t>
      </w:r>
    </w:p>
    <w:p w:rsidR="008B63EB" w:rsidRPr="005A5914" w:rsidRDefault="008B63EB" w:rsidP="005A591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A5914">
        <w:rPr>
          <w:rFonts w:ascii="Times New Roman" w:hAnsi="Times New Roman"/>
          <w:sz w:val="28"/>
          <w:szCs w:val="28"/>
        </w:rPr>
        <w:t>Нефть и нефтепродукты были и остаются важнейшими видами стратегических ресурсов. Вооруженные силы всех государств по сравнению со временем до</w:t>
      </w:r>
      <w:r>
        <w:rPr>
          <w:rFonts w:ascii="Times New Roman" w:hAnsi="Times New Roman"/>
          <w:sz w:val="28"/>
          <w:szCs w:val="28"/>
        </w:rPr>
        <w:t xml:space="preserve"> в</w:t>
      </w:r>
      <w:r w:rsidRPr="005A5914">
        <w:rPr>
          <w:rFonts w:ascii="Times New Roman" w:hAnsi="Times New Roman"/>
          <w:sz w:val="28"/>
          <w:szCs w:val="28"/>
        </w:rPr>
        <w:t>торой мировой войны многократно увеличили свою моторизацию. Внедрение последних поколений боевой авиации сильно увеличило расходы топлива, ибо мощности двигателей и соответственно потребление топлива стали на порядок выше. То же самое имеет место в наземных видах вооружений с использованием двигателей внутреннего сгорания. Нефтепродукты также стали видом боевых средств.</w:t>
      </w:r>
    </w:p>
    <w:p w:rsidR="008B63EB" w:rsidRPr="005A5914" w:rsidRDefault="008B63EB" w:rsidP="005A591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A5914">
        <w:rPr>
          <w:rFonts w:ascii="Times New Roman" w:hAnsi="Times New Roman"/>
          <w:sz w:val="28"/>
          <w:szCs w:val="28"/>
        </w:rPr>
        <w:t>Развитие нефтяной, нефтеперерабатывающей и обслуживающих их отраслей промышленности и транспорта определили в ХХ веке целую эпоху, в которой пересеклись экономические, политические, национальные и религиозные интересы многих стран мира. Противоречия разных государств решались дипломатическими и военными путями. Борьба за источники нефти лежит в основе государственной политики промышленных государств мира. В настоящее время такую "нефтяную политику" и дипломатию особенно агрессивно проводят США.</w:t>
      </w:r>
    </w:p>
    <w:p w:rsidR="008B63EB" w:rsidRPr="005A5914" w:rsidRDefault="008B63EB" w:rsidP="005A591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A5914">
        <w:rPr>
          <w:rFonts w:ascii="Times New Roman" w:hAnsi="Times New Roman"/>
          <w:sz w:val="28"/>
          <w:szCs w:val="28"/>
        </w:rPr>
        <w:t>Нефтяная промышленность - одна из самых монополизированных горнодобывающих отраслей. В большинстве стран мира, кроме тех, где она находится в ведении государственных компаний, отрасль полностью контролируется крупнейшими ТНК, штаб-квартиры которых находятся в США ("Эксон", "Мобил ойл", "Тексако", "Шеврон"), а также в Западной Европе (ТНК Великобритании "Бритиш петролеум" и совместная Великобритании и Нидерландов "Роял Датч-Шелл"). Постепенно с 80-х гг. они начали терять свои некогда ведущие позиции среди крупнейших промышленных ТНК мира.</w:t>
      </w:r>
    </w:p>
    <w:p w:rsidR="008B63EB" w:rsidRPr="005A5914" w:rsidRDefault="008B63EB" w:rsidP="005A591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A5914">
        <w:rPr>
          <w:rFonts w:ascii="Times New Roman" w:hAnsi="Times New Roman"/>
          <w:sz w:val="28"/>
          <w:szCs w:val="28"/>
        </w:rPr>
        <w:t>Это было обусловлено созданием в 60-ые гг. странами-экспортерами нефти организации ОПЕК, куда вошли Венесуэла, Иран, Ирак, Саудовская Аравия, а позднее Алжир, Габон, Индонезия, Катар, Ливия, Нигерия, ОАЭ, Эквадор (в 1990 году Эквадор вышел из ОПЕК), то есть главные страны - продуценты нефти. Борьба стран - членов ОПЕК за право распоряжаться нефтью на своей территории привела к резкому повышению цен на нее в 70-е и 80-е гг. и последовавшими за этим энергетическими кризисами. Национализация в странах ОПЕК нефтяной промышленности и создание государственных компаний поставили под их контроль более 4/5 запасов нефти, до 1/2 добычи и около 1/5 мощностей нефтеперерабатывающих заводов (НПЗ). Однако ТНК продолжают влиять на деятельность ОПЕК в сфере технологии, оборудования и оказывать давление в области цен (резкое падение цен в 1998 г. сильно ударило по доходам всех стран - продуцентов нефти).</w:t>
      </w:r>
    </w:p>
    <w:p w:rsidR="008B63EB" w:rsidRPr="005A5914" w:rsidRDefault="008B63EB" w:rsidP="005A591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A5914">
        <w:rPr>
          <w:rFonts w:ascii="Times New Roman" w:hAnsi="Times New Roman"/>
          <w:sz w:val="28"/>
          <w:szCs w:val="28"/>
        </w:rPr>
        <w:t>Достоверные запасы нефти в мире на начало 1998 года оценивались в 139,7 млрд. т, среди которых значительная часть (от 1/4 до 2/5) расположена в акваториях морей. Основная часть нефти залегает в странах Ближнего и Среднего Востока - более 2/3. На втором месте Центральная и Южная Америка - 1/8, восточная Европа - !/15, Африка - 1/15, в остальной Азии - 1/20. В крупнейшем потребителе нефти - Северной Америке - 1/30, а в Западной Европе - 1/60 мировых запасов. Такое распределение ресурсов нефти предопределяет все экономические и экономические, межгосударственные и межрегиональные отношения. Связанные с ее добычей, транспортировкой и потреблением.</w:t>
      </w:r>
    </w:p>
    <w:p w:rsidR="008B63EB" w:rsidRPr="005A5914" w:rsidRDefault="008B63EB" w:rsidP="005A591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A5914">
        <w:rPr>
          <w:rFonts w:ascii="Times New Roman" w:hAnsi="Times New Roman"/>
          <w:sz w:val="28"/>
          <w:szCs w:val="28"/>
        </w:rPr>
        <w:t>В географии мировой нефтяной промышленности за 1950-1995 гг. произошли большие изменения. До Второй мировой войны 4/5 добычи нефти приходилось на Северную и Южную Америку. Но уже после войны с открытием крупных месторождений нефти на Ближнем и Среднем Востоке а также в СССР доля Америки быстро снижается.</w:t>
      </w:r>
    </w:p>
    <w:p w:rsidR="008B63EB" w:rsidRPr="005A5914" w:rsidRDefault="008B63EB" w:rsidP="005A591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A5914">
        <w:rPr>
          <w:rFonts w:ascii="Times New Roman" w:hAnsi="Times New Roman"/>
          <w:sz w:val="28"/>
          <w:szCs w:val="28"/>
        </w:rPr>
        <w:t>Важнейшие результаты региональных сдвигов в размещении добычи нефти:</w:t>
      </w:r>
    </w:p>
    <w:p w:rsidR="008B63EB" w:rsidRPr="005A5914" w:rsidRDefault="008B63EB" w:rsidP="005A591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A5914">
        <w:rPr>
          <w:rFonts w:ascii="Times New Roman" w:hAnsi="Times New Roman"/>
          <w:sz w:val="28"/>
          <w:szCs w:val="28"/>
        </w:rPr>
        <w:t>- разрушение мощного потенциала нефтедобывающей промышленности Восточной Европы, регион отброшен назад - к уровню 60-х и 70-х гг.;</w:t>
      </w:r>
    </w:p>
    <w:p w:rsidR="008B63EB" w:rsidRPr="005A5914" w:rsidRDefault="008B63EB" w:rsidP="005A591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A5914">
        <w:rPr>
          <w:rFonts w:ascii="Times New Roman" w:hAnsi="Times New Roman"/>
          <w:sz w:val="28"/>
          <w:szCs w:val="28"/>
        </w:rPr>
        <w:t>- превращение Азии в лидера нефтедобычи в мире;</w:t>
      </w:r>
    </w:p>
    <w:p w:rsidR="008B63EB" w:rsidRPr="005A5914" w:rsidRDefault="008B63EB" w:rsidP="005A591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A5914">
        <w:rPr>
          <w:rFonts w:ascii="Times New Roman" w:hAnsi="Times New Roman"/>
          <w:sz w:val="28"/>
          <w:szCs w:val="28"/>
        </w:rPr>
        <w:t>- создание крупной добычи нефти в Западной Европе, а также в Африке;</w:t>
      </w:r>
    </w:p>
    <w:p w:rsidR="008B63EB" w:rsidRPr="005A5914" w:rsidRDefault="008B63EB" w:rsidP="005A591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A5914">
        <w:rPr>
          <w:rFonts w:ascii="Times New Roman" w:hAnsi="Times New Roman"/>
          <w:sz w:val="28"/>
          <w:szCs w:val="28"/>
        </w:rPr>
        <w:t>- уменьшение доли Северной и Южной Америке в добыче нефти.</w:t>
      </w:r>
    </w:p>
    <w:p w:rsidR="008B63EB" w:rsidRPr="005A5914" w:rsidRDefault="008B63EB" w:rsidP="005A591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A5914">
        <w:rPr>
          <w:rFonts w:ascii="Times New Roman" w:hAnsi="Times New Roman"/>
          <w:sz w:val="28"/>
          <w:szCs w:val="28"/>
        </w:rPr>
        <w:t>- роль нефтедобывающей промышленности в Азии стала больше соответствовать географии запасов нефти в мире.</w:t>
      </w:r>
    </w:p>
    <w:p w:rsidR="008B63EB" w:rsidRPr="005A5914" w:rsidRDefault="008B63EB" w:rsidP="005A591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A5914">
        <w:rPr>
          <w:rFonts w:ascii="Times New Roman" w:hAnsi="Times New Roman"/>
          <w:sz w:val="28"/>
          <w:szCs w:val="28"/>
        </w:rPr>
        <w:t>Существенно изменилась роль отдельных государств в отрасли:</w:t>
      </w:r>
    </w:p>
    <w:p w:rsidR="008B63EB" w:rsidRPr="005A5914" w:rsidRDefault="008B63EB" w:rsidP="005A591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A5914">
        <w:rPr>
          <w:rFonts w:ascii="Times New Roman" w:hAnsi="Times New Roman"/>
          <w:sz w:val="28"/>
          <w:szCs w:val="28"/>
        </w:rPr>
        <w:t>СССР в 1987-1988 гг. достиг максимального уровня добычи нефти среди всех нефтедобывающих государств - 624 млн. т., который не превзошла ни одна страна за всю историю нефтяной промышленности; в 90-е гг. резко упала добыча нефти на территории России и ряда других стран СНГ;</w:t>
      </w:r>
    </w:p>
    <w:p w:rsidR="008B63EB" w:rsidRPr="005A5914" w:rsidRDefault="008B63EB" w:rsidP="005A591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A5914">
        <w:rPr>
          <w:rFonts w:ascii="Times New Roman" w:hAnsi="Times New Roman"/>
          <w:sz w:val="28"/>
          <w:szCs w:val="28"/>
        </w:rPr>
        <w:t>Лидерами в добыче нефти стали США и Саудовская Аравия (суммарно они дают 1/4 добычи нефти в мире);</w:t>
      </w:r>
    </w:p>
    <w:p w:rsidR="008B63EB" w:rsidRPr="005A5914" w:rsidRDefault="008B63EB" w:rsidP="005A591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A5914">
        <w:rPr>
          <w:rFonts w:ascii="Times New Roman" w:hAnsi="Times New Roman"/>
          <w:sz w:val="28"/>
          <w:szCs w:val="28"/>
        </w:rPr>
        <w:t>Обнаружение и освоение ресурсов нефти в Северном море вывело Норвегию и Великобританию в число ведущих нефтедобывающих стран мира;</w:t>
      </w:r>
    </w:p>
    <w:p w:rsidR="008B63EB" w:rsidRPr="005A5914" w:rsidRDefault="008B63EB" w:rsidP="005A591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A5914">
        <w:rPr>
          <w:rFonts w:ascii="Times New Roman" w:hAnsi="Times New Roman"/>
          <w:sz w:val="28"/>
          <w:szCs w:val="28"/>
        </w:rPr>
        <w:t>Крупным продуцентом нефти стала КНР;</w:t>
      </w:r>
    </w:p>
    <w:p w:rsidR="008B63EB" w:rsidRPr="005A5914" w:rsidRDefault="008B63EB" w:rsidP="005A591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A5914">
        <w:rPr>
          <w:rFonts w:ascii="Times New Roman" w:hAnsi="Times New Roman"/>
          <w:sz w:val="28"/>
          <w:szCs w:val="28"/>
        </w:rPr>
        <w:t>Из числа ведущих в отрасли временно выбыл Ирак.</w:t>
      </w:r>
    </w:p>
    <w:p w:rsidR="008B63EB" w:rsidRPr="005A5914" w:rsidRDefault="008B63EB" w:rsidP="005A591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A5914">
        <w:rPr>
          <w:rFonts w:ascii="Times New Roman" w:hAnsi="Times New Roman"/>
          <w:sz w:val="28"/>
          <w:szCs w:val="28"/>
        </w:rPr>
        <w:t>Все происшедшие сдвиги в добыче нефти привели к снижению ее территориальной концентрации: в 1950 г. десять ведущих государств давали 94% нефти в мире, а в 1995 уже только 64%. Соответственно в 1950 г. свыше половины нефти добывала одна страна, в 1980 г. - три страны, а в 1995 г. - шесть. Это оказало сильное влияние на торговлю нефтью, проведение торговой политики нефтедобывающими государствами и покупателями нефти, существенно изменило грузопотоки нефти мира.</w:t>
      </w:r>
    </w:p>
    <w:p w:rsidR="008B63EB" w:rsidRPr="005A5914" w:rsidRDefault="008B63EB" w:rsidP="005A591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A5914">
        <w:rPr>
          <w:rFonts w:ascii="Times New Roman" w:hAnsi="Times New Roman"/>
          <w:sz w:val="28"/>
          <w:szCs w:val="28"/>
        </w:rPr>
        <w:t>Географию нефтяной промышленности хорошо характеризует баланс добычи и потребления нефти по регионам мира. Этот баланс предопределял межрегиональный внешнеторговый оборот нефти и ее основные потоки.</w:t>
      </w:r>
    </w:p>
    <w:p w:rsidR="008B63EB" w:rsidRPr="00424B6F" w:rsidRDefault="008B63EB" w:rsidP="00A16A5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A5914">
        <w:rPr>
          <w:rFonts w:ascii="Times New Roman" w:hAnsi="Times New Roman"/>
          <w:sz w:val="28"/>
          <w:szCs w:val="28"/>
        </w:rPr>
        <w:t>Внешняя торговля нефтью в 1950-1995 гг. отличалась постоянным ростом ее экспорта: в 1955 г. - 254 млн. т. (или 33% всей добытой нефти), в 1990 г. - 1365 млн. т. (экспортная квота - 47%) и в 1995 г. - 1631 млн. т. (экспортная квота достигла 49,4%). Нефть стала самым массовым продуктом внешней торговли. Около 45% экспортируемой нефти приходится на страны Азии (1955 г. - 28%), т.е. доля региона как ведущего мирового экспортера нефти существенно возросла, несмотря на появление новых нефтедобывающих стран. Лидером в экспорте нефти до 70-хгг. Была Венесуэла, а к 80-м гг. вперед вышла Саудовская Аравия (19% экспорта нефти в мире в 1995 г.).</w:t>
      </w:r>
    </w:p>
    <w:p w:rsidR="008B63EB" w:rsidRDefault="008B63EB" w:rsidP="00F65D8D">
      <w:pPr>
        <w:pStyle w:val="11"/>
        <w:numPr>
          <w:ilvl w:val="1"/>
          <w:numId w:val="7"/>
        </w:num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Газовая промышленность</w:t>
      </w:r>
    </w:p>
    <w:p w:rsidR="008B63EB" w:rsidRPr="00F65D8D" w:rsidRDefault="008B63EB" w:rsidP="00F65D8D">
      <w:pPr>
        <w:pStyle w:val="2"/>
        <w:spacing w:before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F65D8D">
        <w:rPr>
          <w:rFonts w:ascii="Times New Roman" w:hAnsi="Times New Roman"/>
          <w:sz w:val="28"/>
          <w:szCs w:val="28"/>
        </w:rPr>
        <w:t>У России нет недостатка в газе. По существующим оценкам на Россию приходится треть мировых запасов природного газа, что позволяет обеспечить будущие поставки на мировой рынок.</w:t>
      </w:r>
    </w:p>
    <w:p w:rsidR="008B63EB" w:rsidRPr="00F65D8D" w:rsidRDefault="008B63EB" w:rsidP="00F65D8D">
      <w:pPr>
        <w:pStyle w:val="a3"/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F65D8D">
        <w:rPr>
          <w:rFonts w:ascii="Times New Roman" w:hAnsi="Times New Roman"/>
          <w:sz w:val="28"/>
          <w:szCs w:val="28"/>
        </w:rPr>
        <w:t>Крупномасштабное развитие отрасли началось в СССР относительно поздно – в 70-е годы. В результате, сегодня, в ней, по сравнению с другими добывающими отраслями российской промышленности, технологии современнее, оборудование новее и менее изношено, выработанность разрабатываемых запасов значительно ниже, а неизбежное ухудшение природно-геологических условий пока проявляется более слабо и связано, в основном, с продвижением на Север.</w:t>
      </w:r>
    </w:p>
    <w:p w:rsidR="008B63EB" w:rsidRPr="00F65D8D" w:rsidRDefault="008B63EB" w:rsidP="00F65D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5D8D">
        <w:rPr>
          <w:rFonts w:ascii="Times New Roman" w:hAnsi="Times New Roman"/>
          <w:sz w:val="28"/>
          <w:szCs w:val="28"/>
        </w:rPr>
        <w:t>Газовая промышленность была базовой в российской энергетике в период перехода к рыночной экономике, особенно с момента развала СССР в 1991 году. Производство газа за последние 10 лет снизилось менее, чем на 13%, в отличие от других секторов экономики, где производство снизилось очень резко. По мнению специалистов, снижение добычи произошло лишь в силу падения платежеспособного спроса, и при его восстановлении может быть легко увеличена.</w:t>
      </w:r>
    </w:p>
    <w:p w:rsidR="008B63EB" w:rsidRPr="00F65D8D" w:rsidRDefault="008B63EB" w:rsidP="00F65D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5D8D">
        <w:rPr>
          <w:rFonts w:ascii="Times New Roman" w:hAnsi="Times New Roman"/>
          <w:sz w:val="28"/>
          <w:szCs w:val="28"/>
        </w:rPr>
        <w:t>Поддержание высокого уровня производства и относительно низкого уровня цен по сравнению с другими видами топлива позволило газовой промышленности иметь долю в российском энергетическом балансе почти в 50%. Основными потребителями газа в России являются промышленные предприятия и электростанции.</w:t>
      </w:r>
    </w:p>
    <w:p w:rsidR="008B63EB" w:rsidRPr="00F65D8D" w:rsidRDefault="008B63EB" w:rsidP="00F65D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5D8D">
        <w:rPr>
          <w:rFonts w:ascii="Times New Roman" w:hAnsi="Times New Roman"/>
          <w:sz w:val="28"/>
          <w:szCs w:val="28"/>
        </w:rPr>
        <w:t>Повышенная популярность потребления газа в России объясняется его низкой ценой по сравнению с ценами на альтернативные источники энергии, его привлекательностью как легко контролируемого и надежного вида топлива, высокой продуктивностью, увеличением общей мощности электростанций, работающих на газовом топливе, а также экологическими соображениями, в силу которых уменьшается привлекательность таких видов топлива, как уголь.</w:t>
      </w:r>
    </w:p>
    <w:p w:rsidR="008B63EB" w:rsidRPr="00F65D8D" w:rsidRDefault="008B63EB" w:rsidP="00F65D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5D8D">
        <w:rPr>
          <w:rFonts w:ascii="Times New Roman" w:hAnsi="Times New Roman"/>
          <w:sz w:val="28"/>
          <w:szCs w:val="28"/>
        </w:rPr>
        <w:t>Согласно Энергетической Стратегии России рост потребления газа к 2005 году увеличится на 3%, а к 2010 на 8%. В то же время доля потребления газа среди электростанций будет идти медленнее. К 2005 году никаких изменений не планируется, а к 2010 году рост составит всего 2%. Однако эти данные достаточно условны и будут зависеть от общего экономического роста в стране.</w:t>
      </w:r>
    </w:p>
    <w:p w:rsidR="008B63EB" w:rsidRPr="00F65D8D" w:rsidRDefault="008B63EB" w:rsidP="00F65D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5D8D">
        <w:rPr>
          <w:rFonts w:ascii="Times New Roman" w:hAnsi="Times New Roman"/>
          <w:sz w:val="28"/>
          <w:szCs w:val="28"/>
        </w:rPr>
        <w:t>Экономическая целесообразность добычи газа характеризуется двумя критериями:</w:t>
      </w:r>
    </w:p>
    <w:p w:rsidR="008B63EB" w:rsidRPr="00F65D8D" w:rsidRDefault="008B63EB" w:rsidP="00F65D8D">
      <w:pPr>
        <w:numPr>
          <w:ilvl w:val="0"/>
          <w:numId w:val="10"/>
        </w:numPr>
        <w:tabs>
          <w:tab w:val="clear" w:pos="2614"/>
          <w:tab w:val="num" w:pos="1980"/>
          <w:tab w:val="num" w:pos="324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65D8D">
        <w:rPr>
          <w:rFonts w:ascii="Times New Roman" w:hAnsi="Times New Roman"/>
          <w:sz w:val="28"/>
          <w:szCs w:val="28"/>
        </w:rPr>
        <w:t>глубиной залежей газа на месторождениях;</w:t>
      </w:r>
    </w:p>
    <w:p w:rsidR="008B63EB" w:rsidRPr="00F65D8D" w:rsidRDefault="008B63EB" w:rsidP="00F65D8D">
      <w:pPr>
        <w:numPr>
          <w:ilvl w:val="0"/>
          <w:numId w:val="10"/>
        </w:numPr>
        <w:tabs>
          <w:tab w:val="clear" w:pos="2614"/>
          <w:tab w:val="num" w:pos="1980"/>
          <w:tab w:val="num" w:pos="324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65D8D">
        <w:rPr>
          <w:rFonts w:ascii="Times New Roman" w:hAnsi="Times New Roman"/>
          <w:sz w:val="28"/>
          <w:szCs w:val="28"/>
        </w:rPr>
        <w:t>удаленностью от газопроводов.</w:t>
      </w:r>
    </w:p>
    <w:p w:rsidR="008B63EB" w:rsidRPr="00F65D8D" w:rsidRDefault="008B63EB" w:rsidP="00F65D8D">
      <w:pPr>
        <w:tabs>
          <w:tab w:val="num" w:pos="324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B63EB" w:rsidRPr="00F65D8D" w:rsidRDefault="008B63EB" w:rsidP="00F65D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5D8D">
        <w:rPr>
          <w:rFonts w:ascii="Times New Roman" w:hAnsi="Times New Roman"/>
          <w:sz w:val="28"/>
          <w:szCs w:val="28"/>
        </w:rPr>
        <w:t>Основная добыча газа ведется с верхних залежей – такой газ называется – сеноман (сеноманские отложения газа). Более глубокие залежи сосредоточены в валанжинских и неокомских отложениях. Добыча газа из глубоких горизонтов месторождений гораздо сложнее и требует больших инвестиций, возрастает себестоимость добычи и, как следствие, снижается рентабельность. В некоторых случаях добыча валанжинских и неокомских залежей газа невозможна по технологическим причинам. Однако в прогнозах отмечают возможность возникновения новых технологических прорывов, которые дадут возможность добраться до глубоких месторождений в будущем.</w:t>
      </w:r>
    </w:p>
    <w:p w:rsidR="008B63EB" w:rsidRPr="00F65D8D" w:rsidRDefault="008B63EB" w:rsidP="00F65D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5D8D">
        <w:rPr>
          <w:rFonts w:ascii="Times New Roman" w:hAnsi="Times New Roman"/>
          <w:sz w:val="28"/>
          <w:szCs w:val="28"/>
        </w:rPr>
        <w:t>Газодобывающая отрасль включает в себя все процессы, связанные с проведением геологоразведочных работ, разработкой месторождений, добычей газа, его транспортировки по трубопроводам, переработкой и распределением конечным потребителям.</w:t>
      </w:r>
    </w:p>
    <w:p w:rsidR="008B63EB" w:rsidRPr="00F65D8D" w:rsidRDefault="008B63EB" w:rsidP="00F65D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5D8D">
        <w:rPr>
          <w:rFonts w:ascii="Times New Roman" w:hAnsi="Times New Roman"/>
          <w:sz w:val="28"/>
          <w:szCs w:val="28"/>
        </w:rPr>
        <w:t>В газовой отрасли России ведущая роль принадлежит ОАО «Газпром» - крупнейшей газовой компании мира. В 2002 году она обеспечивала 20% доходов федерального бюджета и около 20% поступлений в конвертируемой валюте.</w:t>
      </w:r>
    </w:p>
    <w:p w:rsidR="008B63EB" w:rsidRPr="00F65D8D" w:rsidRDefault="008B63EB" w:rsidP="00F65D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5D8D">
        <w:rPr>
          <w:rFonts w:ascii="Times New Roman" w:hAnsi="Times New Roman"/>
          <w:sz w:val="28"/>
          <w:szCs w:val="28"/>
        </w:rPr>
        <w:t>На сегодняшний момент ОАО «Газпром»:</w:t>
      </w:r>
    </w:p>
    <w:p w:rsidR="008B63EB" w:rsidRPr="00F65D8D" w:rsidRDefault="008B63EB" w:rsidP="00F65D8D">
      <w:pPr>
        <w:numPr>
          <w:ilvl w:val="0"/>
          <w:numId w:val="9"/>
        </w:numPr>
        <w:tabs>
          <w:tab w:val="clear" w:pos="1080"/>
          <w:tab w:val="num" w:pos="1620"/>
          <w:tab w:val="left" w:pos="324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65D8D">
        <w:rPr>
          <w:rFonts w:ascii="Times New Roman" w:hAnsi="Times New Roman"/>
          <w:sz w:val="28"/>
          <w:szCs w:val="28"/>
        </w:rPr>
        <w:t>добывает 90% российского газа;</w:t>
      </w:r>
    </w:p>
    <w:p w:rsidR="008B63EB" w:rsidRPr="00F65D8D" w:rsidRDefault="008B63EB" w:rsidP="00F65D8D">
      <w:pPr>
        <w:numPr>
          <w:ilvl w:val="0"/>
          <w:numId w:val="9"/>
        </w:numPr>
        <w:tabs>
          <w:tab w:val="clear" w:pos="1080"/>
          <w:tab w:val="num" w:pos="1620"/>
          <w:tab w:val="left" w:pos="324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65D8D">
        <w:rPr>
          <w:rFonts w:ascii="Times New Roman" w:hAnsi="Times New Roman"/>
          <w:sz w:val="28"/>
          <w:szCs w:val="28"/>
        </w:rPr>
        <w:t>фактически контролирует весь газ, транспортируемый по газопроводам высокого давления большого диаметра;</w:t>
      </w:r>
    </w:p>
    <w:p w:rsidR="008B63EB" w:rsidRPr="00F65D8D" w:rsidRDefault="008B63EB" w:rsidP="00F65D8D">
      <w:pPr>
        <w:numPr>
          <w:ilvl w:val="0"/>
          <w:numId w:val="9"/>
        </w:numPr>
        <w:tabs>
          <w:tab w:val="clear" w:pos="1080"/>
          <w:tab w:val="num" w:pos="1620"/>
          <w:tab w:val="left" w:pos="324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65D8D">
        <w:rPr>
          <w:rFonts w:ascii="Times New Roman" w:hAnsi="Times New Roman"/>
          <w:sz w:val="28"/>
          <w:szCs w:val="28"/>
        </w:rPr>
        <w:t>контролирует весь экспорт газа в Европу.</w:t>
      </w:r>
    </w:p>
    <w:p w:rsidR="008B63EB" w:rsidRPr="00F65D8D" w:rsidRDefault="008B63EB" w:rsidP="00F65D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5D8D">
        <w:rPr>
          <w:rFonts w:ascii="Times New Roman" w:hAnsi="Times New Roman"/>
          <w:sz w:val="28"/>
          <w:szCs w:val="28"/>
        </w:rPr>
        <w:t>Выручка компании в 2002 году выросла на 13% и составила 20 миллиардов долларов. В списке крупнейших компаний мира она занимает 121-е место.</w:t>
      </w:r>
    </w:p>
    <w:p w:rsidR="008B63EB" w:rsidRPr="00F65D8D" w:rsidRDefault="008B63EB" w:rsidP="00F65D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5D8D">
        <w:rPr>
          <w:rFonts w:ascii="Times New Roman" w:hAnsi="Times New Roman"/>
          <w:sz w:val="28"/>
          <w:szCs w:val="28"/>
        </w:rPr>
        <w:t>На сегодняшний день Россия обладает 35% от мировых запасов природного газа, что составляет более 48 трлн.м</w:t>
      </w:r>
      <w:r w:rsidRPr="00F65D8D">
        <w:rPr>
          <w:rFonts w:ascii="Times New Roman" w:hAnsi="Times New Roman"/>
          <w:sz w:val="28"/>
          <w:szCs w:val="28"/>
          <w:vertAlign w:val="superscript"/>
        </w:rPr>
        <w:t>3</w:t>
      </w:r>
      <w:r w:rsidRPr="00F65D8D">
        <w:rPr>
          <w:rFonts w:ascii="Times New Roman" w:hAnsi="Times New Roman"/>
          <w:sz w:val="28"/>
          <w:szCs w:val="28"/>
        </w:rPr>
        <w:t>. Основные районы залегания природного газа в России:</w:t>
      </w:r>
    </w:p>
    <w:p w:rsidR="008B63EB" w:rsidRPr="00F65D8D" w:rsidRDefault="008B63EB" w:rsidP="00F65D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5D8D">
        <w:rPr>
          <w:rFonts w:ascii="Times New Roman" w:hAnsi="Times New Roman"/>
          <w:sz w:val="28"/>
          <w:szCs w:val="28"/>
        </w:rPr>
        <w:t>1. Западно-сибирская нефтегазоносная провинция;</w:t>
      </w:r>
    </w:p>
    <w:p w:rsidR="008B63EB" w:rsidRPr="00F65D8D" w:rsidRDefault="008B63EB" w:rsidP="00F65D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5D8D">
        <w:rPr>
          <w:rFonts w:ascii="Times New Roman" w:hAnsi="Times New Roman"/>
          <w:sz w:val="28"/>
          <w:szCs w:val="28"/>
        </w:rPr>
        <w:t>2. Волго-Уральская нефтегазоносная провинция;</w:t>
      </w:r>
    </w:p>
    <w:p w:rsidR="008B63EB" w:rsidRPr="00F65D8D" w:rsidRDefault="008B63EB" w:rsidP="00F65D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5D8D">
        <w:rPr>
          <w:rFonts w:ascii="Times New Roman" w:hAnsi="Times New Roman"/>
          <w:sz w:val="28"/>
          <w:szCs w:val="28"/>
        </w:rPr>
        <w:t>3. Месторождения Сахалина и Дальнего Востока.</w:t>
      </w:r>
    </w:p>
    <w:p w:rsidR="008B63EB" w:rsidRPr="00F65D8D" w:rsidRDefault="008B63EB" w:rsidP="00F65D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5D8D">
        <w:rPr>
          <w:rFonts w:ascii="Times New Roman" w:hAnsi="Times New Roman"/>
          <w:sz w:val="28"/>
          <w:szCs w:val="28"/>
        </w:rPr>
        <w:t>Особенно по запасам природного газа выделяется Западная Сибирь (Уренгойское, Ямбургское, Заполярное, Медвежье). Промышленные запасы здесь достигают 14 трлн.м</w:t>
      </w:r>
      <w:r w:rsidRPr="00F65D8D">
        <w:rPr>
          <w:rFonts w:ascii="Times New Roman" w:hAnsi="Times New Roman"/>
          <w:sz w:val="28"/>
          <w:szCs w:val="28"/>
          <w:vertAlign w:val="superscript"/>
        </w:rPr>
        <w:t>3</w:t>
      </w:r>
      <w:r w:rsidRPr="00F65D8D">
        <w:rPr>
          <w:rFonts w:ascii="Times New Roman" w:hAnsi="Times New Roman"/>
          <w:sz w:val="28"/>
          <w:szCs w:val="28"/>
        </w:rPr>
        <w:t>. Особо важное значение сейчас приобретают Ямальские газоконденсатные месторождения (Бованенковское, Крузенштернское, Харасавейское и другие). На их основе идёт осуществление проекта "Ямал-Европа".</w:t>
      </w:r>
    </w:p>
    <w:p w:rsidR="008B63EB" w:rsidRPr="00F65D8D" w:rsidRDefault="008B63EB" w:rsidP="00F264C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5D8D">
        <w:rPr>
          <w:rFonts w:ascii="Times New Roman" w:hAnsi="Times New Roman"/>
          <w:sz w:val="28"/>
          <w:szCs w:val="28"/>
        </w:rPr>
        <w:t>Добыча природного газа отличается высокой концентрацией и ориентирована на районы с наиболее крупными и выгодными по эксплуатации месторождениями. Только пять месторождений - Уренгойское, Ямбургское, Заполярное, Медвежье и Оренбургское - содержат половину всех промышленных запасов России.</w:t>
      </w:r>
    </w:p>
    <w:p w:rsidR="008B63EB" w:rsidRPr="00F65D8D" w:rsidRDefault="008B63EB" w:rsidP="00F65D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5D8D">
        <w:rPr>
          <w:rFonts w:ascii="Times New Roman" w:hAnsi="Times New Roman"/>
          <w:sz w:val="28"/>
          <w:szCs w:val="28"/>
        </w:rPr>
        <w:t>По мнению российских экономистов, РАО "Газпром" - единственная в России транснациональная компания, имеющая стабильный выход на мировой рынок. В России из газа Газпрома" получают 40 % электроэнергии, на предприятиях "Газпрома" занято 320 тысяч рабочих (вместе с семьями более 1 млн. человек). Очевидно, что газовый гигант такого уровня оказывает сильнейшее влияние на структуру бюджетных рублевых и валютных доходов России и является мощным политическим аргументом во внешнеполитических отношениях с другими странами.</w:t>
      </w:r>
    </w:p>
    <w:p w:rsidR="008B63EB" w:rsidRPr="00F65D8D" w:rsidRDefault="008B63EB" w:rsidP="00F65D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5D8D">
        <w:rPr>
          <w:rFonts w:ascii="Times New Roman" w:hAnsi="Times New Roman"/>
          <w:sz w:val="28"/>
          <w:szCs w:val="28"/>
        </w:rPr>
        <w:t>Основными проблемами нефтегазовой отрасли, как и всей промышленности России, являются проблемы финансирования и кризиса неплатежей.</w:t>
      </w:r>
    </w:p>
    <w:p w:rsidR="008B63EB" w:rsidRDefault="008B63EB" w:rsidP="00F65D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5D8D">
        <w:rPr>
          <w:rFonts w:ascii="Times New Roman" w:hAnsi="Times New Roman"/>
          <w:sz w:val="28"/>
          <w:szCs w:val="28"/>
        </w:rPr>
        <w:t>Природный газ был и остаётся важным продуктом экспорта в российской внешней торговле. В 1994 году из России в дальнее зарубежье было экспортировано 109.03 млрд. м</w:t>
      </w:r>
      <w:r w:rsidRPr="00F65D8D">
        <w:rPr>
          <w:rFonts w:ascii="Times New Roman" w:hAnsi="Times New Roman"/>
          <w:sz w:val="28"/>
          <w:szCs w:val="28"/>
          <w:vertAlign w:val="superscript"/>
        </w:rPr>
        <w:t>3</w:t>
      </w:r>
      <w:r w:rsidRPr="00F65D8D">
        <w:rPr>
          <w:rFonts w:ascii="Times New Roman" w:hAnsi="Times New Roman"/>
          <w:sz w:val="28"/>
          <w:szCs w:val="28"/>
        </w:rPr>
        <w:t xml:space="preserve"> (113.6 % к 1993 году). “Газпром” намерен в ближайшие 2 года увеличить поставки природного газа на Балканы с 21 до 36 млрд. м</w:t>
      </w:r>
      <w:r w:rsidRPr="00F65D8D">
        <w:rPr>
          <w:rFonts w:ascii="Times New Roman" w:hAnsi="Times New Roman"/>
          <w:sz w:val="28"/>
          <w:szCs w:val="28"/>
          <w:vertAlign w:val="superscript"/>
        </w:rPr>
        <w:t>3</w:t>
      </w:r>
      <w:r w:rsidRPr="00F65D8D">
        <w:rPr>
          <w:rFonts w:ascii="Times New Roman" w:hAnsi="Times New Roman"/>
          <w:sz w:val="28"/>
          <w:szCs w:val="28"/>
        </w:rPr>
        <w:t xml:space="preserve"> в год, в Турцию - в 2 раза, начать - в Грецию и Македонию. На заметный рост газопотребления рассчитывают Болгария, Румыния и страны экс-Югославии. В последнее время реализуется проект “Ямал-Европа”, открывающий возможность экспорта российского газа в обход украинского экспортного коридора. Следует отметить, что российский газ покрывает треть потребностей такой крупной европейской страны, как Франция. Что касается ближнего зарубежья, то в 2006 году из России в республики СНГ было экспортировано 85 млрд. м</w:t>
      </w:r>
      <w:r w:rsidRPr="00F65D8D">
        <w:rPr>
          <w:rFonts w:ascii="Times New Roman" w:hAnsi="Times New Roman"/>
          <w:sz w:val="28"/>
          <w:szCs w:val="28"/>
          <w:vertAlign w:val="superscript"/>
        </w:rPr>
        <w:t>3</w:t>
      </w:r>
      <w:r w:rsidRPr="00F65D8D">
        <w:rPr>
          <w:rFonts w:ascii="Times New Roman" w:hAnsi="Times New Roman"/>
          <w:sz w:val="28"/>
          <w:szCs w:val="28"/>
        </w:rPr>
        <w:t xml:space="preserve"> природного газа, в том числе в Белоруссию - 16.2 млрд. м</w:t>
      </w:r>
      <w:r w:rsidRPr="00F65D8D">
        <w:rPr>
          <w:rFonts w:ascii="Times New Roman" w:hAnsi="Times New Roman"/>
          <w:sz w:val="28"/>
          <w:szCs w:val="28"/>
          <w:vertAlign w:val="superscript"/>
        </w:rPr>
        <w:t>3</w:t>
      </w:r>
      <w:r w:rsidRPr="00F65D8D">
        <w:rPr>
          <w:rFonts w:ascii="Times New Roman" w:hAnsi="Times New Roman"/>
          <w:sz w:val="28"/>
          <w:szCs w:val="28"/>
        </w:rPr>
        <w:t>, в Молдавию - 3.1 млрд. м</w:t>
      </w:r>
      <w:r w:rsidRPr="00F65D8D">
        <w:rPr>
          <w:rFonts w:ascii="Times New Roman" w:hAnsi="Times New Roman"/>
          <w:sz w:val="28"/>
          <w:szCs w:val="28"/>
          <w:vertAlign w:val="superscript"/>
        </w:rPr>
        <w:t>3</w:t>
      </w:r>
      <w:r w:rsidRPr="00F65D8D">
        <w:rPr>
          <w:rFonts w:ascii="Times New Roman" w:hAnsi="Times New Roman"/>
          <w:sz w:val="28"/>
          <w:szCs w:val="28"/>
        </w:rPr>
        <w:t>, в Казахстан - 1.2 млрд. м</w:t>
      </w:r>
      <w:r w:rsidRPr="00F65D8D">
        <w:rPr>
          <w:rFonts w:ascii="Times New Roman" w:hAnsi="Times New Roman"/>
          <w:sz w:val="28"/>
          <w:szCs w:val="28"/>
          <w:vertAlign w:val="superscript"/>
        </w:rPr>
        <w:t>3</w:t>
      </w:r>
      <w:r w:rsidRPr="00F65D8D">
        <w:rPr>
          <w:rFonts w:ascii="Times New Roman" w:hAnsi="Times New Roman"/>
          <w:sz w:val="28"/>
          <w:szCs w:val="28"/>
        </w:rPr>
        <w:t>, Эстонию - 0.4 млрд. м</w:t>
      </w:r>
      <w:r w:rsidRPr="00F65D8D">
        <w:rPr>
          <w:rFonts w:ascii="Times New Roman" w:hAnsi="Times New Roman"/>
          <w:sz w:val="28"/>
          <w:szCs w:val="28"/>
          <w:vertAlign w:val="superscript"/>
        </w:rPr>
        <w:t>3</w:t>
      </w:r>
      <w:r w:rsidRPr="00F65D8D">
        <w:rPr>
          <w:rFonts w:ascii="Times New Roman" w:hAnsi="Times New Roman"/>
          <w:sz w:val="28"/>
          <w:szCs w:val="28"/>
        </w:rPr>
        <w:t>.</w:t>
      </w:r>
    </w:p>
    <w:p w:rsidR="008B63EB" w:rsidRDefault="008B63E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8B63EB" w:rsidRDefault="008B63EB" w:rsidP="006B578F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2. Современное состояние, проблемы и перспективы развития нефтегазового комплекса России</w:t>
      </w:r>
    </w:p>
    <w:p w:rsidR="008B63EB" w:rsidRPr="00A16A5F" w:rsidRDefault="008B63EB" w:rsidP="00A16A5F">
      <w:pPr>
        <w:pStyle w:val="1"/>
        <w:spacing w:before="0" w:after="0" w:line="360" w:lineRule="auto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16A5F">
        <w:rPr>
          <w:rFonts w:ascii="Times New Roman" w:hAnsi="Times New Roman" w:cs="Times New Roman"/>
          <w:b w:val="0"/>
          <w:sz w:val="28"/>
          <w:szCs w:val="28"/>
        </w:rPr>
        <w:t>2.1.</w:t>
      </w:r>
      <w:r w:rsidRPr="00A16A5F">
        <w:rPr>
          <w:rFonts w:ascii="Times New Roman" w:hAnsi="Times New Roman" w:cs="Times New Roman"/>
          <w:b w:val="0"/>
        </w:rPr>
        <w:t xml:space="preserve"> </w:t>
      </w:r>
      <w:r w:rsidRPr="00A16A5F">
        <w:rPr>
          <w:rFonts w:ascii="Times New Roman" w:hAnsi="Times New Roman" w:cs="Times New Roman"/>
          <w:b w:val="0"/>
          <w:sz w:val="28"/>
          <w:szCs w:val="28"/>
        </w:rPr>
        <w:t>Проблемы российской нефтегазовой отрасли</w:t>
      </w:r>
    </w:p>
    <w:p w:rsidR="008B63EB" w:rsidRPr="00A16A5F" w:rsidRDefault="008B63EB" w:rsidP="00A16A5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6A5F">
        <w:rPr>
          <w:rFonts w:ascii="Times New Roman" w:hAnsi="Times New Roman"/>
          <w:sz w:val="28"/>
          <w:szCs w:val="28"/>
        </w:rPr>
        <w:t xml:space="preserve">За последние 10 лет в стране наблюдается резкое ухудшение состояния сырьевой базы в нефтяном комплексе. Оно ведет к резкому увеличению себестоимости добычи нефти и, следовательно, к огромным потерям для бюджета страны. Также уменьшаются ее конкурентные возможности на мировом рынке, и происходит неоправданное «запирание» огромных запасов нефти как «нерентабельных к разработке». По вине новых владельцев и инвесторов в течение последних 10 лет прошедшего столетия объемы разведочного бурения сократились более чем в 4 раза, прирост запасов нефти – в 6,5 раз. Существенно сократились объемы разведочных географических исследований. В результате ухудшения эффективности геологоразведочных работ прирост запасов нефти с </w:t>
      </w:r>
      <w:smartTag w:uri="urn:schemas-microsoft-com:office:smarttags" w:element="metricconverter">
        <w:smartTagPr>
          <w:attr w:name="ProductID" w:val="1994 г"/>
        </w:smartTagPr>
        <w:r w:rsidRPr="00A16A5F">
          <w:rPr>
            <w:rFonts w:ascii="Times New Roman" w:hAnsi="Times New Roman"/>
            <w:sz w:val="28"/>
            <w:szCs w:val="28"/>
          </w:rPr>
          <w:t>1994 г</w:t>
        </w:r>
      </w:smartTag>
      <w:r w:rsidRPr="00A16A5F">
        <w:rPr>
          <w:rFonts w:ascii="Times New Roman" w:hAnsi="Times New Roman"/>
          <w:sz w:val="28"/>
          <w:szCs w:val="28"/>
        </w:rPr>
        <w:t>. уже даже не компенсирует добычу. Выработка ведется в основном из активной части запасов. Компании ведут такую разработку, при которой достигается минимальная себестоимость нефти. Новые хозяева не заботятся о будущем страны. Сверхобеспеченность запасами многих крупных компаний способствует тому, что в стране увеличивается добыча нефти в основном за счет интенсификации выборочной отработки активной части запасов, -  «снятием сливок», по меткому выражению В.В. Путина – при одновременном прекращении эксплуатации сотен и тысяч малодебитных скважин, добывающих нефть из «трудных» запасов. Положение усугубляется тем, что за последнее десятилетие практически свернуто применение современных методов увеличения нефтеотдачи (МУН), без чего невозможна эффективная разработка трудных запасов, а значит, и преодоление негативной тенденции снижения нефтеотдачи, принявшей уже угрожающий характер. Вследствие вышеизложенных причин происходит следущее:</w:t>
      </w:r>
    </w:p>
    <w:p w:rsidR="008B63EB" w:rsidRPr="00A16A5F" w:rsidRDefault="008B63EB" w:rsidP="00A16A5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6A5F">
        <w:rPr>
          <w:rFonts w:ascii="Times New Roman" w:hAnsi="Times New Roman"/>
          <w:sz w:val="28"/>
          <w:szCs w:val="28"/>
        </w:rPr>
        <w:t>1. Нет прироста запасов.</w:t>
      </w:r>
    </w:p>
    <w:p w:rsidR="008B63EB" w:rsidRPr="00A16A5F" w:rsidRDefault="008B63EB" w:rsidP="00A16A5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6A5F">
        <w:rPr>
          <w:rFonts w:ascii="Times New Roman" w:hAnsi="Times New Roman"/>
          <w:sz w:val="28"/>
          <w:szCs w:val="28"/>
        </w:rPr>
        <w:t>2. Идет снижение нефтеотдачи.</w:t>
      </w:r>
    </w:p>
    <w:p w:rsidR="008B63EB" w:rsidRPr="00A16A5F" w:rsidRDefault="008B63EB" w:rsidP="00A16A5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6A5F">
        <w:rPr>
          <w:rFonts w:ascii="Times New Roman" w:hAnsi="Times New Roman"/>
          <w:sz w:val="28"/>
          <w:szCs w:val="28"/>
        </w:rPr>
        <w:t>3. Разработка происходит преимущественно из активной части запасов.</w:t>
      </w:r>
    </w:p>
    <w:p w:rsidR="008B63EB" w:rsidRPr="00A16A5F" w:rsidRDefault="008B63EB" w:rsidP="00A16A5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6A5F">
        <w:rPr>
          <w:rFonts w:ascii="Times New Roman" w:hAnsi="Times New Roman"/>
          <w:sz w:val="28"/>
          <w:szCs w:val="28"/>
        </w:rPr>
        <w:t>4. Не разрабатываются передовые отечественные методы увеличения нефтеотдачи и не поощряются научные разработки.</w:t>
      </w:r>
    </w:p>
    <w:p w:rsidR="008B63EB" w:rsidRPr="00A16A5F" w:rsidRDefault="008B63EB" w:rsidP="00A16A5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6A5F">
        <w:rPr>
          <w:rFonts w:ascii="Times New Roman" w:hAnsi="Times New Roman"/>
          <w:sz w:val="28"/>
          <w:szCs w:val="28"/>
        </w:rPr>
        <w:t xml:space="preserve">Если государство решительно не вмешается, то в будущем мы столкнемся только с трудноизвлекаемыми запасами и будем вынуждены на унизительных условиях пользоваться дорогими зарубежными технологиями. Это резко увеличит себестоимость отечественной нефти, и мы уже не сможем конкурировать как с Ближневосточными странами, где находятся преимущественно месторождения с активными запасами, так и со странами США и Канада, где структура запасов схожа с нашей, но ведется разумная и активная разработка и внедрение МУН. </w:t>
      </w:r>
    </w:p>
    <w:p w:rsidR="008B63EB" w:rsidRPr="00A16A5F" w:rsidRDefault="008B63EB" w:rsidP="00A16A5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6A5F">
        <w:rPr>
          <w:rFonts w:ascii="Times New Roman" w:hAnsi="Times New Roman"/>
          <w:sz w:val="28"/>
          <w:szCs w:val="28"/>
        </w:rPr>
        <w:t xml:space="preserve">Самой острой проблемой на сегодня является недостаточное воспроизводство минерально-сырьевой базы, то есть отстаивание объемов поисков и разведки новых месторождений полезных ископаемых от нарастающих объемов добычи соответствующих видов минерального сырья. Вот уже второе десятилетие подряд в России не ведется масштабных геологоразведочных работ на перспективных площадях. И как следствие – нет открытий новых месторождений с существенными запасами полезных ископаемых.  </w:t>
      </w:r>
    </w:p>
    <w:p w:rsidR="008B63EB" w:rsidRPr="00A16A5F" w:rsidRDefault="008B63EB" w:rsidP="00A16A5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6A5F">
        <w:rPr>
          <w:rFonts w:ascii="Times New Roman" w:hAnsi="Times New Roman"/>
          <w:sz w:val="28"/>
          <w:szCs w:val="28"/>
        </w:rPr>
        <w:t xml:space="preserve">Воспроизводство минерально-сырьевой базы в широком смысле – это поиски и разведка новых месторождений полезных ископаемых с запасами, достаточными для покрытия дефицита минерального сырья при условии максимально полного извлечения из недр и дальнейшего экономного комплексного использования. Это одна из важных составляющих развития и пополнения природных запасов. Есть и другие составляющие: полнота отработки полезных ископаемых, включая нерентабельность извлечения лишь отдельных компонентов в комплексных рудах, невысокие коэффициенты извлечения нефти и газа, использования низконапорного газа, разработки остаточных запасов полезных ископаемых, эффективной переработки отходов и отвалов горной промышленности; а также - ресурсосбережение, включая вопросы использования вторичного сырья, снижения материалоемкости и энергоемкости российского производства и жизнеобеспечения социальных объектов. Для многих «бизнесменов» все перечисленное выглядит, словно китайская грамота, но по той же причине привлечение некоторыми российскими нефтегазовыми компаниями западных сервисных подрядчиков приобрело в России уродливую, отличающуюся от мировой практики форму. Вместо того, чтобы объявить конкурсы на геологоразведочные, геофизические и другие работы, компании заключают корпоративные соглашения с западными подрядчиками: ТНК – с «Халлибуртоном», «Газпром» – с «Шлюмберже», затем, заказчик с подрядчиком (например, ТНК с «Халлибуртоном») направляются в международный банк, с помощью подрядчика берут кредиты на выполнение сервисных работ и полученные средства подрядчик успешно тратит. Как работает «Халлибуртон», каков уровень коррупции в этой компании известно из мировой прессы, но, похоже, это малого кого волнует. </w:t>
      </w:r>
    </w:p>
    <w:p w:rsidR="008B63EB" w:rsidRPr="00A16A5F" w:rsidRDefault="008B63EB" w:rsidP="00A16A5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6A5F">
        <w:rPr>
          <w:rFonts w:ascii="Times New Roman" w:hAnsi="Times New Roman"/>
          <w:sz w:val="28"/>
          <w:szCs w:val="28"/>
        </w:rPr>
        <w:t xml:space="preserve">Сервисный рынок необходимо сделать прозрачным, и в первую очередь - для российских сервисных компаний, имея ввиду то, что практически все, что есть в мире для сервиса в добывающем комплексе, есть у самих российских подрядчиков. </w:t>
      </w:r>
    </w:p>
    <w:p w:rsidR="008B63EB" w:rsidRPr="00A16A5F" w:rsidRDefault="008B63EB" w:rsidP="00A16A5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6A5F">
        <w:rPr>
          <w:rFonts w:ascii="Times New Roman" w:hAnsi="Times New Roman"/>
          <w:sz w:val="28"/>
          <w:szCs w:val="28"/>
        </w:rPr>
        <w:t xml:space="preserve">Надежный контроль над разведкой месторождений сегодня в России отсутствует. Из действующего фонда нефтяных скважин добываются на 25% больше нефти, чем предусмотрено лицензионными соглашениями, в то же время на настоящий момент не пробурено более 20 тысяч добывающих скважин, предусмотренных по условиям лицензий. Идет выборочный отбор запасов, нарушается проектная сетка разбуривания месторождений. Недоосвоенные капиталовложения от проектных уровней только в Ханты-Мансийском автономном округе за последние 10 лет составили около 20 млрд. долларов США. И при всем при этом компании имеют огромные сверхприбыли. Практически - это ничем не прикрытый грабеж. </w:t>
      </w:r>
    </w:p>
    <w:p w:rsidR="008B63EB" w:rsidRPr="00A16A5F" w:rsidRDefault="008B63EB" w:rsidP="00A16A5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6A5F">
        <w:rPr>
          <w:rFonts w:ascii="Times New Roman" w:hAnsi="Times New Roman"/>
          <w:sz w:val="28"/>
          <w:szCs w:val="28"/>
        </w:rPr>
        <w:t xml:space="preserve">Стоит обратить внимание, что интенсивный отбор нефти происходит преимущественно из активной части запасов, но она пока не восполняется такими же высокопродуктивными объектами. Вертикально-интегрированные компании не заинтересованы заниматься мелкими месторождениями и низкодебитными скважинами. Мировая практика развитых стран показывает, что малый и средний бизнес в недропользовании – это основной фактор, способствующий разработке небольших месторождений, трудноизвлекаемых и остаточных запасов, введению в действие простаивающих скважин. Эффективность работы малых и средних недропользователей налицо в нефтегазовой отрасли США и Канады, эти компании обеспечивают добычу около 40% добываемой в этих странах, а в России только 10%.  </w:t>
      </w:r>
    </w:p>
    <w:p w:rsidR="008B63EB" w:rsidRPr="00A16A5F" w:rsidRDefault="008B63EB" w:rsidP="00A16A5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6A5F">
        <w:rPr>
          <w:rFonts w:ascii="Times New Roman" w:hAnsi="Times New Roman"/>
          <w:sz w:val="28"/>
          <w:szCs w:val="28"/>
        </w:rPr>
        <w:t xml:space="preserve">В настоящее время развитие малого и среднего нефтедобывающего бизнеса в России, в том числе с участием иностранных инвестиций, сдерживает отсутствие необходимой правовой базы предприятий малого горного бизнеса. В прошлом к малым предприятиям любой отрасли промышленности относились те, среднесписочная численность которых не превышала 200 человек (независимо от статуса и численности их учредителей). Федеральный закон «О государственной поддержке малого предпринимательства в РФ» изменил предельную численность до 100 человек и ввел жесткие критерии для учредителей, существенно сузив круг предприятий, которые можно отнести к малым. </w:t>
      </w:r>
    </w:p>
    <w:p w:rsidR="008B63EB" w:rsidRPr="00A16A5F" w:rsidRDefault="008B63EB" w:rsidP="00A16A5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6A5F">
        <w:rPr>
          <w:rFonts w:ascii="Times New Roman" w:hAnsi="Times New Roman"/>
          <w:sz w:val="28"/>
          <w:szCs w:val="28"/>
        </w:rPr>
        <w:t xml:space="preserve">В данный момент в различных регионах России сложилась своя практика развития малого бизнеса. Так, например, в Республике Карелия, почти 60% добывающих предприятий можно отнести к малому бизнесу. Однако, кроме признаков, относящих их к субъектам малого предпринимательства, практически ничего не отличает их от крупных добывающих предприятий. Развитию этих предприятий препятствует наличие большого количества административных ограничений и преград, преодоление которых требует от персонала управления малых предприятий значительных временных и финансовых затрат.    </w:t>
      </w:r>
    </w:p>
    <w:p w:rsidR="008B63EB" w:rsidRPr="00A16A5F" w:rsidRDefault="008B63EB" w:rsidP="00A16A5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6A5F">
        <w:rPr>
          <w:rFonts w:ascii="Times New Roman" w:hAnsi="Times New Roman"/>
          <w:sz w:val="28"/>
          <w:szCs w:val="28"/>
        </w:rPr>
        <w:t xml:space="preserve">В Республике Татарстан другая практика. Там с </w:t>
      </w:r>
      <w:smartTag w:uri="urn:schemas-microsoft-com:office:smarttags" w:element="metricconverter">
        <w:smartTagPr>
          <w:attr w:name="ProductID" w:val="1997 г"/>
        </w:smartTagPr>
        <w:r w:rsidRPr="00A16A5F">
          <w:rPr>
            <w:rFonts w:ascii="Times New Roman" w:hAnsi="Times New Roman"/>
            <w:sz w:val="28"/>
            <w:szCs w:val="28"/>
          </w:rPr>
          <w:t>1997 г</w:t>
        </w:r>
      </w:smartTag>
      <w:r w:rsidRPr="00A16A5F">
        <w:rPr>
          <w:rFonts w:ascii="Times New Roman" w:hAnsi="Times New Roman"/>
          <w:sz w:val="28"/>
          <w:szCs w:val="28"/>
        </w:rPr>
        <w:t xml:space="preserve">. создано 28 частных малых предприятий, которые начали разработку 56 мелких месторождений с трудноизвлекаемой нефтью и расположенных вдали от нефтедобывающей инфраструктуры. Успешной работе предприятия способствовала планомерная и экономическая поддержка правительства Республики Татарстан посредством создания благоприятного налогового климата. Уместно вспомнить, что и приватизация в Татарстане проводилась не по «беспредельному» варианту. </w:t>
      </w:r>
    </w:p>
    <w:p w:rsidR="008B63EB" w:rsidRPr="00A16A5F" w:rsidRDefault="008B63EB" w:rsidP="00A16A5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6A5F">
        <w:rPr>
          <w:rFonts w:ascii="Times New Roman" w:hAnsi="Times New Roman"/>
          <w:sz w:val="28"/>
          <w:szCs w:val="28"/>
        </w:rPr>
        <w:t xml:space="preserve">Дальнейшее развитие малого и среднего предпринимательства в недропользовании требует от государства содействия в решении накопившихся проблем, в том числе и на государственном уровне, что будет отвечать как частному, так и государственному интересам, которые при разумном государственном подходе должны совпадать. </w:t>
      </w:r>
    </w:p>
    <w:p w:rsidR="008B63EB" w:rsidRPr="00A16A5F" w:rsidRDefault="008B63EB" w:rsidP="00A16A5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6A5F">
        <w:rPr>
          <w:rFonts w:ascii="Times New Roman" w:hAnsi="Times New Roman"/>
          <w:sz w:val="28"/>
          <w:szCs w:val="28"/>
        </w:rPr>
        <w:t>Однако до настоящего времени действующее законодательство не до конца учитывает особенности недропользования для малого и среднего бизнеса в отрасли. Демократы из СПС и «Яблока» в свое время об этом «позаботились».</w:t>
      </w:r>
    </w:p>
    <w:p w:rsidR="008B63EB" w:rsidRPr="00A16A5F" w:rsidRDefault="008B63EB" w:rsidP="00A16A5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6A5F">
        <w:rPr>
          <w:rFonts w:ascii="Times New Roman" w:hAnsi="Times New Roman"/>
          <w:sz w:val="28"/>
          <w:szCs w:val="28"/>
        </w:rPr>
        <w:t xml:space="preserve">Еще одна важная проблема – это утилизация попутных газов. На крупных месторождениях, удаленных от промышленных районов попутный газ нефти (метан) обычно сжигается. Необходимо создавать установки, и даже мини-заводы по утилизации попутного газа, используя наработки наших ученых. По оценкам специалистов такие заводы могут быть сооружены при каждом месторождении в короткие сроки за полтора – два года. В этом случае улучшается экологическая ситуация в регионе добычи нефти, а также частично компенсируются затраты на разработку месторождений. Потенциальная прибыль от переработки попутного газа может составить до 2% от величины продаж извлеченной нефти. </w:t>
      </w:r>
    </w:p>
    <w:p w:rsidR="008B63EB" w:rsidRPr="00A16A5F" w:rsidRDefault="008B63EB" w:rsidP="00A16A5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6A5F">
        <w:rPr>
          <w:rFonts w:ascii="Times New Roman" w:hAnsi="Times New Roman"/>
          <w:sz w:val="28"/>
          <w:szCs w:val="28"/>
        </w:rPr>
        <w:t xml:space="preserve">Одной из важнейших проблем является обеспечение экологической безопасности при реализации крупномасштабных проектов освоения нефтегазовых месторождений шельфа арктических морей и острова Сахалин, а также месторождений Каспийского и Балтийского морей. Эти проекты особенно эффективны в районах, богатых биоресурсами, в том числе - ценными видами рыб и другими объектами водного промысла. </w:t>
      </w:r>
    </w:p>
    <w:p w:rsidR="008B63EB" w:rsidRDefault="008B63EB" w:rsidP="00A16A5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6A5F">
        <w:rPr>
          <w:rFonts w:ascii="Times New Roman" w:hAnsi="Times New Roman"/>
          <w:sz w:val="28"/>
          <w:szCs w:val="28"/>
        </w:rPr>
        <w:t xml:space="preserve">Государственная политика должна это учитывать, равно как и вопросы обеспечения экологической безопасности, последовательное ограничение нагрузки ТЭК на окружающую среду, приближение к соответствующим европейским экологическим нормам.  </w:t>
      </w:r>
    </w:p>
    <w:p w:rsidR="008B63EB" w:rsidRDefault="008B63EB" w:rsidP="00F90D82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8B63EB" w:rsidRDefault="008B63EB" w:rsidP="00A16A5F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A16A5F">
        <w:rPr>
          <w:rFonts w:ascii="Times New Roman" w:hAnsi="Times New Roman"/>
          <w:sz w:val="28"/>
          <w:szCs w:val="28"/>
        </w:rPr>
        <w:t>2.2. Перспективы российской нефтегазовой отрасли</w:t>
      </w:r>
    </w:p>
    <w:p w:rsidR="008B63EB" w:rsidRPr="00A16A5F" w:rsidRDefault="008B63EB" w:rsidP="00A16A5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6A5F">
        <w:rPr>
          <w:rFonts w:ascii="Times New Roman" w:hAnsi="Times New Roman"/>
          <w:sz w:val="28"/>
          <w:szCs w:val="28"/>
        </w:rPr>
        <w:t>Россия обладает крупным потенциалом на мировом энергетическом рынке: к настоящему моменту открыто и разведано более 3 тыс. месторождений углеводородного сырья. Примерно половина из них разрабатывается. Более половины российской нефтедобычи и более 90 % добычи газа сосредоточены в районе Урала и Западной Сибири. Большинство месторождений этого региона отличаются высокой степенью выработки, и потому, сохраняя его в качестве основной углеводородной базы, необходимо развивать и альтернативные регионы добычи.</w:t>
      </w:r>
    </w:p>
    <w:p w:rsidR="008B63EB" w:rsidRPr="00A16A5F" w:rsidRDefault="008B63EB" w:rsidP="00A16A5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6A5F">
        <w:rPr>
          <w:rFonts w:ascii="Times New Roman" w:hAnsi="Times New Roman"/>
          <w:sz w:val="28"/>
          <w:szCs w:val="28"/>
        </w:rPr>
        <w:t>Исходя из официальных оценок, нашедших отражение в «Энергетической стратегии России на период до 2020 года», к 2015-му добыча нефти в нашей стране может составить 530 млн т, а ее экспорт – 310 млн тонн. Главной нефтяной базой останется Западно-Сибирская нефтегазоносная провинция. Будут сформированы новые центры нефтяной промышленности в Восточной Сибири и Республике Саха (Якутия) – добыча до 50 млн т в 2015 году; на шельфе острова Сахалин (25–26 млн т), в Баренцевом море и российском секторе Каспийского моря. Увеличится добыча нефти в Тимано-Печорской провинции.</w:t>
      </w:r>
    </w:p>
    <w:p w:rsidR="008B63EB" w:rsidRPr="00A16A5F" w:rsidRDefault="008B63EB" w:rsidP="00A16A5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6A5F">
        <w:rPr>
          <w:rFonts w:ascii="Times New Roman" w:hAnsi="Times New Roman"/>
          <w:sz w:val="28"/>
          <w:szCs w:val="28"/>
        </w:rPr>
        <w:t>Мощности магистральных нефтепроводов и морских терминалов для экспорта и транзита нефти из России за пределы СНГ способны возрасти к 2015-му в 1,5 раза по сравнению с сегодняшним уровнем. Это позволит реализовать к указанному сроку перспективные объемы экспорта нефти в дальнее зарубежье: примерно по 70 млн т по западному и северо-западному направлениям; около 130 млн т по черноморско-каспийскому направлению; около 80 млн т по восточному направлению; до 25 млн т по северному направлению.</w:t>
      </w:r>
    </w:p>
    <w:p w:rsidR="008B63EB" w:rsidRPr="00A16A5F" w:rsidRDefault="008B63EB" w:rsidP="00A16A5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6A5F">
        <w:rPr>
          <w:rFonts w:ascii="Times New Roman" w:hAnsi="Times New Roman"/>
          <w:sz w:val="28"/>
          <w:szCs w:val="28"/>
        </w:rPr>
        <w:t>К 2015 году добыча газа в России может достигнуть 740 млрд куб. м, а экспорт – 290 млрд куб. м. Добыча газа в Западной Сибири стабилизируется, поэтому весь прирост будет обеспечен за счет ввода в эксплуатацию новых месторождений Восточной Сибири и Дальнего Востока, шельфа северных и дальневосточных морей. Значительные запасы и перспективные ресурсы природного газа Восточной Сибири и Дальнего Востока теоретически позволяют сформировать в данном регионе новые центры газодобычи.</w:t>
      </w:r>
    </w:p>
    <w:p w:rsidR="008B63EB" w:rsidRPr="00A16A5F" w:rsidRDefault="008B63EB" w:rsidP="00A16A5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6A5F">
        <w:rPr>
          <w:rFonts w:ascii="Times New Roman" w:hAnsi="Times New Roman"/>
          <w:sz w:val="28"/>
          <w:szCs w:val="28"/>
        </w:rPr>
        <w:t>Вместе с тем существующие тенденции развития отечественного ТЭКа не позволяют говорить о том, что в ближайшее десятилетие России удастся укрепить свои позиции на мировом рынке, превратив свой энергетический потенциал в политические дивиденды.</w:t>
      </w:r>
    </w:p>
    <w:p w:rsidR="008B63EB" w:rsidRPr="00A16A5F" w:rsidRDefault="008B63EB" w:rsidP="00A16A5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6A5F">
        <w:rPr>
          <w:rFonts w:ascii="Times New Roman" w:hAnsi="Times New Roman"/>
          <w:sz w:val="28"/>
          <w:szCs w:val="28"/>
        </w:rPr>
        <w:t>Возымеют свое действие факторы, сдерживающие рост добычи нефти в России. К главным среди них следует отнести критическое состояние действующей нефтеэкспортной инфраструктуры, а также проблемы воспроизводства минерально-сырьевой базы. Немаловажную роль сыграют политические ограничения в отношении строительства частных трубопроводов и допуска иностранных компаний на российский рынок; низкая инвестиционная активность нефтяных компаний; сужающаяся сырьевая база нефтяных компаний (последствие многолетнего превышения темпов добычи над темпами прироста запасов).</w:t>
      </w:r>
    </w:p>
    <w:p w:rsidR="008B63EB" w:rsidRPr="00A16A5F" w:rsidRDefault="008B63EB" w:rsidP="00A16A5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6A5F">
        <w:rPr>
          <w:rFonts w:ascii="Times New Roman" w:hAnsi="Times New Roman"/>
          <w:sz w:val="28"/>
          <w:szCs w:val="28"/>
        </w:rPr>
        <w:t>Основной фактор, ослабляющий позиции России на рынке нефтепереработки, – это морально и физически устаревшее оборудование, которым оснащено подавляющее большинство российских нефтеперерабатывающих заводов (НПЗ). Поэтому, несмотря на то что в последние годы некоторые компании и проводили их модернизацию, в целом с технической точки зрения качество российской нефтепереработки значительно ниже мировых стандартов.</w:t>
      </w:r>
    </w:p>
    <w:p w:rsidR="008B63EB" w:rsidRPr="00A16A5F" w:rsidRDefault="008B63EB" w:rsidP="00A16A5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6A5F">
        <w:rPr>
          <w:rFonts w:ascii="Times New Roman" w:hAnsi="Times New Roman"/>
          <w:sz w:val="28"/>
          <w:szCs w:val="28"/>
        </w:rPr>
        <w:t xml:space="preserve">Среди первостепенных факторов, не позволяющих увеличивать добычу газа в России, следует указать на следующие: </w:t>
      </w:r>
    </w:p>
    <w:p w:rsidR="008B63EB" w:rsidRPr="00A16A5F" w:rsidRDefault="008B63EB" w:rsidP="00A16A5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A16A5F">
        <w:rPr>
          <w:rFonts w:ascii="Times New Roman" w:hAnsi="Times New Roman"/>
          <w:sz w:val="28"/>
          <w:szCs w:val="28"/>
        </w:rPr>
        <w:t>политика «Газпрома», который в условиях существующих внутренних тарифов на газ не заинтересован в развитии внутреннего рынка;</w:t>
      </w:r>
    </w:p>
    <w:p w:rsidR="008B63EB" w:rsidRPr="00A16A5F" w:rsidRDefault="008B63EB" w:rsidP="00A16A5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A16A5F">
        <w:rPr>
          <w:rFonts w:ascii="Times New Roman" w:hAnsi="Times New Roman"/>
          <w:sz w:val="28"/>
          <w:szCs w:val="28"/>
        </w:rPr>
        <w:t>отставание темпов роста добычи от темпов роста потребления газа;</w:t>
      </w:r>
    </w:p>
    <w:p w:rsidR="008B63EB" w:rsidRPr="00A16A5F" w:rsidRDefault="008B63EB" w:rsidP="00A16A5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A16A5F">
        <w:rPr>
          <w:rFonts w:ascii="Times New Roman" w:hAnsi="Times New Roman"/>
          <w:sz w:val="28"/>
          <w:szCs w:val="28"/>
        </w:rPr>
        <w:t>необходимость инвестировать серьезные средства в разработку новых месторождений;</w:t>
      </w:r>
    </w:p>
    <w:p w:rsidR="008B63EB" w:rsidRPr="00A16A5F" w:rsidRDefault="008B63EB" w:rsidP="00A16A5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A16A5F">
        <w:rPr>
          <w:rFonts w:ascii="Times New Roman" w:hAnsi="Times New Roman"/>
          <w:sz w:val="28"/>
          <w:szCs w:val="28"/>
        </w:rPr>
        <w:t xml:space="preserve">ставка на закупки центральноазиатского газа в ущерб инвестициям в добывающие проекты; </w:t>
      </w:r>
    </w:p>
    <w:p w:rsidR="008B63EB" w:rsidRPr="00A16A5F" w:rsidRDefault="008B63EB" w:rsidP="00A16A5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A16A5F">
        <w:rPr>
          <w:rFonts w:ascii="Times New Roman" w:hAnsi="Times New Roman"/>
          <w:sz w:val="28"/>
          <w:szCs w:val="28"/>
        </w:rPr>
        <w:t>государственная политика по недопущению иностранных компаний в качестве операторов разработки наиболее перспективных объектов (Ямал, Штокмановское месторождение).</w:t>
      </w:r>
    </w:p>
    <w:p w:rsidR="008B63EB" w:rsidRPr="00A16A5F" w:rsidRDefault="008B63EB" w:rsidP="00A16A5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6A5F">
        <w:rPr>
          <w:rFonts w:ascii="Times New Roman" w:hAnsi="Times New Roman"/>
          <w:sz w:val="28"/>
          <w:szCs w:val="28"/>
        </w:rPr>
        <w:t xml:space="preserve">Наконец, следует отметить критическое состояние существующей нефтеэкспортной инфраструктуры и связанную с этим проблему модернизации действующей системы магистральных газопроводов, не говоря уже о монополистическом характере российской газовой отрасли. </w:t>
      </w:r>
    </w:p>
    <w:p w:rsidR="008B63EB" w:rsidRPr="00A16A5F" w:rsidRDefault="008B63EB" w:rsidP="00A16A5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6A5F">
        <w:rPr>
          <w:rFonts w:ascii="Times New Roman" w:hAnsi="Times New Roman"/>
          <w:sz w:val="28"/>
          <w:szCs w:val="28"/>
        </w:rPr>
        <w:t xml:space="preserve">В результате воздействия вышеперечисленных факторов потенциал развития добычи нефти может быть рассчитан лишь на несколько лет. </w:t>
      </w:r>
    </w:p>
    <w:p w:rsidR="008B63EB" w:rsidRPr="00A16A5F" w:rsidRDefault="008B63EB" w:rsidP="00A16A5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6A5F">
        <w:rPr>
          <w:rFonts w:ascii="Times New Roman" w:hAnsi="Times New Roman"/>
          <w:sz w:val="28"/>
          <w:szCs w:val="28"/>
        </w:rPr>
        <w:t>Вследствие неурегулированности налоговой системы и отсутствия мер по стимулированию инвестиций в геологоразведку сырьевые компании не смогут начать осваивать новые крупные месторождения и проводить геолого-разведочные работы. Темпы роста добычи нефти, которые Россия демонстрировала в 2000–2004 годах, вряд ли сохранятся в будущем. К концу второго десятилетия Россия выйдет на максимальную добычу порядка 10–11 млн баррелей в день (530–550 млн т в год) и сохранит этот уровень. К 2010-му российские поставки будут составлять порядка 15 % от объема мирового рынка нефти, а к 2030-му они снизятся до 10 %. Таким образом, с учетом роста мирового потребления доля России на мировом нефтяном рынке имеет тенденцию к снижению.</w:t>
      </w:r>
    </w:p>
    <w:p w:rsidR="008B63EB" w:rsidRPr="00A16A5F" w:rsidRDefault="008B63EB" w:rsidP="00A16A5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6A5F">
        <w:rPr>
          <w:rFonts w:ascii="Times New Roman" w:hAnsi="Times New Roman"/>
          <w:sz w:val="28"/>
          <w:szCs w:val="28"/>
        </w:rPr>
        <w:t>К 2010 году добыча газа на существующих месторождениях в России стабилизируется, и уже к этому времени дефицит газодобычи в Российской Федерации с учетом роста внутреннего спроса и экспорта может составить 75–150 млрд куб. м.</w:t>
      </w:r>
    </w:p>
    <w:p w:rsidR="008B63EB" w:rsidRPr="00A16A5F" w:rsidRDefault="008B63EB" w:rsidP="00A16A5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6A5F">
        <w:rPr>
          <w:rFonts w:ascii="Times New Roman" w:hAnsi="Times New Roman"/>
          <w:sz w:val="28"/>
          <w:szCs w:val="28"/>
        </w:rPr>
        <w:t>Чтобы поддерживать или наращивать добычу и экспорт энергоресурсов, России необходимо приступить к разработкам в неосвоенных районах, прежде всего в Сибири и на шельфе северных морей. Это требует политического решения по привлечению инвестиций (в том числе иностранных). Предполагается, что до 2010-го кардинальных перемен в этой сфере не произойдет, а возможные сдвиги в будущем уже не позволят добиться изменений к 2017 году.</w:t>
      </w:r>
    </w:p>
    <w:p w:rsidR="008B63EB" w:rsidRPr="00A16A5F" w:rsidRDefault="008B63EB" w:rsidP="00A16A5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6A5F">
        <w:rPr>
          <w:rFonts w:ascii="Times New Roman" w:hAnsi="Times New Roman"/>
          <w:sz w:val="28"/>
          <w:szCs w:val="28"/>
        </w:rPr>
        <w:t xml:space="preserve">Несмотря на лидирующие позиции в том, что касается масштабов добычи и транспортировки углеводородов, Россия значительно отстает по уровню использования наиболее перспективных технологий. Руководство страны фактически делает ставку на нефть, уголь и газ как на основные инструменты, позволяющие достичь и сохранить в перспективе статус великой энергетической державы. Между тем изменяющаяся структура мировой энергетики к 2030–2050 годам существенно снизит конкурентные возможности России. </w:t>
      </w:r>
    </w:p>
    <w:p w:rsidR="008B63EB" w:rsidRPr="00A16A5F" w:rsidRDefault="008B63EB" w:rsidP="00A16A5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6A5F">
        <w:rPr>
          <w:rFonts w:ascii="Times New Roman" w:hAnsi="Times New Roman"/>
          <w:sz w:val="28"/>
          <w:szCs w:val="28"/>
        </w:rPr>
        <w:t>Наиболее серьезным и актуальным на среднесрочную перспективу является отставание России в технологиях, связанных с производством и транспортировкой сжиженного природного газа. К настоящему времени на международный рынок поступает в сжиженном виде около четверти всего экспортируемого газа, при этом рынок растет стремительными темпами. Не исключено, что к 2017-му СПГ составит прямую конкуренцию трубопроводному газу.</w:t>
      </w:r>
    </w:p>
    <w:p w:rsidR="008B63EB" w:rsidRPr="00A16A5F" w:rsidRDefault="008B63EB" w:rsidP="00A16A5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6A5F">
        <w:rPr>
          <w:rFonts w:ascii="Times New Roman" w:hAnsi="Times New Roman"/>
          <w:sz w:val="28"/>
          <w:szCs w:val="28"/>
        </w:rPr>
        <w:t>В том, что касается реализации масштабных СПГ-проектов, в России складывается достаточно пессимистическая картина. Практически все объемы СПГ в рамках проекта «Сахалин-2» (единственный российский СПГ-проект, который может быть запущен в ближайшую пятилетку) законтрактованы, а ситуация вокруг остальных СПГ-заводов в настоящее время «провисла». Так, газ Штокмана (наиболее перспективное месторождение с точки зрения поставок СПГ в США) решено переориентировать в Европу, при этом поставлять его трубопроводным транспортом. А СПГ-завод в Усть-Луге даже в случае завершения его строительства до 2017 года в силу своей малой проектной мощности не способен сыграть решающую роль в становлении России как ведущей газовой державы.</w:t>
      </w:r>
    </w:p>
    <w:p w:rsidR="008B63EB" w:rsidRPr="00A16A5F" w:rsidRDefault="008B63EB" w:rsidP="00A16A5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6A5F">
        <w:rPr>
          <w:rFonts w:ascii="Times New Roman" w:hAnsi="Times New Roman"/>
          <w:sz w:val="28"/>
          <w:szCs w:val="28"/>
        </w:rPr>
        <w:t>На ближайшее десятилетие Европа останется базовым рынком в плане сбыта российских углеводородов. Однако следует обратить внимание на ограниченные возможности нефтепроводных поставок. Основной трубопровод «Дружба» требует ремонта, БТС уже вышел на полную мощность, а на южном направлении нефтеэкспорта все российские нефтяные потоки замыкаются на турецкие проливы, и в настоящее время альтернативы этому маршруту нет. Между тем наиболее уязвимым местом в российской транспортной политике на турецком направлении является пропускная способность Босфора. Ожидается, что Турция и в дальнейшем будет проводить политику закрытия своих проливов для прохода нефтетанкеров. Это, с одной стороны, снизит экспортные возможности России, а с другой – подтолкнет Москву к использованию БТД в качестве резервного (а в случае полного перекрытия турецких проливов – основного) маршрута транспортировки нефти на южном направлении.</w:t>
      </w:r>
    </w:p>
    <w:p w:rsidR="008B63EB" w:rsidRPr="00A16A5F" w:rsidRDefault="008B63EB" w:rsidP="00A16A5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6A5F">
        <w:rPr>
          <w:rFonts w:ascii="Times New Roman" w:hAnsi="Times New Roman"/>
          <w:sz w:val="28"/>
          <w:szCs w:val="28"/>
        </w:rPr>
        <w:t xml:space="preserve">Компенсировать потери Россия отчасти сможет за счет нефтепровода Бургас – Александруполис в обход Турции. Но поскольку затраты по добыче и экспорту нефти из России превышают аналогичные затраты на Каспии, то вполне вероятно частичное вытеснение с европейского рынка российской нефти. </w:t>
      </w:r>
    </w:p>
    <w:p w:rsidR="008B63EB" w:rsidRPr="00A16A5F" w:rsidRDefault="008B63EB" w:rsidP="00A16A5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6A5F">
        <w:rPr>
          <w:rFonts w:ascii="Times New Roman" w:hAnsi="Times New Roman"/>
          <w:sz w:val="28"/>
          <w:szCs w:val="28"/>
        </w:rPr>
        <w:t>Вторым по значимости рынком, влияние которого к 2017-му будет возрастать, является Азиатско-Тихоокеанский регион. Между тем на этом направлении возможности России таоже ограниченны в плане объявленного роста (с нынешних 3 % до 30 %) всего объема поставок энергоресурсов. Для достижения показателя следует «перебрасывать» на восток не менее 60 млн т нефти и 65 млрд куб. м газа в год. В ближайшие 10 лет эта задача невыполнима технически и сомнительна с точки зрения инвестиционных возможностей российских компаний.</w:t>
      </w:r>
    </w:p>
    <w:p w:rsidR="008B63EB" w:rsidRPr="00A16A5F" w:rsidRDefault="008B63EB" w:rsidP="00A16A5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6A5F">
        <w:rPr>
          <w:rFonts w:ascii="Times New Roman" w:hAnsi="Times New Roman"/>
          <w:sz w:val="28"/>
          <w:szCs w:val="28"/>
        </w:rPr>
        <w:t>Энергодиалог Россия – США останется в зачаточном состоянии. Скорее всего, ресурсы Штокмановского месторождения будут направлены в Европу, а строительство Северного нефтепровода в Мурманск будет заморожено до 2015 года – срока введения в строй Восточного нефтепровода (на два проекта у «Транснефти» попросту не хватит средств). Доля российской нефти и нефтепродуктов на американском рынке к 2017-му не превысит 5 %. Наиболее вероятно, что эти ограничения не позволят России в ближайшее десятилетие выйти на рынок Северной Америки в качестве одного из крупных игроков.</w:t>
      </w:r>
    </w:p>
    <w:p w:rsidR="008B63EB" w:rsidRPr="00A16A5F" w:rsidRDefault="008B63EB" w:rsidP="00A16A5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6A5F">
        <w:rPr>
          <w:rFonts w:ascii="Times New Roman" w:hAnsi="Times New Roman"/>
          <w:sz w:val="28"/>
          <w:szCs w:val="28"/>
        </w:rPr>
        <w:t>На газовых рынках Европы и АТР Россия столкнется с ростом конкуренции. Основные надежды европейские потребители связывают с диверсификацией поставок за счет увеличения доли в энергетическом балансе нефти и газа Северной Африки (Алжир, Ливия, Египет), а также государств Каспийского региона, Ближнего Востока, Центральной Азии. Ожидаемое в ближайшие 5 лет осуществление ряда трубопроводных проектов (выход БТД на полную мощность, БТЭ с подключением к проекту «Набукко» и пр.) нацелено на то, чтобы ограничить влияние России. В свою очередь Китай реализует несколько проектов, также снижающих его зависимость от российских углеводородов: нефте- и газопроводы из Казахстана, газопровод из Туркмении. Кроме того, будут расширены поставки в КНР нефти из Южной Америки, а также СПГ из Ирана.</w:t>
      </w:r>
    </w:p>
    <w:p w:rsidR="008B63EB" w:rsidRPr="00A16A5F" w:rsidRDefault="008B63EB" w:rsidP="00A16A5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6A5F">
        <w:rPr>
          <w:rFonts w:ascii="Times New Roman" w:hAnsi="Times New Roman"/>
          <w:sz w:val="28"/>
          <w:szCs w:val="28"/>
        </w:rPr>
        <w:t>Тем не менее в Европе Россия сохранит статус регионального энергетического лидера. В ближайшем будущем Европейский союз останется крупнейшим рынком сбыта российских энергоресурсов. Весьма сомнительно, что в скором времени удастся сформировать общеевропейский энергетический рынок и существенно потеснить на нем Россию.</w:t>
      </w:r>
    </w:p>
    <w:p w:rsidR="008B63EB" w:rsidRPr="00A16A5F" w:rsidRDefault="008B63EB" w:rsidP="00A16A5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6A5F">
        <w:rPr>
          <w:rFonts w:ascii="Times New Roman" w:hAnsi="Times New Roman"/>
          <w:sz w:val="28"/>
          <w:szCs w:val="28"/>
        </w:rPr>
        <w:t>Подобной перспективе препятствует целый ряд обстоятельств. В первую очередь неурегулированность многих вопросов в рамках Евросоюза и фактическое отсутствие единой точки зрения на пути обеспечения энергобезопасности. Потеснить Россию не удастся также и ввиду того, что реализация конкретных проектов по внедрению альтернативных источников энергии в Европе ведется в основном на уровне национальных экономик. Этому не способствует и взрывоопасная военно-политическая ситуация в Ближневосточном регионе (особенно вокруг Ирана, на который как на главную альтернативу России в вопросах поставок нефти и газа смотрят практически все потребители российского газа в Европе и на постсоветском пространстве). Нынешнее положение дел на Ближнем Востоке порождает целый ряд политических и военных рисков, препятствующих реализации планов Запада по выстраиванию новых энергетических коридоров.</w:t>
      </w:r>
    </w:p>
    <w:p w:rsidR="008B63EB" w:rsidRPr="00A16A5F" w:rsidRDefault="008B63EB" w:rsidP="00A16A5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6A5F">
        <w:rPr>
          <w:rFonts w:ascii="Times New Roman" w:hAnsi="Times New Roman"/>
          <w:sz w:val="28"/>
          <w:szCs w:val="28"/>
        </w:rPr>
        <w:t xml:space="preserve">Таким образом, основной задачей, стоящей перед Россией в ближайшие 10 лет, является создание условий для того, чтобы минимизировать ожидаемые потери, во-первых, от снижения ее присутствия на мировых рынках нефти и трубопроводного газа, а во-вторых, от снижения </w:t>
      </w:r>
      <w:r>
        <w:rPr>
          <w:rFonts w:ascii="Times New Roman" w:hAnsi="Times New Roman"/>
          <w:sz w:val="28"/>
          <w:szCs w:val="28"/>
        </w:rPr>
        <w:t xml:space="preserve">мировых цен на энергоносители. </w:t>
      </w:r>
    </w:p>
    <w:p w:rsidR="008B63EB" w:rsidRPr="00A16A5F" w:rsidRDefault="008B63EB" w:rsidP="00A16A5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6A5F">
        <w:rPr>
          <w:rFonts w:ascii="Times New Roman" w:hAnsi="Times New Roman"/>
          <w:sz w:val="28"/>
          <w:szCs w:val="28"/>
        </w:rPr>
        <w:t>Как государство, так и крупнейшие нефтегазовые компании в первую очередь должны сосредоточиться на внутреннем секторе газо- и нефтедобычи. Потребуется стимулировать инвестиции в воспроизводство минерально-сырьевой базы и освоение месторождений. При этом важно временно отойти от концепции глобальной энергетической экспансии в пользу инвестиций в национальные добывающие проекты в Восточной Сибири, на Дальнем Востоке, Сах</w:t>
      </w:r>
      <w:r>
        <w:rPr>
          <w:rFonts w:ascii="Times New Roman" w:hAnsi="Times New Roman"/>
          <w:sz w:val="28"/>
          <w:szCs w:val="28"/>
        </w:rPr>
        <w:t xml:space="preserve">алине, северном шельфе и т. п. </w:t>
      </w:r>
    </w:p>
    <w:p w:rsidR="008B63EB" w:rsidRPr="00A16A5F" w:rsidRDefault="008B63EB" w:rsidP="00A16A5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6A5F">
        <w:rPr>
          <w:rFonts w:ascii="Times New Roman" w:hAnsi="Times New Roman"/>
          <w:sz w:val="28"/>
          <w:szCs w:val="28"/>
        </w:rPr>
        <w:t>В то же время с учетом перспектив сохранения влияния Ближнего Востока как основного мирового энергетического центра необходимо сосредоточить усилия на сохранении и расширении присутствия российских компаний в ТЭКе Ирака, Ир</w:t>
      </w:r>
      <w:r>
        <w:rPr>
          <w:rFonts w:ascii="Times New Roman" w:hAnsi="Times New Roman"/>
          <w:sz w:val="28"/>
          <w:szCs w:val="28"/>
        </w:rPr>
        <w:t>ана, других государств региона.</w:t>
      </w:r>
    </w:p>
    <w:p w:rsidR="008B63EB" w:rsidRPr="00A16A5F" w:rsidRDefault="008B63EB" w:rsidP="00A16A5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6A5F">
        <w:rPr>
          <w:rFonts w:ascii="Times New Roman" w:hAnsi="Times New Roman"/>
          <w:sz w:val="28"/>
          <w:szCs w:val="28"/>
        </w:rPr>
        <w:t>Среди первоочередных мер по решению стоящих перед Россией задач следует также указать на необходимость пересмотреть финансовые параметры Соглашения о разделе продукции (СРП), разработать такие механизмы участия иностранных компаний в российских добывающих СПГ-проектах, которые учит</w:t>
      </w:r>
      <w:r>
        <w:rPr>
          <w:rFonts w:ascii="Times New Roman" w:hAnsi="Times New Roman"/>
          <w:sz w:val="28"/>
          <w:szCs w:val="28"/>
        </w:rPr>
        <w:t>ывали бы интересы обеих сторон.</w:t>
      </w:r>
    </w:p>
    <w:p w:rsidR="008B63EB" w:rsidRPr="00A16A5F" w:rsidRDefault="008B63EB" w:rsidP="00A16A5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6A5F">
        <w:rPr>
          <w:rFonts w:ascii="Times New Roman" w:hAnsi="Times New Roman"/>
          <w:sz w:val="28"/>
          <w:szCs w:val="28"/>
        </w:rPr>
        <w:t>Особое внимание надо уделить проектам по производству СПГ, как наиболее перспективным с точки зрения будущего мирового ТЭКа. Также необходимо повысить технологическую безопасность и эффективность р</w:t>
      </w:r>
      <w:r>
        <w:rPr>
          <w:rFonts w:ascii="Times New Roman" w:hAnsi="Times New Roman"/>
          <w:sz w:val="28"/>
          <w:szCs w:val="28"/>
        </w:rPr>
        <w:t>аботы энерготранспортных сетей.</w:t>
      </w:r>
    </w:p>
    <w:p w:rsidR="008B63EB" w:rsidRPr="00A16A5F" w:rsidRDefault="008B63EB" w:rsidP="00A16A5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6A5F">
        <w:rPr>
          <w:rFonts w:ascii="Times New Roman" w:hAnsi="Times New Roman"/>
          <w:sz w:val="28"/>
          <w:szCs w:val="28"/>
        </w:rPr>
        <w:t>Важно расширить поставки углеводородов на рынки в Европе за счет строительства дополнительных энерготранспортных магистралей (в Северную и Южную Европу, на Балканы), а также закрепиться на</w:t>
      </w:r>
      <w:r>
        <w:rPr>
          <w:rFonts w:ascii="Times New Roman" w:hAnsi="Times New Roman"/>
          <w:sz w:val="28"/>
          <w:szCs w:val="28"/>
        </w:rPr>
        <w:t xml:space="preserve"> азиатско-тихоокеанском рынке. </w:t>
      </w:r>
    </w:p>
    <w:p w:rsidR="008B63EB" w:rsidRPr="00A16A5F" w:rsidRDefault="008B63EB" w:rsidP="00A16A5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6A5F">
        <w:rPr>
          <w:rFonts w:ascii="Times New Roman" w:hAnsi="Times New Roman"/>
          <w:sz w:val="28"/>
          <w:szCs w:val="28"/>
        </w:rPr>
        <w:t>Российским нефтегазовым компаниям необходимо использовать благоприятную внешнюю конъюнктуру для реконструкции производственных мощностей с применением современных технологий и для развития сети сбыта, что позволит снизить себестоимость производства и предложить на внешние рынки более конкурентоспособный продукт.</w:t>
      </w:r>
    </w:p>
    <w:p w:rsidR="008B63EB" w:rsidRDefault="008B63EB" w:rsidP="00E01822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8B63EB" w:rsidRDefault="008B63EB" w:rsidP="00E01822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2.3. Современное состояние нефтегазового комплекса РФ</w:t>
      </w:r>
    </w:p>
    <w:p w:rsidR="008B63EB" w:rsidRPr="00E01822" w:rsidRDefault="008B63EB" w:rsidP="00E0182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1822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огласно данным Госкомстата РФ</w:t>
      </w:r>
      <w:r w:rsidRPr="00E01822">
        <w:rPr>
          <w:rFonts w:ascii="Times New Roman" w:hAnsi="Times New Roman"/>
          <w:sz w:val="28"/>
          <w:szCs w:val="28"/>
        </w:rPr>
        <w:t xml:space="preserve"> в 2007 году добыто 491 млн тонн нефти, что на 2,1 % больше, </w:t>
      </w:r>
      <w:r>
        <w:rPr>
          <w:rFonts w:ascii="Times New Roman" w:hAnsi="Times New Roman"/>
          <w:sz w:val="28"/>
          <w:szCs w:val="28"/>
        </w:rPr>
        <w:t>чем в 2006 году (480 млн тонн</w:t>
      </w:r>
      <w:r w:rsidRPr="00E01822">
        <w:rPr>
          <w:rFonts w:ascii="Times New Roman" w:hAnsi="Times New Roman"/>
          <w:sz w:val="28"/>
          <w:szCs w:val="28"/>
        </w:rPr>
        <w:t>), в результате темпы роста добычи нефти в России превысили темпы роста мирового спроса на не</w:t>
      </w:r>
      <w:r>
        <w:rPr>
          <w:rFonts w:ascii="Times New Roman" w:hAnsi="Times New Roman"/>
          <w:sz w:val="28"/>
          <w:szCs w:val="28"/>
        </w:rPr>
        <w:t>фть более чем в полтора раза.</w:t>
      </w:r>
    </w:p>
    <w:p w:rsidR="008B63EB" w:rsidRPr="00E01822" w:rsidRDefault="008B63EB" w:rsidP="00E0182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1822">
        <w:rPr>
          <w:rFonts w:ascii="Times New Roman" w:hAnsi="Times New Roman"/>
          <w:sz w:val="28"/>
          <w:szCs w:val="28"/>
        </w:rPr>
        <w:t>По данным статистического агентства США в 2007 году потребление переработанной нефти в России составило 28,9 % от добычи нефти — 2,8 млн баррелей в день. Чистый экспорт нефти и нефтепродуктов составил 71,1 % от добычи неф</w:t>
      </w:r>
      <w:r>
        <w:rPr>
          <w:rFonts w:ascii="Times New Roman" w:hAnsi="Times New Roman"/>
          <w:sz w:val="28"/>
          <w:szCs w:val="28"/>
        </w:rPr>
        <w:t>ти — 6,9 млн баррелей в день.</w:t>
      </w:r>
    </w:p>
    <w:p w:rsidR="008B63EB" w:rsidRPr="00E01822" w:rsidRDefault="008B63EB" w:rsidP="00E0182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1822">
        <w:rPr>
          <w:rFonts w:ascii="Times New Roman" w:hAnsi="Times New Roman"/>
          <w:sz w:val="28"/>
          <w:szCs w:val="28"/>
        </w:rPr>
        <w:t>Нефть является главной статьёй российского экспорта. По данным Федеральной таможенной службы в 2007 из России было вывезено 233,1 млн тонн сырой нефти на 114,15 млрд долл., что составляет около 32,4 % росс</w:t>
      </w:r>
      <w:r>
        <w:rPr>
          <w:rFonts w:ascii="Times New Roman" w:hAnsi="Times New Roman"/>
          <w:sz w:val="28"/>
          <w:szCs w:val="28"/>
        </w:rPr>
        <w:t>ийского экспорта</w:t>
      </w:r>
      <w:r w:rsidRPr="00E01822">
        <w:rPr>
          <w:rFonts w:ascii="Times New Roman" w:hAnsi="Times New Roman"/>
          <w:sz w:val="28"/>
          <w:szCs w:val="28"/>
        </w:rPr>
        <w:t>. Популярным заблуждением является часто встречающаяся информация о необходимости поставки нефти на экспорт для обеспечения импорта продукции массового потребления. Даже если бы Россия вообще не поставляла нефть на экспорт в 2007 году, торговый баланс России был бы в профиците на 45,7 млрд долл.</w:t>
      </w:r>
    </w:p>
    <w:p w:rsidR="008B63EB" w:rsidRDefault="008B63EB" w:rsidP="00E0182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1822">
        <w:rPr>
          <w:rFonts w:ascii="Times New Roman" w:hAnsi="Times New Roman"/>
          <w:sz w:val="28"/>
          <w:szCs w:val="28"/>
        </w:rPr>
        <w:t>Добычей нефти занимаются несколько нефтяных компаний, крупнейшими из которых по результатам 2007 года являются ОАО «Роснефть»</w:t>
      </w:r>
      <w:r>
        <w:rPr>
          <w:rFonts w:ascii="Times New Roman" w:hAnsi="Times New Roman"/>
          <w:sz w:val="28"/>
          <w:szCs w:val="28"/>
        </w:rPr>
        <w:t>, ОАО «Лукойл» и ОАО «ТНК-BP»</w:t>
      </w:r>
      <w:r w:rsidRPr="00E01822">
        <w:rPr>
          <w:rFonts w:ascii="Times New Roman" w:hAnsi="Times New Roman"/>
          <w:sz w:val="28"/>
          <w:szCs w:val="28"/>
        </w:rPr>
        <w:t xml:space="preserve"> .</w:t>
      </w:r>
    </w:p>
    <w:p w:rsidR="008B63EB" w:rsidRPr="0075103F" w:rsidRDefault="008B63EB" w:rsidP="00374A90">
      <w:pPr>
        <w:spacing w:after="0" w:line="36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2.3.1</w:t>
      </w:r>
    </w:p>
    <w:p w:rsidR="008B63EB" w:rsidRPr="00F37A20" w:rsidRDefault="008B63EB" w:rsidP="00F37A20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Крупнейшие компании Российской Федерации по добыче нефти</w:t>
      </w:r>
    </w:p>
    <w:tbl>
      <w:tblPr>
        <w:tblW w:w="5840" w:type="dxa"/>
        <w:jc w:val="center"/>
        <w:tblLook w:val="00A0" w:firstRow="1" w:lastRow="0" w:firstColumn="1" w:lastColumn="0" w:noHBand="0" w:noVBand="0"/>
      </w:tblPr>
      <w:tblGrid>
        <w:gridCol w:w="1880"/>
        <w:gridCol w:w="663"/>
        <w:gridCol w:w="663"/>
        <w:gridCol w:w="2714"/>
      </w:tblGrid>
      <w:tr w:rsidR="008B63EB" w:rsidRPr="00F77561" w:rsidTr="00374A90">
        <w:trPr>
          <w:trHeight w:val="570"/>
          <w:jc w:val="center"/>
        </w:trPr>
        <w:tc>
          <w:tcPr>
            <w:tcW w:w="18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</w:tcPr>
          <w:p w:rsidR="008B63EB" w:rsidRPr="00E01822" w:rsidRDefault="008B63EB" w:rsidP="00374A90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E01822">
              <w:rPr>
                <w:color w:val="000000"/>
                <w:lang w:eastAsia="ru-RU"/>
              </w:rPr>
              <w:t>Нефтяная компания</w:t>
            </w:r>
          </w:p>
        </w:tc>
        <w:tc>
          <w:tcPr>
            <w:tcW w:w="39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8B63EB" w:rsidRPr="00E01822" w:rsidRDefault="008B63EB" w:rsidP="00374A90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E01822">
              <w:rPr>
                <w:color w:val="000000"/>
                <w:lang w:eastAsia="ru-RU"/>
              </w:rPr>
              <w:t>Чистая прибыль, млрд. долл.</w:t>
            </w:r>
          </w:p>
        </w:tc>
      </w:tr>
      <w:tr w:rsidR="008B63EB" w:rsidRPr="00F77561" w:rsidTr="00374A90">
        <w:trPr>
          <w:trHeight w:val="690"/>
          <w:jc w:val="center"/>
        </w:trPr>
        <w:tc>
          <w:tcPr>
            <w:tcW w:w="18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B63EB" w:rsidRPr="00E01822" w:rsidRDefault="008B63EB" w:rsidP="00E01822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6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B63EB" w:rsidRPr="00E01822" w:rsidRDefault="008B63EB" w:rsidP="00E01822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E01822">
              <w:rPr>
                <w:color w:val="000000"/>
                <w:lang w:eastAsia="ru-RU"/>
              </w:rPr>
              <w:t>2006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B63EB" w:rsidRPr="00E01822" w:rsidRDefault="008B63EB" w:rsidP="00E01822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E01822">
              <w:rPr>
                <w:color w:val="000000"/>
                <w:lang w:eastAsia="ru-RU"/>
              </w:rPr>
              <w:t>2007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B63EB" w:rsidRPr="00E01822" w:rsidRDefault="008B63EB" w:rsidP="00E01822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E01822">
              <w:rPr>
                <w:color w:val="000000"/>
                <w:lang w:eastAsia="ru-RU"/>
              </w:rPr>
              <w:t>4 кв. 2007 − 3 кв. 2008</w:t>
            </w:r>
          </w:p>
        </w:tc>
      </w:tr>
      <w:tr w:rsidR="008B63EB" w:rsidRPr="00F77561" w:rsidTr="00374A90">
        <w:trPr>
          <w:trHeight w:val="300"/>
          <w:jc w:val="center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8B63EB" w:rsidRPr="00E01822" w:rsidRDefault="008B63EB" w:rsidP="00E01822">
            <w:pPr>
              <w:spacing w:after="0" w:line="240" w:lineRule="auto"/>
              <w:rPr>
                <w:color w:val="000000"/>
                <w:lang w:eastAsia="ru-RU"/>
              </w:rPr>
            </w:pPr>
            <w:r w:rsidRPr="00E01822">
              <w:rPr>
                <w:color w:val="000000"/>
                <w:lang w:eastAsia="ru-RU"/>
              </w:rPr>
              <w:t>Роснефть</w:t>
            </w:r>
          </w:p>
        </w:tc>
        <w:tc>
          <w:tcPr>
            <w:tcW w:w="6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8B63EB" w:rsidRPr="00E01822" w:rsidRDefault="008B63EB" w:rsidP="00E01822">
            <w:pPr>
              <w:spacing w:after="0" w:line="240" w:lineRule="auto"/>
              <w:jc w:val="right"/>
              <w:rPr>
                <w:color w:val="000000"/>
                <w:lang w:eastAsia="ru-RU"/>
              </w:rPr>
            </w:pPr>
            <w:r w:rsidRPr="00E01822">
              <w:rPr>
                <w:color w:val="000000"/>
                <w:lang w:eastAsia="ru-RU"/>
              </w:rPr>
              <w:t>3,5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8B63EB" w:rsidRPr="00E01822" w:rsidRDefault="008B63EB" w:rsidP="00E01822">
            <w:pPr>
              <w:spacing w:after="0" w:line="240" w:lineRule="auto"/>
              <w:jc w:val="right"/>
              <w:rPr>
                <w:color w:val="000000"/>
                <w:lang w:eastAsia="ru-RU"/>
              </w:rPr>
            </w:pPr>
            <w:r w:rsidRPr="00E01822">
              <w:rPr>
                <w:color w:val="000000"/>
                <w:lang w:eastAsia="ru-RU"/>
              </w:rPr>
              <w:t>12,9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8B63EB" w:rsidRPr="00E01822" w:rsidRDefault="008B63EB" w:rsidP="00E01822">
            <w:pPr>
              <w:spacing w:after="0" w:line="240" w:lineRule="auto"/>
              <w:jc w:val="right"/>
              <w:rPr>
                <w:color w:val="000000"/>
                <w:lang w:eastAsia="ru-RU"/>
              </w:rPr>
            </w:pPr>
            <w:r w:rsidRPr="00E01822">
              <w:rPr>
                <w:color w:val="000000"/>
                <w:lang w:eastAsia="ru-RU"/>
              </w:rPr>
              <w:t>13,3</w:t>
            </w:r>
          </w:p>
        </w:tc>
      </w:tr>
      <w:tr w:rsidR="008B63EB" w:rsidRPr="00F77561" w:rsidTr="00374A90">
        <w:trPr>
          <w:trHeight w:val="300"/>
          <w:jc w:val="center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8B63EB" w:rsidRPr="00E01822" w:rsidRDefault="008B63EB" w:rsidP="00E01822">
            <w:pPr>
              <w:spacing w:after="0" w:line="240" w:lineRule="auto"/>
              <w:rPr>
                <w:color w:val="000000"/>
                <w:lang w:eastAsia="ru-RU"/>
              </w:rPr>
            </w:pPr>
            <w:r w:rsidRPr="00E01822">
              <w:rPr>
                <w:color w:val="000000"/>
                <w:lang w:eastAsia="ru-RU"/>
              </w:rPr>
              <w:t>Лукойл</w:t>
            </w:r>
          </w:p>
        </w:tc>
        <w:tc>
          <w:tcPr>
            <w:tcW w:w="6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8B63EB" w:rsidRPr="00E01822" w:rsidRDefault="008B63EB" w:rsidP="00E01822">
            <w:pPr>
              <w:spacing w:after="0" w:line="240" w:lineRule="auto"/>
              <w:jc w:val="right"/>
              <w:rPr>
                <w:color w:val="000000"/>
                <w:lang w:eastAsia="ru-RU"/>
              </w:rPr>
            </w:pPr>
            <w:r w:rsidRPr="00E01822">
              <w:rPr>
                <w:color w:val="000000"/>
                <w:lang w:eastAsia="ru-RU"/>
              </w:rPr>
              <w:t>7,5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8B63EB" w:rsidRPr="00E01822" w:rsidRDefault="008B63EB" w:rsidP="00E01822">
            <w:pPr>
              <w:spacing w:after="0" w:line="240" w:lineRule="auto"/>
              <w:jc w:val="right"/>
              <w:rPr>
                <w:color w:val="000000"/>
                <w:lang w:eastAsia="ru-RU"/>
              </w:rPr>
            </w:pPr>
            <w:r w:rsidRPr="00E01822">
              <w:rPr>
                <w:color w:val="000000"/>
                <w:lang w:eastAsia="ru-RU"/>
              </w:rPr>
              <w:t>9,5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8B63EB" w:rsidRPr="00E01822" w:rsidRDefault="008B63EB" w:rsidP="00E01822">
            <w:pPr>
              <w:spacing w:after="0" w:line="240" w:lineRule="auto"/>
              <w:jc w:val="right"/>
              <w:rPr>
                <w:color w:val="000000"/>
                <w:lang w:eastAsia="ru-RU"/>
              </w:rPr>
            </w:pPr>
            <w:r w:rsidRPr="00E01822">
              <w:rPr>
                <w:color w:val="000000"/>
                <w:lang w:eastAsia="ru-RU"/>
              </w:rPr>
              <w:t>13</w:t>
            </w:r>
          </w:p>
        </w:tc>
      </w:tr>
      <w:tr w:rsidR="008B63EB" w:rsidRPr="00F77561" w:rsidTr="00374A90">
        <w:trPr>
          <w:trHeight w:val="300"/>
          <w:jc w:val="center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8B63EB" w:rsidRPr="00E01822" w:rsidRDefault="008B63EB" w:rsidP="00E01822">
            <w:pPr>
              <w:spacing w:after="0" w:line="240" w:lineRule="auto"/>
              <w:rPr>
                <w:color w:val="000000"/>
                <w:lang w:eastAsia="ru-RU"/>
              </w:rPr>
            </w:pPr>
            <w:r w:rsidRPr="00E01822">
              <w:rPr>
                <w:color w:val="000000"/>
                <w:lang w:eastAsia="ru-RU"/>
              </w:rPr>
              <w:t>ТНК-BP</w:t>
            </w:r>
          </w:p>
        </w:tc>
        <w:tc>
          <w:tcPr>
            <w:tcW w:w="6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8B63EB" w:rsidRPr="00E01822" w:rsidRDefault="008B63EB" w:rsidP="00E01822">
            <w:pPr>
              <w:spacing w:after="0" w:line="240" w:lineRule="auto"/>
              <w:jc w:val="right"/>
              <w:rPr>
                <w:color w:val="000000"/>
                <w:lang w:eastAsia="ru-RU"/>
              </w:rPr>
            </w:pPr>
            <w:r w:rsidRPr="00E01822">
              <w:rPr>
                <w:color w:val="000000"/>
                <w:lang w:eastAsia="ru-RU"/>
              </w:rPr>
              <w:t>6,4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8B63EB" w:rsidRPr="00E01822" w:rsidRDefault="008B63EB" w:rsidP="00E01822">
            <w:pPr>
              <w:spacing w:after="0" w:line="240" w:lineRule="auto"/>
              <w:jc w:val="right"/>
              <w:rPr>
                <w:color w:val="000000"/>
                <w:lang w:eastAsia="ru-RU"/>
              </w:rPr>
            </w:pPr>
            <w:r w:rsidRPr="00E01822">
              <w:rPr>
                <w:color w:val="000000"/>
                <w:lang w:eastAsia="ru-RU"/>
              </w:rPr>
              <w:t>5,7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8B63EB" w:rsidRPr="00E01822" w:rsidRDefault="008B63EB" w:rsidP="00E01822">
            <w:pPr>
              <w:spacing w:after="0" w:line="240" w:lineRule="auto"/>
              <w:jc w:val="right"/>
              <w:rPr>
                <w:color w:val="000000"/>
                <w:lang w:eastAsia="ru-RU"/>
              </w:rPr>
            </w:pPr>
            <w:r w:rsidRPr="00E01822">
              <w:rPr>
                <w:color w:val="000000"/>
                <w:lang w:eastAsia="ru-RU"/>
              </w:rPr>
              <w:t>8,3</w:t>
            </w:r>
          </w:p>
        </w:tc>
      </w:tr>
      <w:tr w:rsidR="008B63EB" w:rsidRPr="00F77561" w:rsidTr="00374A90">
        <w:trPr>
          <w:trHeight w:val="300"/>
          <w:jc w:val="center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8B63EB" w:rsidRPr="00E01822" w:rsidRDefault="008B63EB" w:rsidP="00E01822">
            <w:pPr>
              <w:spacing w:after="0" w:line="240" w:lineRule="auto"/>
              <w:rPr>
                <w:color w:val="000000"/>
                <w:lang w:eastAsia="ru-RU"/>
              </w:rPr>
            </w:pPr>
            <w:r w:rsidRPr="00E01822">
              <w:rPr>
                <w:color w:val="000000"/>
                <w:lang w:eastAsia="ru-RU"/>
              </w:rPr>
              <w:t>Сургутнефтегаз</w:t>
            </w:r>
          </w:p>
        </w:tc>
        <w:tc>
          <w:tcPr>
            <w:tcW w:w="6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8B63EB" w:rsidRPr="00E01822" w:rsidRDefault="008B63EB" w:rsidP="00E01822">
            <w:pPr>
              <w:spacing w:after="0" w:line="240" w:lineRule="auto"/>
              <w:jc w:val="right"/>
              <w:rPr>
                <w:color w:val="000000"/>
                <w:lang w:eastAsia="ru-RU"/>
              </w:rPr>
            </w:pPr>
            <w:r w:rsidRPr="00E01822">
              <w:rPr>
                <w:color w:val="000000"/>
                <w:lang w:eastAsia="ru-RU"/>
              </w:rPr>
              <w:t>2,8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8B63EB" w:rsidRPr="00E01822" w:rsidRDefault="008B63EB" w:rsidP="00E01822">
            <w:pPr>
              <w:spacing w:after="0" w:line="240" w:lineRule="auto"/>
              <w:jc w:val="right"/>
              <w:rPr>
                <w:color w:val="000000"/>
                <w:lang w:eastAsia="ru-RU"/>
              </w:rPr>
            </w:pPr>
            <w:r w:rsidRPr="00E01822">
              <w:rPr>
                <w:color w:val="000000"/>
                <w:lang w:eastAsia="ru-RU"/>
              </w:rPr>
              <w:t>3,5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8B63EB" w:rsidRPr="00E01822" w:rsidRDefault="008B63EB" w:rsidP="00E01822">
            <w:pPr>
              <w:spacing w:after="0" w:line="240" w:lineRule="auto"/>
              <w:jc w:val="right"/>
              <w:rPr>
                <w:color w:val="000000"/>
                <w:lang w:eastAsia="ru-RU"/>
              </w:rPr>
            </w:pPr>
            <w:r w:rsidRPr="00E01822">
              <w:rPr>
                <w:color w:val="000000"/>
                <w:lang w:eastAsia="ru-RU"/>
              </w:rPr>
              <w:t>6,3</w:t>
            </w:r>
          </w:p>
        </w:tc>
      </w:tr>
      <w:tr w:rsidR="008B63EB" w:rsidRPr="00F77561" w:rsidTr="00374A90">
        <w:trPr>
          <w:trHeight w:val="300"/>
          <w:jc w:val="center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8B63EB" w:rsidRPr="00E01822" w:rsidRDefault="008B63EB" w:rsidP="00E01822">
            <w:pPr>
              <w:spacing w:after="0" w:line="240" w:lineRule="auto"/>
              <w:rPr>
                <w:color w:val="000000"/>
                <w:lang w:eastAsia="ru-RU"/>
              </w:rPr>
            </w:pPr>
            <w:r w:rsidRPr="00E01822">
              <w:rPr>
                <w:color w:val="000000"/>
                <w:lang w:eastAsia="ru-RU"/>
              </w:rPr>
              <w:t>Газпром нефть</w:t>
            </w:r>
          </w:p>
        </w:tc>
        <w:tc>
          <w:tcPr>
            <w:tcW w:w="6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8B63EB" w:rsidRPr="00E01822" w:rsidRDefault="008B63EB" w:rsidP="00E01822">
            <w:pPr>
              <w:spacing w:after="0" w:line="240" w:lineRule="auto"/>
              <w:jc w:val="right"/>
              <w:rPr>
                <w:color w:val="000000"/>
                <w:lang w:eastAsia="ru-RU"/>
              </w:rPr>
            </w:pPr>
            <w:r w:rsidRPr="00E01822">
              <w:rPr>
                <w:color w:val="000000"/>
                <w:lang w:eastAsia="ru-RU"/>
              </w:rPr>
              <w:t>3,7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8B63EB" w:rsidRPr="00E01822" w:rsidRDefault="008B63EB" w:rsidP="00E01822">
            <w:pPr>
              <w:spacing w:after="0" w:line="240" w:lineRule="auto"/>
              <w:jc w:val="right"/>
              <w:rPr>
                <w:color w:val="000000"/>
                <w:lang w:eastAsia="ru-RU"/>
              </w:rPr>
            </w:pPr>
            <w:r w:rsidRPr="00E01822">
              <w:rPr>
                <w:color w:val="000000"/>
                <w:lang w:eastAsia="ru-RU"/>
              </w:rPr>
              <w:t>4,1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8B63EB" w:rsidRPr="00E01822" w:rsidRDefault="008B63EB" w:rsidP="00E01822">
            <w:pPr>
              <w:spacing w:after="0" w:line="240" w:lineRule="auto"/>
              <w:jc w:val="right"/>
              <w:rPr>
                <w:color w:val="000000"/>
                <w:lang w:eastAsia="ru-RU"/>
              </w:rPr>
            </w:pPr>
            <w:r w:rsidRPr="00E01822">
              <w:rPr>
                <w:color w:val="000000"/>
                <w:lang w:eastAsia="ru-RU"/>
              </w:rPr>
              <w:t>5,9</w:t>
            </w:r>
          </w:p>
        </w:tc>
      </w:tr>
      <w:tr w:rsidR="008B63EB" w:rsidRPr="00F77561" w:rsidTr="00374A90">
        <w:trPr>
          <w:trHeight w:val="300"/>
          <w:jc w:val="center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8B63EB" w:rsidRPr="00E01822" w:rsidRDefault="008B63EB" w:rsidP="00E01822">
            <w:pPr>
              <w:spacing w:after="0" w:line="240" w:lineRule="auto"/>
              <w:rPr>
                <w:color w:val="000000"/>
                <w:lang w:eastAsia="ru-RU"/>
              </w:rPr>
            </w:pPr>
            <w:r w:rsidRPr="00E01822">
              <w:rPr>
                <w:color w:val="000000"/>
                <w:lang w:eastAsia="ru-RU"/>
              </w:rPr>
              <w:t>Татнефть</w:t>
            </w:r>
          </w:p>
        </w:tc>
        <w:tc>
          <w:tcPr>
            <w:tcW w:w="6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8B63EB" w:rsidRPr="00E01822" w:rsidRDefault="008B63EB" w:rsidP="00E01822">
            <w:pPr>
              <w:spacing w:after="0" w:line="240" w:lineRule="auto"/>
              <w:jc w:val="right"/>
              <w:rPr>
                <w:color w:val="000000"/>
                <w:lang w:eastAsia="ru-RU"/>
              </w:rPr>
            </w:pPr>
            <w:r w:rsidRPr="00E01822">
              <w:rPr>
                <w:color w:val="000000"/>
                <w:lang w:eastAsia="ru-RU"/>
              </w:rPr>
              <w:t>1,1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8B63EB" w:rsidRPr="00E01822" w:rsidRDefault="008B63EB" w:rsidP="00E01822">
            <w:pPr>
              <w:spacing w:after="0" w:line="240" w:lineRule="auto"/>
              <w:jc w:val="right"/>
              <w:rPr>
                <w:color w:val="000000"/>
                <w:lang w:eastAsia="ru-RU"/>
              </w:rPr>
            </w:pPr>
            <w:r w:rsidRPr="00E01822">
              <w:rPr>
                <w:color w:val="000000"/>
                <w:lang w:eastAsia="ru-RU"/>
              </w:rPr>
              <w:t>1,7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8B63EB" w:rsidRPr="00E01822" w:rsidRDefault="008B63EB" w:rsidP="00E01822">
            <w:pPr>
              <w:spacing w:after="0" w:line="240" w:lineRule="auto"/>
              <w:jc w:val="right"/>
              <w:rPr>
                <w:color w:val="000000"/>
                <w:lang w:eastAsia="ru-RU"/>
              </w:rPr>
            </w:pPr>
            <w:r w:rsidRPr="00E01822">
              <w:rPr>
                <w:color w:val="000000"/>
                <w:lang w:eastAsia="ru-RU"/>
              </w:rPr>
              <w:t>1,9</w:t>
            </w:r>
          </w:p>
        </w:tc>
      </w:tr>
      <w:tr w:rsidR="008B63EB" w:rsidRPr="00F77561" w:rsidTr="00374A90">
        <w:trPr>
          <w:trHeight w:val="300"/>
          <w:jc w:val="center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8B63EB" w:rsidRPr="00E01822" w:rsidRDefault="008B63EB" w:rsidP="00E01822">
            <w:pPr>
              <w:spacing w:after="0" w:line="240" w:lineRule="auto"/>
              <w:rPr>
                <w:color w:val="000000"/>
                <w:lang w:eastAsia="ru-RU"/>
              </w:rPr>
            </w:pPr>
            <w:r w:rsidRPr="00E01822">
              <w:rPr>
                <w:color w:val="000000"/>
                <w:lang w:eastAsia="ru-RU"/>
              </w:rPr>
              <w:t>Славнефть</w:t>
            </w:r>
          </w:p>
        </w:tc>
        <w:tc>
          <w:tcPr>
            <w:tcW w:w="6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8B63EB" w:rsidRPr="00E01822" w:rsidRDefault="008B63EB" w:rsidP="00E01822">
            <w:pPr>
              <w:spacing w:after="0" w:line="240" w:lineRule="auto"/>
              <w:jc w:val="right"/>
              <w:rPr>
                <w:color w:val="000000"/>
                <w:lang w:eastAsia="ru-RU"/>
              </w:rPr>
            </w:pPr>
            <w:r w:rsidRPr="00E01822">
              <w:rPr>
                <w:color w:val="000000"/>
                <w:lang w:eastAsia="ru-RU"/>
              </w:rPr>
              <w:t>1,2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8B63EB" w:rsidRPr="00E01822" w:rsidRDefault="008B63EB" w:rsidP="00E01822">
            <w:pPr>
              <w:spacing w:after="0" w:line="240" w:lineRule="auto"/>
              <w:jc w:val="right"/>
              <w:rPr>
                <w:color w:val="000000"/>
                <w:lang w:eastAsia="ru-RU"/>
              </w:rPr>
            </w:pPr>
            <w:r w:rsidRPr="00E01822">
              <w:rPr>
                <w:color w:val="000000"/>
                <w:lang w:eastAsia="ru-RU"/>
              </w:rPr>
              <w:t>0,7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8B63EB" w:rsidRPr="00E01822" w:rsidRDefault="008B63EB" w:rsidP="00E01822">
            <w:pPr>
              <w:spacing w:after="0" w:line="240" w:lineRule="auto"/>
              <w:jc w:val="right"/>
              <w:rPr>
                <w:color w:val="000000"/>
                <w:lang w:eastAsia="ru-RU"/>
              </w:rPr>
            </w:pPr>
            <w:r w:rsidRPr="00E01822">
              <w:rPr>
                <w:color w:val="000000"/>
                <w:lang w:eastAsia="ru-RU"/>
              </w:rPr>
              <w:t>0,5</w:t>
            </w:r>
          </w:p>
        </w:tc>
      </w:tr>
      <w:tr w:rsidR="008B63EB" w:rsidRPr="00F77561" w:rsidTr="00374A90">
        <w:trPr>
          <w:trHeight w:val="300"/>
          <w:jc w:val="center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8B63EB" w:rsidRPr="00E01822" w:rsidRDefault="008B63EB" w:rsidP="00E01822">
            <w:pPr>
              <w:spacing w:after="0" w:line="240" w:lineRule="auto"/>
              <w:rPr>
                <w:color w:val="000000"/>
                <w:lang w:eastAsia="ru-RU"/>
              </w:rPr>
            </w:pPr>
            <w:r w:rsidRPr="00E01822">
              <w:rPr>
                <w:color w:val="000000"/>
                <w:lang w:eastAsia="ru-RU"/>
              </w:rPr>
              <w:t>Башнефть</w:t>
            </w:r>
          </w:p>
        </w:tc>
        <w:tc>
          <w:tcPr>
            <w:tcW w:w="6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8B63EB" w:rsidRPr="00E01822" w:rsidRDefault="008B63EB" w:rsidP="00E01822">
            <w:pPr>
              <w:spacing w:after="0" w:line="240" w:lineRule="auto"/>
              <w:jc w:val="right"/>
              <w:rPr>
                <w:color w:val="000000"/>
                <w:lang w:eastAsia="ru-RU"/>
              </w:rPr>
            </w:pPr>
            <w:r w:rsidRPr="00E01822">
              <w:rPr>
                <w:color w:val="000000"/>
                <w:lang w:eastAsia="ru-RU"/>
              </w:rPr>
              <w:t>0,3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8B63EB" w:rsidRPr="00E01822" w:rsidRDefault="008B63EB" w:rsidP="00E01822">
            <w:pPr>
              <w:spacing w:after="0" w:line="240" w:lineRule="auto"/>
              <w:jc w:val="right"/>
              <w:rPr>
                <w:color w:val="000000"/>
                <w:lang w:eastAsia="ru-RU"/>
              </w:rPr>
            </w:pPr>
            <w:r w:rsidRPr="00E01822">
              <w:rPr>
                <w:color w:val="000000"/>
                <w:lang w:eastAsia="ru-RU"/>
              </w:rPr>
              <w:t>0,4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8B63EB" w:rsidRPr="00E01822" w:rsidRDefault="008B63EB" w:rsidP="00E01822">
            <w:pPr>
              <w:spacing w:after="0" w:line="240" w:lineRule="auto"/>
              <w:jc w:val="right"/>
              <w:rPr>
                <w:color w:val="000000"/>
                <w:lang w:eastAsia="ru-RU"/>
              </w:rPr>
            </w:pPr>
            <w:r w:rsidRPr="00E01822">
              <w:rPr>
                <w:color w:val="000000"/>
                <w:lang w:eastAsia="ru-RU"/>
              </w:rPr>
              <w:t>0,5</w:t>
            </w:r>
          </w:p>
        </w:tc>
      </w:tr>
      <w:tr w:rsidR="008B63EB" w:rsidRPr="00F77561" w:rsidTr="00374A90">
        <w:trPr>
          <w:trHeight w:val="315"/>
          <w:jc w:val="center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8B63EB" w:rsidRPr="00E01822" w:rsidRDefault="008B63EB" w:rsidP="00E01822">
            <w:pPr>
              <w:spacing w:after="0" w:line="240" w:lineRule="auto"/>
              <w:rPr>
                <w:color w:val="000000"/>
                <w:lang w:eastAsia="ru-RU"/>
              </w:rPr>
            </w:pPr>
            <w:r w:rsidRPr="00E01822">
              <w:rPr>
                <w:color w:val="000000"/>
                <w:lang w:eastAsia="ru-RU"/>
              </w:rPr>
              <w:t>Итого для TOP-8</w:t>
            </w:r>
          </w:p>
        </w:tc>
        <w:tc>
          <w:tcPr>
            <w:tcW w:w="6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B63EB" w:rsidRPr="00E01822" w:rsidRDefault="008B63EB" w:rsidP="00E01822">
            <w:pPr>
              <w:spacing w:after="0" w:line="240" w:lineRule="auto"/>
              <w:jc w:val="right"/>
              <w:rPr>
                <w:color w:val="000000"/>
                <w:lang w:eastAsia="ru-RU"/>
              </w:rPr>
            </w:pPr>
            <w:r w:rsidRPr="00E01822">
              <w:rPr>
                <w:color w:val="000000"/>
                <w:lang w:eastAsia="ru-RU"/>
              </w:rPr>
              <w:t>26,5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B63EB" w:rsidRPr="00E01822" w:rsidRDefault="008B63EB" w:rsidP="00E01822">
            <w:pPr>
              <w:spacing w:after="0" w:line="240" w:lineRule="auto"/>
              <w:jc w:val="right"/>
              <w:rPr>
                <w:color w:val="000000"/>
                <w:lang w:eastAsia="ru-RU"/>
              </w:rPr>
            </w:pPr>
            <w:r w:rsidRPr="00E01822">
              <w:rPr>
                <w:color w:val="000000"/>
                <w:lang w:eastAsia="ru-RU"/>
              </w:rPr>
              <w:t>38,5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B63EB" w:rsidRPr="00E01822" w:rsidRDefault="008B63EB" w:rsidP="00E01822">
            <w:pPr>
              <w:spacing w:after="0" w:line="240" w:lineRule="auto"/>
              <w:jc w:val="right"/>
              <w:rPr>
                <w:color w:val="000000"/>
                <w:lang w:eastAsia="ru-RU"/>
              </w:rPr>
            </w:pPr>
            <w:r w:rsidRPr="00E01822">
              <w:rPr>
                <w:color w:val="000000"/>
                <w:lang w:eastAsia="ru-RU"/>
              </w:rPr>
              <w:t>49,7</w:t>
            </w:r>
          </w:p>
        </w:tc>
      </w:tr>
    </w:tbl>
    <w:p w:rsidR="008B63EB" w:rsidRDefault="008B63EB" w:rsidP="00374A90">
      <w:pPr>
        <w:spacing w:after="0" w:line="36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8B63EB" w:rsidRDefault="008B63EB" w:rsidP="00374A90">
      <w:pPr>
        <w:spacing w:after="0" w:line="36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8B63EB" w:rsidRDefault="008B63EB" w:rsidP="00374A90">
      <w:pPr>
        <w:spacing w:after="0" w:line="36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8B63EB" w:rsidRDefault="008B63EB" w:rsidP="00374A90">
      <w:pPr>
        <w:spacing w:after="0" w:line="36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8B63EB" w:rsidRDefault="008B63EB" w:rsidP="00374A90">
      <w:pPr>
        <w:spacing w:after="0" w:line="36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8B63EB" w:rsidRDefault="008B63EB" w:rsidP="00374A90">
      <w:pPr>
        <w:spacing w:after="0" w:line="36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8B63EB" w:rsidRDefault="008B63EB" w:rsidP="00374A90">
      <w:pPr>
        <w:spacing w:after="0" w:line="36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8B63EB" w:rsidRDefault="008B63EB" w:rsidP="00374A90">
      <w:pPr>
        <w:spacing w:after="0" w:line="36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Рис.1</w:t>
      </w:r>
    </w:p>
    <w:p w:rsidR="008B63EB" w:rsidRDefault="0098277F" w:rsidP="00374A90">
      <w:pPr>
        <w:pStyle w:val="11"/>
        <w:spacing w:after="0" w:line="360" w:lineRule="auto"/>
        <w:ind w:left="0" w:firstLine="709"/>
        <w:contextualSpacing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6" o:spid="_x0000_i1025" type="#_x0000_t75" style="width:326.25pt;height:177.75pt;visibility:visible">
            <v:imagedata r:id="rId7" o:title=""/>
          </v:shape>
        </w:pict>
      </w:r>
    </w:p>
    <w:p w:rsidR="008B63EB" w:rsidRDefault="008B63EB" w:rsidP="00A16A5F">
      <w:pPr>
        <w:pStyle w:val="11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25B83">
        <w:rPr>
          <w:rFonts w:ascii="Times New Roman" w:hAnsi="Times New Roman"/>
          <w:sz w:val="28"/>
          <w:szCs w:val="28"/>
        </w:rPr>
        <w:t>Удельный вес экспорта нефти в общем объеме российского экспорта в январе-октябре 2009г. составил 33,5%, в экспорте топливно-энергетических товаров - 50,4% (в январе-октябре 2008г., соответственно, 35,6% и 51,3%).</w:t>
      </w:r>
    </w:p>
    <w:p w:rsidR="008B63EB" w:rsidRDefault="008B63EB" w:rsidP="00925B83">
      <w:pPr>
        <w:pStyle w:val="11"/>
        <w:spacing w:after="0" w:line="360" w:lineRule="auto"/>
        <w:ind w:left="0" w:firstLine="709"/>
        <w:contextualSpacing w:val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Рис.2</w:t>
      </w:r>
    </w:p>
    <w:p w:rsidR="008B63EB" w:rsidRDefault="0098277F" w:rsidP="00374A90">
      <w:pPr>
        <w:pStyle w:val="11"/>
        <w:spacing w:after="0" w:line="360" w:lineRule="auto"/>
        <w:ind w:left="0" w:firstLine="709"/>
        <w:contextualSpacing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Рисунок 7" o:spid="_x0000_i1026" type="#_x0000_t75" style="width:378.75pt;height:247.5pt;visibility:visible">
            <v:imagedata r:id="rId8" o:title=""/>
          </v:shape>
        </w:pict>
      </w:r>
    </w:p>
    <w:p w:rsidR="008B63EB" w:rsidRDefault="008B63EB" w:rsidP="00A16A5F">
      <w:pPr>
        <w:pStyle w:val="11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25B83">
        <w:rPr>
          <w:rFonts w:ascii="Times New Roman" w:hAnsi="Times New Roman"/>
          <w:sz w:val="28"/>
          <w:szCs w:val="28"/>
        </w:rPr>
        <w:t>В октябре 2009г. средняя фактическая экспортная цена на нефть составила 478,2 доллара США за 1 тонну (100,6% к сентябрю 2009г.). Средняя цена мирового рынка на нефть "Юралс" составляла 529,3 доллара США за 1 тонну (108,0% к сентябрю 2009г.).</w:t>
      </w:r>
    </w:p>
    <w:p w:rsidR="008B63EB" w:rsidRDefault="008B63EB">
      <w:pPr>
        <w:rPr>
          <w:rFonts w:ascii="Times New Roman" w:hAnsi="Times New Roman"/>
          <w:sz w:val="28"/>
          <w:szCs w:val="28"/>
        </w:rPr>
      </w:pPr>
    </w:p>
    <w:p w:rsidR="008B63EB" w:rsidRDefault="008B63EB" w:rsidP="00374A90">
      <w:pPr>
        <w:pStyle w:val="11"/>
        <w:spacing w:after="0" w:line="360" w:lineRule="auto"/>
        <w:ind w:left="0" w:firstLine="709"/>
        <w:contextualSpacing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Заключение</w:t>
      </w:r>
    </w:p>
    <w:p w:rsidR="008B63EB" w:rsidRPr="00374A90" w:rsidRDefault="008B63EB" w:rsidP="00374A9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74A90">
        <w:rPr>
          <w:rFonts w:ascii="Times New Roman" w:hAnsi="Times New Roman"/>
          <w:sz w:val="28"/>
          <w:szCs w:val="28"/>
        </w:rPr>
        <w:t xml:space="preserve">На сегодняшний день стало ясно, что нефтяная отрасль способна стать «локомотивом» дальнейшего развития страны. Однако нефтяные компании нуждаются в поддержке государства в продвижении на внешние рынки, тем более, что большая часть транспортной сети принадлежит государству. Кроме того, российским компаниям стратегические капиталовложения для поддержания и увеличения уровня добычи. Внутри страны возможности для таких инвестиций ограничены, поэтому требуется активизация диалога по данному вопросу с иностранными партнёрами, которая невозможна без участия государства. В данных аспектах Россия ещё недостаточно активна, но в последнее время ситуация начинает меняться: многие эксперты считают, что поворотным моментом может стать опыт инвестирования 6,75 млрд. долларов компанией </w:t>
      </w:r>
      <w:r w:rsidRPr="00374A90">
        <w:rPr>
          <w:rFonts w:ascii="Times New Roman" w:hAnsi="Times New Roman"/>
          <w:sz w:val="28"/>
          <w:szCs w:val="28"/>
          <w:lang w:val="en-US"/>
        </w:rPr>
        <w:t>British</w:t>
      </w:r>
      <w:r w:rsidRPr="00374A90">
        <w:rPr>
          <w:rFonts w:ascii="Times New Roman" w:hAnsi="Times New Roman"/>
          <w:sz w:val="28"/>
          <w:szCs w:val="28"/>
        </w:rPr>
        <w:t xml:space="preserve"> </w:t>
      </w:r>
      <w:r w:rsidRPr="00374A90">
        <w:rPr>
          <w:rFonts w:ascii="Times New Roman" w:hAnsi="Times New Roman"/>
          <w:sz w:val="28"/>
          <w:szCs w:val="28"/>
          <w:lang w:val="en-US"/>
        </w:rPr>
        <w:t>Petroleum</w:t>
      </w:r>
      <w:r w:rsidRPr="00374A90">
        <w:rPr>
          <w:rFonts w:ascii="Times New Roman" w:hAnsi="Times New Roman"/>
          <w:sz w:val="28"/>
          <w:szCs w:val="28"/>
        </w:rPr>
        <w:t xml:space="preserve"> в ТНК. Всё же нельзя не заметить, что политика правительства в данном направлении несколько хаотична.</w:t>
      </w:r>
    </w:p>
    <w:p w:rsidR="008B63EB" w:rsidRPr="00374A90" w:rsidRDefault="008B63EB" w:rsidP="00374A9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74A90">
        <w:rPr>
          <w:rFonts w:ascii="Times New Roman" w:hAnsi="Times New Roman"/>
          <w:sz w:val="28"/>
          <w:szCs w:val="28"/>
        </w:rPr>
        <w:t>Необходимо отметить, что уже сегодня нефтяная отрасль России способна стать важным элементом обеспечения национальной безопасности страны как на внутренней, так и на международной арене. России необходимо использовать свои уникальные сырьевые возможности и, прежде всего, нефть для решения внешнеполитических задач. Первые шаги в этом направлении уже совершаются. Нашим партнёрам по СНГ приходится учитывать фактор нефтяной зависимости от России и уникальные транзитные возможности, позволяющие ей во многом контролировать доступ нефти из Средней Азии и Казахстана к потребителям. Европейский нефтяной рынок на треть зависит от России, поэтому европейским государствам также приходится учитывать топливный фактор в политике России. Однако ЕС является основным источником инвестиций для российской экономики, поэтому наблюдается своеобразная взаимозависимость, которая уменьшает значение нефтяного фактора в политике России в это регионе. Россия только ещё выходит на рынки США и Азии, поэтому говорить об использовании нефтяного фактора во внешней политике страны в этих районах мира пока преждевременно. В общем, можно сказать, что потенциал нефтяного фактора во внешней политике России используется далеко не на сто процентов. Говоря о тенденциях на будущее, необходимо отметить, что в последнее время наблюдается рост экспорта нефти и, одновременно увеличение роли нефтяного фактора во внешней политике страны.</w:t>
      </w:r>
    </w:p>
    <w:p w:rsidR="008B63EB" w:rsidRPr="00374A90" w:rsidRDefault="008B63EB" w:rsidP="00374A9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74A90">
        <w:rPr>
          <w:rFonts w:ascii="Times New Roman" w:hAnsi="Times New Roman"/>
          <w:sz w:val="28"/>
          <w:szCs w:val="28"/>
        </w:rPr>
        <w:t>Эффективное решение вопросов привлечения иностранного капитала в развитие нефтяного комплекса России требует государственного подхода  и одновременного решения вопросов по предотвращению утечки капиталов за границу при экспорте нефти и восстановлению взаимовыгодного сотрудничества между предприятиями нефтяного комплекса стран СНГ</w:t>
      </w:r>
      <w:bookmarkStart w:id="0" w:name="OCRUncertain293"/>
      <w:r w:rsidRPr="00374A90">
        <w:rPr>
          <w:rFonts w:ascii="Times New Roman" w:hAnsi="Times New Roman"/>
          <w:sz w:val="28"/>
          <w:szCs w:val="28"/>
        </w:rPr>
        <w:t>.</w:t>
      </w:r>
      <w:bookmarkEnd w:id="0"/>
      <w:r w:rsidRPr="00374A90">
        <w:rPr>
          <w:rFonts w:ascii="Times New Roman" w:hAnsi="Times New Roman"/>
          <w:sz w:val="28"/>
          <w:szCs w:val="28"/>
        </w:rPr>
        <w:t xml:space="preserve"> Основным источником стабилизации экспорта, как это и провозглашено в экономической стратегии России, должны стать сэкономленные энергоресурсы.</w:t>
      </w:r>
    </w:p>
    <w:p w:rsidR="008B63EB" w:rsidRPr="00374A90" w:rsidRDefault="008B63EB" w:rsidP="00374A9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74A90">
        <w:rPr>
          <w:rFonts w:ascii="Times New Roman" w:hAnsi="Times New Roman"/>
          <w:sz w:val="28"/>
          <w:szCs w:val="28"/>
        </w:rPr>
        <w:t xml:space="preserve">Необходим поворот стратегии от наращивания добычи углеводородного сырья к повышению эффективности использования энергоресурсов. Важно учитывать проблему конечности и </w:t>
      </w:r>
      <w:bookmarkStart w:id="1" w:name="OCRUncertain294"/>
      <w:r w:rsidRPr="00374A90">
        <w:rPr>
          <w:rFonts w:ascii="Times New Roman" w:hAnsi="Times New Roman"/>
          <w:sz w:val="28"/>
          <w:szCs w:val="28"/>
        </w:rPr>
        <w:t>невосполнимости</w:t>
      </w:r>
      <w:bookmarkEnd w:id="1"/>
      <w:r w:rsidRPr="00374A90">
        <w:rPr>
          <w:rFonts w:ascii="Times New Roman" w:hAnsi="Times New Roman"/>
          <w:sz w:val="28"/>
          <w:szCs w:val="28"/>
        </w:rPr>
        <w:t xml:space="preserve"> ресурсов, в ряде старых добывающих районов страны с развитой инфраструктурой они близки к исчерпанию.</w:t>
      </w:r>
    </w:p>
    <w:p w:rsidR="008B63EB" w:rsidRDefault="008B63EB" w:rsidP="00374A90">
      <w:pPr>
        <w:pStyle w:val="11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:rsidR="008B63EB" w:rsidRDefault="008B63E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8B63EB" w:rsidRDefault="008B63EB" w:rsidP="00374A90">
      <w:pPr>
        <w:pStyle w:val="11"/>
        <w:spacing w:after="0" w:line="360" w:lineRule="auto"/>
        <w:ind w:left="0" w:firstLine="709"/>
        <w:contextualSpacing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СПИСОК ИСПОЛЬЗУЕМОЙ ЛИТЕРАТУРЫ</w:t>
      </w:r>
    </w:p>
    <w:tbl>
      <w:tblPr>
        <w:tblW w:w="9654" w:type="dxa"/>
        <w:tblInd w:w="93" w:type="dxa"/>
        <w:tblLook w:val="0000" w:firstRow="0" w:lastRow="0" w:firstColumn="0" w:lastColumn="0" w:noHBand="0" w:noVBand="0"/>
      </w:tblPr>
      <w:tblGrid>
        <w:gridCol w:w="9654"/>
      </w:tblGrid>
      <w:tr w:rsidR="008B63EB" w:rsidRPr="00F77561" w:rsidTr="00374A90">
        <w:trPr>
          <w:trHeight w:val="765"/>
        </w:trPr>
        <w:tc>
          <w:tcPr>
            <w:tcW w:w="9654" w:type="dxa"/>
          </w:tcPr>
          <w:p w:rsidR="008B63EB" w:rsidRPr="00BC6F9B" w:rsidRDefault="008B63EB" w:rsidP="00BC6F9B">
            <w:pPr>
              <w:numPr>
                <w:ilvl w:val="0"/>
                <w:numId w:val="13"/>
              </w:numPr>
              <w:spacing w:after="0" w:line="36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C6F9B">
              <w:rPr>
                <w:rFonts w:ascii="Times New Roman" w:hAnsi="Times New Roman"/>
                <w:sz w:val="28"/>
                <w:szCs w:val="28"/>
              </w:rPr>
              <w:t>Кудинов, А.А.  От кризиса к успеху: Практическое пособие [Текст] / А.А. Кудинов. - М.: Анкил, 2003. - 312 с.</w:t>
            </w:r>
          </w:p>
        </w:tc>
      </w:tr>
      <w:tr w:rsidR="008B63EB" w:rsidRPr="00F77561" w:rsidTr="00374A90">
        <w:trPr>
          <w:trHeight w:val="765"/>
        </w:trPr>
        <w:tc>
          <w:tcPr>
            <w:tcW w:w="9654" w:type="dxa"/>
          </w:tcPr>
          <w:p w:rsidR="008B63EB" w:rsidRPr="00BC6F9B" w:rsidRDefault="008B63EB" w:rsidP="00BC6F9B">
            <w:pPr>
              <w:numPr>
                <w:ilvl w:val="0"/>
                <w:numId w:val="13"/>
              </w:numPr>
              <w:spacing w:after="0" w:line="36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C6F9B">
              <w:rPr>
                <w:rFonts w:ascii="Times New Roman" w:hAnsi="Times New Roman"/>
                <w:sz w:val="28"/>
                <w:szCs w:val="28"/>
              </w:rPr>
              <w:t>Переходная экономика: теоретические аспекты, российские проблемы, мировой опыт [Текст] / отв. ред. В.А. Мартынов, В.С. Автономов, И.М. Осадчая. - М.: Экономика, 2005. - 719 с.</w:t>
            </w:r>
          </w:p>
        </w:tc>
      </w:tr>
      <w:tr w:rsidR="008B63EB" w:rsidRPr="00F77561" w:rsidTr="00374A90">
        <w:trPr>
          <w:trHeight w:val="765"/>
        </w:trPr>
        <w:tc>
          <w:tcPr>
            <w:tcW w:w="9654" w:type="dxa"/>
          </w:tcPr>
          <w:p w:rsidR="008B63EB" w:rsidRPr="00BC6F9B" w:rsidRDefault="008B63EB" w:rsidP="00BC6F9B">
            <w:pPr>
              <w:numPr>
                <w:ilvl w:val="0"/>
                <w:numId w:val="13"/>
              </w:numPr>
              <w:spacing w:after="0" w:line="36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C6F9B">
              <w:rPr>
                <w:rFonts w:ascii="Times New Roman" w:hAnsi="Times New Roman"/>
                <w:sz w:val="28"/>
                <w:szCs w:val="28"/>
              </w:rPr>
              <w:t>Красникова, Е.В.  Экономика переходного периода [Текст] : учебное пособие для студентов экон. специальностей / Е.В. Красникова. - М.: Омега-Л, 2005. - 296 с. (Высшее образование)</w:t>
            </w:r>
          </w:p>
        </w:tc>
      </w:tr>
      <w:tr w:rsidR="008B63EB" w:rsidRPr="00F77561" w:rsidTr="00374A90">
        <w:trPr>
          <w:trHeight w:val="765"/>
        </w:trPr>
        <w:tc>
          <w:tcPr>
            <w:tcW w:w="9654" w:type="dxa"/>
          </w:tcPr>
          <w:p w:rsidR="008B63EB" w:rsidRPr="00BC6F9B" w:rsidRDefault="008B63EB" w:rsidP="00BC6F9B">
            <w:pPr>
              <w:numPr>
                <w:ilvl w:val="0"/>
                <w:numId w:val="13"/>
              </w:numPr>
              <w:spacing w:after="0" w:line="36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C6F9B">
              <w:rPr>
                <w:rFonts w:ascii="Times New Roman" w:hAnsi="Times New Roman"/>
                <w:sz w:val="28"/>
                <w:szCs w:val="28"/>
              </w:rPr>
              <w:t>Бабашкина, А.М.  Государственное регулирование национальной экономики [Текст] : учеб. пособие / А.М. Бабашкина. - М.: Финансы и статистика, 2006. - 480 с.: ил.</w:t>
            </w:r>
          </w:p>
        </w:tc>
      </w:tr>
      <w:tr w:rsidR="008B63EB" w:rsidRPr="00F77561" w:rsidTr="00374A90">
        <w:trPr>
          <w:trHeight w:val="765"/>
        </w:trPr>
        <w:tc>
          <w:tcPr>
            <w:tcW w:w="9654" w:type="dxa"/>
          </w:tcPr>
          <w:p w:rsidR="008B63EB" w:rsidRPr="00BC6F9B" w:rsidRDefault="008B63EB" w:rsidP="00BC6F9B">
            <w:pPr>
              <w:numPr>
                <w:ilvl w:val="0"/>
                <w:numId w:val="13"/>
              </w:numPr>
              <w:spacing w:after="0" w:line="36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C6F9B">
              <w:rPr>
                <w:rFonts w:ascii="Times New Roman" w:hAnsi="Times New Roman"/>
                <w:sz w:val="28"/>
                <w:szCs w:val="28"/>
              </w:rPr>
              <w:t>Кудров, В.М.  Национальная экономика России [Текст]: учебник / В.М. Кудров. - 2-e изд., испр. и доп. - М.: Дело, 2007. - 544 с.</w:t>
            </w:r>
          </w:p>
        </w:tc>
      </w:tr>
      <w:tr w:rsidR="008B63EB" w:rsidRPr="00F77561" w:rsidTr="00374A90">
        <w:trPr>
          <w:trHeight w:val="765"/>
        </w:trPr>
        <w:tc>
          <w:tcPr>
            <w:tcW w:w="9654" w:type="dxa"/>
          </w:tcPr>
          <w:p w:rsidR="008B63EB" w:rsidRPr="00BC6F9B" w:rsidRDefault="008B63EB" w:rsidP="00BC6F9B">
            <w:pPr>
              <w:numPr>
                <w:ilvl w:val="0"/>
                <w:numId w:val="13"/>
              </w:numPr>
              <w:spacing w:after="0" w:line="36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C6F9B">
              <w:rPr>
                <w:rFonts w:ascii="Times New Roman" w:hAnsi="Times New Roman"/>
                <w:sz w:val="28"/>
                <w:szCs w:val="28"/>
              </w:rPr>
              <w:t>Иванов, С.Б.  Обеспечение национальной безопасности как необходимое условие развития России [Текст] : сборник / С.Б. Иванов; Составители: М.И. Герасев, С.К. Ознобищев. - М: КомКнига, 2006. - 224 с.</w:t>
            </w:r>
          </w:p>
        </w:tc>
      </w:tr>
      <w:tr w:rsidR="008B63EB" w:rsidRPr="00F77561" w:rsidTr="00374A90">
        <w:trPr>
          <w:trHeight w:val="765"/>
        </w:trPr>
        <w:tc>
          <w:tcPr>
            <w:tcW w:w="9654" w:type="dxa"/>
          </w:tcPr>
          <w:p w:rsidR="008B63EB" w:rsidRPr="00BC6F9B" w:rsidRDefault="008B63EB" w:rsidP="00BC6F9B">
            <w:pPr>
              <w:numPr>
                <w:ilvl w:val="0"/>
                <w:numId w:val="13"/>
              </w:numPr>
              <w:spacing w:after="0" w:line="36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C6F9B">
              <w:rPr>
                <w:rFonts w:ascii="Times New Roman" w:hAnsi="Times New Roman"/>
                <w:sz w:val="28"/>
                <w:szCs w:val="28"/>
              </w:rPr>
              <w:t>Основы национального счетоводства [Текст] : учебник / Ю.Н. Иванов [и др.]; под ред. Ю.Н. Иванова. - М.: ИНФРА-М, 2007. - 480 с. - (Классический университетский учебник). - Рекомендовано научно-методическим советом по экономике УМО по классическому университетскому образованию.</w:t>
            </w:r>
          </w:p>
        </w:tc>
      </w:tr>
      <w:tr w:rsidR="008B63EB" w:rsidRPr="00F77561" w:rsidTr="00374A90">
        <w:trPr>
          <w:trHeight w:val="765"/>
        </w:trPr>
        <w:tc>
          <w:tcPr>
            <w:tcW w:w="9654" w:type="dxa"/>
          </w:tcPr>
          <w:p w:rsidR="008B63EB" w:rsidRPr="00BC6F9B" w:rsidRDefault="008B63EB" w:rsidP="00BC6F9B">
            <w:pPr>
              <w:numPr>
                <w:ilvl w:val="0"/>
                <w:numId w:val="13"/>
              </w:numPr>
              <w:spacing w:after="0" w:line="36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C6F9B">
              <w:rPr>
                <w:rFonts w:ascii="Times New Roman" w:hAnsi="Times New Roman"/>
                <w:sz w:val="28"/>
                <w:szCs w:val="28"/>
              </w:rPr>
              <w:t>Башкатов, Б.И.  Практикум по национальному счетоводству [Текст] : учебное пособие / Б.И. Башкатов, Б.Т. Рябушкин; под ред. Б.И. Башкатова. - М.: Финансы и статистика, 2004. - 320 с.: ил. - Рекомендовано УМО по образованию.</w:t>
            </w:r>
          </w:p>
        </w:tc>
      </w:tr>
      <w:tr w:rsidR="008B63EB" w:rsidRPr="00F77561" w:rsidTr="00374A90">
        <w:trPr>
          <w:trHeight w:val="765"/>
        </w:trPr>
        <w:tc>
          <w:tcPr>
            <w:tcW w:w="9654" w:type="dxa"/>
          </w:tcPr>
          <w:p w:rsidR="008B63EB" w:rsidRPr="00BC6F9B" w:rsidRDefault="008B63EB" w:rsidP="00BC6F9B">
            <w:pPr>
              <w:numPr>
                <w:ilvl w:val="0"/>
                <w:numId w:val="13"/>
              </w:numPr>
              <w:spacing w:after="0" w:line="36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C6F9B">
              <w:rPr>
                <w:rFonts w:ascii="Times New Roman" w:hAnsi="Times New Roman"/>
                <w:sz w:val="28"/>
                <w:szCs w:val="28"/>
              </w:rPr>
              <w:t>Есипова, Э.Ю.  Система национальных счетов: краткий курс [Текст] : учебное пособие / Э.Ю. Есипова. - М.: Финансы и статистика, 2007. - 176 с.: ил. - Допущено Институтом проблем развития СПО ФАО МОиН РФ.</w:t>
            </w:r>
          </w:p>
        </w:tc>
      </w:tr>
      <w:tr w:rsidR="008B63EB" w:rsidRPr="00F77561" w:rsidTr="00374A90">
        <w:trPr>
          <w:trHeight w:val="765"/>
        </w:trPr>
        <w:tc>
          <w:tcPr>
            <w:tcW w:w="9654" w:type="dxa"/>
          </w:tcPr>
          <w:p w:rsidR="008B63EB" w:rsidRPr="00BC6F9B" w:rsidRDefault="008B63EB" w:rsidP="00BC6F9B">
            <w:pPr>
              <w:numPr>
                <w:ilvl w:val="0"/>
                <w:numId w:val="13"/>
              </w:numPr>
              <w:spacing w:after="0" w:line="36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C6F9B">
              <w:rPr>
                <w:rFonts w:ascii="Times New Roman" w:hAnsi="Times New Roman"/>
                <w:sz w:val="28"/>
                <w:szCs w:val="28"/>
              </w:rPr>
              <w:t>Салин, В.Н.  Система национальных счетов [Текст] : учебное пособие / В.Н. Салин, С.И. Кудряшов. - М.: Финансы и статистика, 2006. - 272 с.: ил. - Рекомендовано УМО по образованию.</w:t>
            </w:r>
          </w:p>
        </w:tc>
      </w:tr>
      <w:tr w:rsidR="008B63EB" w:rsidRPr="00F77561" w:rsidTr="00374A90">
        <w:trPr>
          <w:trHeight w:val="765"/>
        </w:trPr>
        <w:tc>
          <w:tcPr>
            <w:tcW w:w="9654" w:type="dxa"/>
          </w:tcPr>
          <w:p w:rsidR="008B63EB" w:rsidRPr="00BC6F9B" w:rsidRDefault="008B63EB" w:rsidP="00BC6F9B">
            <w:pPr>
              <w:numPr>
                <w:ilvl w:val="0"/>
                <w:numId w:val="13"/>
              </w:numPr>
              <w:spacing w:after="0" w:line="36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C6F9B">
              <w:rPr>
                <w:rFonts w:ascii="Times New Roman" w:hAnsi="Times New Roman"/>
                <w:sz w:val="28"/>
                <w:szCs w:val="28"/>
              </w:rPr>
              <w:t>Косарев, А.Е.  Анализ и прогнозирование на основе национальных счетов и платежного баланса: развитие методов [Текст] / А.Е. Косарев. - М.: ИИЦ "Статистика России", 2005. - 144 с.</w:t>
            </w:r>
          </w:p>
        </w:tc>
      </w:tr>
      <w:tr w:rsidR="008B63EB" w:rsidRPr="00F77561" w:rsidTr="00374A90">
        <w:trPr>
          <w:trHeight w:val="765"/>
        </w:trPr>
        <w:tc>
          <w:tcPr>
            <w:tcW w:w="9654" w:type="dxa"/>
          </w:tcPr>
          <w:p w:rsidR="008B63EB" w:rsidRPr="00BC6F9B" w:rsidRDefault="008B63EB" w:rsidP="00BC6F9B">
            <w:pPr>
              <w:numPr>
                <w:ilvl w:val="0"/>
                <w:numId w:val="13"/>
              </w:numPr>
              <w:spacing w:after="0" w:line="36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C6F9B">
              <w:rPr>
                <w:rFonts w:ascii="Times New Roman" w:hAnsi="Times New Roman"/>
                <w:sz w:val="28"/>
                <w:szCs w:val="28"/>
              </w:rPr>
              <w:t>Плышевский, Б.П.  Где создается и как расходуется национальный продукт России [Текст] / Б.П. Плышевский. - М.: Статистика России, 2006 - 199 с.</w:t>
            </w:r>
          </w:p>
        </w:tc>
      </w:tr>
      <w:tr w:rsidR="008B63EB" w:rsidRPr="00F77561" w:rsidTr="00374A90">
        <w:trPr>
          <w:trHeight w:val="765"/>
        </w:trPr>
        <w:tc>
          <w:tcPr>
            <w:tcW w:w="9654" w:type="dxa"/>
          </w:tcPr>
          <w:p w:rsidR="008B63EB" w:rsidRPr="00BC6F9B" w:rsidRDefault="008B63EB" w:rsidP="00BC6F9B">
            <w:pPr>
              <w:numPr>
                <w:ilvl w:val="0"/>
                <w:numId w:val="13"/>
              </w:numPr>
              <w:spacing w:after="0" w:line="36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C6F9B">
              <w:rPr>
                <w:rFonts w:ascii="Times New Roman" w:hAnsi="Times New Roman"/>
                <w:sz w:val="28"/>
                <w:szCs w:val="28"/>
              </w:rPr>
              <w:t>Самофалова, Е.В.  Государственное регулирование национальной экономики [Текст] : учебное пособие / Е.В. Самофалова, Э.Н. Кузьбожев, Ю.В. Вертакова; под ред. Э.Н. Кузьбожева. - 4-е изд., стер. - М.: КНОРУС, 2008. - 272 с. - Рекомендовано УМЦ "Классический учебник".</w:t>
            </w:r>
          </w:p>
        </w:tc>
      </w:tr>
      <w:tr w:rsidR="008B63EB" w:rsidRPr="00F77561" w:rsidTr="00374A90">
        <w:trPr>
          <w:trHeight w:val="765"/>
        </w:trPr>
        <w:tc>
          <w:tcPr>
            <w:tcW w:w="9654" w:type="dxa"/>
          </w:tcPr>
          <w:p w:rsidR="008B63EB" w:rsidRPr="00BC6F9B" w:rsidRDefault="008B63EB" w:rsidP="00BC6F9B">
            <w:pPr>
              <w:numPr>
                <w:ilvl w:val="0"/>
                <w:numId w:val="13"/>
              </w:numPr>
              <w:spacing w:after="0" w:line="36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C6F9B">
              <w:rPr>
                <w:rFonts w:ascii="Times New Roman" w:hAnsi="Times New Roman"/>
                <w:sz w:val="28"/>
                <w:szCs w:val="28"/>
              </w:rPr>
              <w:t>Шишкин, С.Н.  Государственное регулирование экономики: предпринимательско-правовой аспект [Текст] / С.Н. Шишкин. - М.: Волтерс Клувер, 2007. - 256 с.</w:t>
            </w:r>
          </w:p>
        </w:tc>
      </w:tr>
      <w:tr w:rsidR="008B63EB" w:rsidRPr="00F77561" w:rsidTr="00374A90">
        <w:trPr>
          <w:trHeight w:val="765"/>
        </w:trPr>
        <w:tc>
          <w:tcPr>
            <w:tcW w:w="9654" w:type="dxa"/>
          </w:tcPr>
          <w:p w:rsidR="008B63EB" w:rsidRPr="00BC6F9B" w:rsidRDefault="008B63EB" w:rsidP="00BC6F9B">
            <w:pPr>
              <w:numPr>
                <w:ilvl w:val="0"/>
                <w:numId w:val="13"/>
              </w:numPr>
              <w:spacing w:after="0" w:line="36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C6F9B">
              <w:rPr>
                <w:rFonts w:ascii="Times New Roman" w:hAnsi="Times New Roman"/>
                <w:sz w:val="28"/>
                <w:szCs w:val="28"/>
              </w:rPr>
              <w:t>Грицюк, Т.В.  Государственное регулирование экономики: теория и практика [Текст] / Т.В. Грицюк. - М.: РДЛ, 2006. - 288 с.</w:t>
            </w:r>
          </w:p>
        </w:tc>
      </w:tr>
      <w:tr w:rsidR="008B63EB" w:rsidRPr="00F77561" w:rsidTr="00374A90">
        <w:trPr>
          <w:trHeight w:val="765"/>
        </w:trPr>
        <w:tc>
          <w:tcPr>
            <w:tcW w:w="9654" w:type="dxa"/>
          </w:tcPr>
          <w:p w:rsidR="008B63EB" w:rsidRPr="00BC6F9B" w:rsidRDefault="008B63EB" w:rsidP="00BC6F9B">
            <w:pPr>
              <w:numPr>
                <w:ilvl w:val="0"/>
                <w:numId w:val="13"/>
              </w:numPr>
              <w:spacing w:after="0" w:line="36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C6F9B">
              <w:rPr>
                <w:rFonts w:ascii="Times New Roman" w:hAnsi="Times New Roman"/>
                <w:sz w:val="28"/>
                <w:szCs w:val="28"/>
              </w:rPr>
              <w:t>Вавилов, Ю.Я.  Государственный долг [Текст] : учебное пособие / Ю.Я. Вавилов. - 3-е изд., перераб. и доп. - М.: Перспектива, 2007. - 256 с. - Рекомендовано МОиН РФ.</w:t>
            </w:r>
          </w:p>
        </w:tc>
      </w:tr>
      <w:tr w:rsidR="008B63EB" w:rsidRPr="00F77561" w:rsidTr="00374A90">
        <w:trPr>
          <w:trHeight w:val="765"/>
        </w:trPr>
        <w:tc>
          <w:tcPr>
            <w:tcW w:w="9654" w:type="dxa"/>
          </w:tcPr>
          <w:p w:rsidR="008B63EB" w:rsidRPr="00BC6F9B" w:rsidRDefault="008B63EB" w:rsidP="00BC6F9B">
            <w:pPr>
              <w:numPr>
                <w:ilvl w:val="0"/>
                <w:numId w:val="13"/>
              </w:numPr>
              <w:spacing w:after="0" w:line="36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C6F9B">
              <w:rPr>
                <w:rFonts w:ascii="Times New Roman" w:hAnsi="Times New Roman"/>
                <w:sz w:val="28"/>
                <w:szCs w:val="28"/>
              </w:rPr>
              <w:t>Лексин, В.Н.  Государство и регионы: Теория и практика государственного регулирования территориального развития [Текст] / В.Н. Лексин, А.Н. Швецов. - М.: Изд-во ЛКИ, 2007. - 368 с.</w:t>
            </w:r>
          </w:p>
        </w:tc>
      </w:tr>
      <w:tr w:rsidR="008B63EB" w:rsidRPr="00F77561" w:rsidTr="00374A90">
        <w:trPr>
          <w:trHeight w:val="765"/>
        </w:trPr>
        <w:tc>
          <w:tcPr>
            <w:tcW w:w="9654" w:type="dxa"/>
          </w:tcPr>
          <w:p w:rsidR="008B63EB" w:rsidRPr="00BC6F9B" w:rsidRDefault="008B63EB" w:rsidP="00BC6F9B">
            <w:pPr>
              <w:numPr>
                <w:ilvl w:val="0"/>
                <w:numId w:val="13"/>
              </w:numPr>
              <w:spacing w:after="0" w:line="36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C6F9B">
              <w:rPr>
                <w:rFonts w:ascii="Times New Roman" w:hAnsi="Times New Roman"/>
                <w:sz w:val="28"/>
                <w:szCs w:val="28"/>
              </w:rPr>
              <w:t xml:space="preserve">Зименков, Р.И.  Свободные экономические зоны [Текст] : учебное пособие / Р.И. Зименков. - М.: ЮНИТИ-ДАНА, 2005. - 223 С. - Рекомендовано УМО вузов по образованию. - Рекомендовано УМЦ "Профессиональный учебник". </w:t>
            </w:r>
          </w:p>
        </w:tc>
      </w:tr>
      <w:tr w:rsidR="008B63EB" w:rsidRPr="00F77561" w:rsidTr="00374A90">
        <w:trPr>
          <w:trHeight w:val="765"/>
        </w:trPr>
        <w:tc>
          <w:tcPr>
            <w:tcW w:w="9654" w:type="dxa"/>
          </w:tcPr>
          <w:p w:rsidR="008B63EB" w:rsidRPr="00BC6F9B" w:rsidRDefault="008B63EB" w:rsidP="00BC6F9B">
            <w:pPr>
              <w:numPr>
                <w:ilvl w:val="0"/>
                <w:numId w:val="13"/>
              </w:numPr>
              <w:spacing w:after="0" w:line="36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C6F9B">
              <w:rPr>
                <w:rFonts w:ascii="Times New Roman" w:hAnsi="Times New Roman"/>
                <w:sz w:val="28"/>
                <w:szCs w:val="28"/>
              </w:rPr>
              <w:t>Ерусланова, Р.И.  Пенсионное обеспечение в России [Текст] : учебное пособие / Р.И. Ерусланова, Ф.Н. Емельянова, Р.А. Кондратьева; под общ. ред. Р.И. Еруслановой. - М.: Дашков и Ко, 2008. - 608 с.</w:t>
            </w:r>
          </w:p>
        </w:tc>
      </w:tr>
      <w:tr w:rsidR="008B63EB" w:rsidRPr="00F77561" w:rsidTr="00374A90">
        <w:trPr>
          <w:trHeight w:val="765"/>
        </w:trPr>
        <w:tc>
          <w:tcPr>
            <w:tcW w:w="9654" w:type="dxa"/>
          </w:tcPr>
          <w:p w:rsidR="008B63EB" w:rsidRPr="00BC6F9B" w:rsidRDefault="008B63EB" w:rsidP="00BC6F9B">
            <w:pPr>
              <w:numPr>
                <w:ilvl w:val="0"/>
                <w:numId w:val="13"/>
              </w:numPr>
              <w:spacing w:after="0" w:line="36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C6F9B">
              <w:rPr>
                <w:rFonts w:ascii="Times New Roman" w:hAnsi="Times New Roman"/>
                <w:sz w:val="28"/>
                <w:szCs w:val="28"/>
              </w:rPr>
              <w:t xml:space="preserve">Методы государственного регулирования экономики [Текст] : учебное пособие. - М.: ИНФРА-М, 2008. - 300 с. - (Учебники экономического факультета МГУ им. М.В. Ломоносова). - Рекомендовано УМО по классическому университетскому образованию. </w:t>
            </w:r>
          </w:p>
        </w:tc>
      </w:tr>
      <w:tr w:rsidR="008B63EB" w:rsidRPr="00F77561" w:rsidTr="00374A90">
        <w:trPr>
          <w:trHeight w:val="765"/>
        </w:trPr>
        <w:tc>
          <w:tcPr>
            <w:tcW w:w="9654" w:type="dxa"/>
          </w:tcPr>
          <w:p w:rsidR="008B63EB" w:rsidRPr="00F77561" w:rsidRDefault="008B63EB" w:rsidP="00BC6F9B">
            <w:pPr>
              <w:numPr>
                <w:ilvl w:val="0"/>
                <w:numId w:val="13"/>
              </w:numPr>
              <w:spacing w:after="0" w:line="36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C6F9B">
              <w:rPr>
                <w:rFonts w:ascii="Times New Roman" w:hAnsi="Times New Roman"/>
                <w:sz w:val="28"/>
                <w:szCs w:val="28"/>
              </w:rPr>
              <w:t>Покидченко, М.Г.  Пути развития экономики России: теория и практика [Текст] : учебное пособие / М.Г. Покидченко, Л.Н. Сперанская, Т.А. Дробышевская. - М.: ИНФРА-М, 2005. - 312 с. - (Учебники экономического факультета МГУ им. М.В. Ломоносова). - Рекомендовано УМО по классическому университетскому образованию.</w:t>
            </w:r>
          </w:p>
          <w:p w:rsidR="008B63EB" w:rsidRPr="00F77561" w:rsidRDefault="008B63EB" w:rsidP="00374A90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277F">
              <w:rPr>
                <w:rFonts w:ascii="Times New Roman" w:hAnsi="Times New Roman"/>
                <w:sz w:val="28"/>
                <w:szCs w:val="28"/>
                <w:lang w:val="en-US"/>
              </w:rPr>
              <w:t>www</w:t>
            </w:r>
            <w:r w:rsidRPr="0098277F">
              <w:rPr>
                <w:rFonts w:ascii="Times New Roman" w:hAnsi="Times New Roman"/>
                <w:sz w:val="28"/>
                <w:szCs w:val="28"/>
              </w:rPr>
              <w:t>.</w:t>
            </w:r>
            <w:r w:rsidRPr="0098277F">
              <w:rPr>
                <w:rFonts w:ascii="Times New Roman" w:hAnsi="Times New Roman"/>
                <w:sz w:val="28"/>
                <w:szCs w:val="28"/>
                <w:lang w:val="en-US"/>
              </w:rPr>
              <w:t>gazprom</w:t>
            </w:r>
            <w:r w:rsidRPr="0098277F">
              <w:rPr>
                <w:rFonts w:ascii="Times New Roman" w:hAnsi="Times New Roman"/>
                <w:sz w:val="28"/>
                <w:szCs w:val="28"/>
              </w:rPr>
              <w:t>.ru</w:t>
            </w:r>
          </w:p>
          <w:p w:rsidR="008B63EB" w:rsidRPr="00F77561" w:rsidRDefault="008B63EB" w:rsidP="00374A90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277F">
              <w:rPr>
                <w:rFonts w:ascii="Times New Roman" w:hAnsi="Times New Roman"/>
                <w:sz w:val="28"/>
                <w:szCs w:val="28"/>
                <w:lang w:val="en-US"/>
              </w:rPr>
              <w:t>www</w:t>
            </w:r>
            <w:r w:rsidRPr="0098277F">
              <w:rPr>
                <w:rFonts w:ascii="Times New Roman" w:hAnsi="Times New Roman"/>
                <w:sz w:val="28"/>
                <w:szCs w:val="28"/>
              </w:rPr>
              <w:t>.</w:t>
            </w:r>
            <w:r w:rsidRPr="0098277F">
              <w:rPr>
                <w:rFonts w:ascii="Times New Roman" w:hAnsi="Times New Roman"/>
                <w:sz w:val="28"/>
                <w:szCs w:val="28"/>
                <w:lang w:val="en-US"/>
              </w:rPr>
              <w:t>gks</w:t>
            </w:r>
            <w:r w:rsidRPr="0098277F">
              <w:rPr>
                <w:rFonts w:ascii="Times New Roman" w:hAnsi="Times New Roman"/>
                <w:sz w:val="28"/>
                <w:szCs w:val="28"/>
              </w:rPr>
              <w:t>.</w:t>
            </w:r>
            <w:r w:rsidRPr="0098277F">
              <w:rPr>
                <w:rFonts w:ascii="Times New Roman" w:hAnsi="Times New Roman"/>
                <w:sz w:val="28"/>
                <w:szCs w:val="28"/>
                <w:lang w:val="en-US"/>
              </w:rPr>
              <w:t>ru</w:t>
            </w:r>
          </w:p>
          <w:p w:rsidR="008B63EB" w:rsidRPr="00BC6F9B" w:rsidRDefault="008B63EB" w:rsidP="00374A90">
            <w:pPr>
              <w:pStyle w:val="Denmain"/>
              <w:ind w:left="3119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B63EB" w:rsidRPr="00A16A5F" w:rsidRDefault="008B63EB" w:rsidP="00374A90">
      <w:pPr>
        <w:pStyle w:val="11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bookmarkStart w:id="2" w:name="_GoBack"/>
      <w:bookmarkEnd w:id="2"/>
    </w:p>
    <w:sectPr w:rsidR="008B63EB" w:rsidRPr="00A16A5F" w:rsidSect="00FA2458">
      <w:headerReference w:type="default" r:id="rId9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63EB" w:rsidRDefault="008B63EB" w:rsidP="00FA2458">
      <w:pPr>
        <w:spacing w:after="0" w:line="240" w:lineRule="auto"/>
      </w:pPr>
      <w:r>
        <w:separator/>
      </w:r>
    </w:p>
  </w:endnote>
  <w:endnote w:type="continuationSeparator" w:id="0">
    <w:p w:rsidR="008B63EB" w:rsidRDefault="008B63EB" w:rsidP="00FA24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63EB" w:rsidRDefault="008B63EB" w:rsidP="00FA2458">
      <w:pPr>
        <w:spacing w:after="0" w:line="240" w:lineRule="auto"/>
      </w:pPr>
      <w:r>
        <w:separator/>
      </w:r>
    </w:p>
  </w:footnote>
  <w:footnote w:type="continuationSeparator" w:id="0">
    <w:p w:rsidR="008B63EB" w:rsidRDefault="008B63EB" w:rsidP="00FA24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63EB" w:rsidRDefault="008B63EB">
    <w:pPr>
      <w:pStyle w:val="a8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63F03">
      <w:rPr>
        <w:noProof/>
      </w:rPr>
      <w:t>2</w:t>
    </w:r>
    <w:r>
      <w:fldChar w:fldCharType="end"/>
    </w:r>
  </w:p>
  <w:p w:rsidR="008B63EB" w:rsidRDefault="008B63EB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65DD5"/>
    <w:multiLevelType w:val="hybridMultilevel"/>
    <w:tmpl w:val="E828EC20"/>
    <w:lvl w:ilvl="0" w:tplc="3FAC1AF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D4128BD"/>
    <w:multiLevelType w:val="hybridMultilevel"/>
    <w:tmpl w:val="0FB8562E"/>
    <w:lvl w:ilvl="0" w:tplc="1952A112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23053EA"/>
    <w:multiLevelType w:val="hybridMultilevel"/>
    <w:tmpl w:val="EBE8D1B2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238E3D12"/>
    <w:multiLevelType w:val="hybridMultilevel"/>
    <w:tmpl w:val="1520C610"/>
    <w:lvl w:ilvl="0" w:tplc="FFFFFFFF">
      <w:start w:val="1"/>
      <w:numFmt w:val="bullet"/>
      <w:lvlText w:val=""/>
      <w:lvlJc w:val="left"/>
      <w:pPr>
        <w:tabs>
          <w:tab w:val="num" w:pos="2614"/>
        </w:tabs>
        <w:ind w:left="261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3334"/>
        </w:tabs>
        <w:ind w:left="333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4054"/>
        </w:tabs>
        <w:ind w:left="405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774"/>
        </w:tabs>
        <w:ind w:left="477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494"/>
        </w:tabs>
        <w:ind w:left="549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6214"/>
        </w:tabs>
        <w:ind w:left="621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934"/>
        </w:tabs>
        <w:ind w:left="693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654"/>
        </w:tabs>
        <w:ind w:left="765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8374"/>
        </w:tabs>
        <w:ind w:left="8374" w:hanging="360"/>
      </w:pPr>
      <w:rPr>
        <w:rFonts w:ascii="Wingdings" w:hAnsi="Wingdings" w:hint="default"/>
      </w:rPr>
    </w:lvl>
  </w:abstractNum>
  <w:abstractNum w:abstractNumId="4">
    <w:nsid w:val="24854A4C"/>
    <w:multiLevelType w:val="hybridMultilevel"/>
    <w:tmpl w:val="22A8DBD2"/>
    <w:lvl w:ilvl="0" w:tplc="84903248">
      <w:start w:val="1"/>
      <w:numFmt w:val="decimal"/>
      <w:lvlText w:val="2.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D333A72"/>
    <w:multiLevelType w:val="multilevel"/>
    <w:tmpl w:val="7EF883F6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6">
    <w:nsid w:val="3E865C9E"/>
    <w:multiLevelType w:val="hybridMultilevel"/>
    <w:tmpl w:val="E4DA3EB2"/>
    <w:lvl w:ilvl="0" w:tplc="84903248">
      <w:start w:val="1"/>
      <w:numFmt w:val="decimal"/>
      <w:lvlText w:val="2.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9FD222E"/>
    <w:multiLevelType w:val="multilevel"/>
    <w:tmpl w:val="E56C0EBA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8">
    <w:nsid w:val="4C191B01"/>
    <w:multiLevelType w:val="multilevel"/>
    <w:tmpl w:val="7662FEA6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9">
    <w:nsid w:val="560B3BB5"/>
    <w:multiLevelType w:val="multilevel"/>
    <w:tmpl w:val="E56C0EBA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0">
    <w:nsid w:val="5AF07C04"/>
    <w:multiLevelType w:val="multilevel"/>
    <w:tmpl w:val="E56C0EBA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1">
    <w:nsid w:val="6A4E0785"/>
    <w:multiLevelType w:val="hybridMultilevel"/>
    <w:tmpl w:val="44DACC60"/>
    <w:lvl w:ilvl="0" w:tplc="1952A112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7F233F38"/>
    <w:multiLevelType w:val="multilevel"/>
    <w:tmpl w:val="E56C0EBA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4"/>
  </w:num>
  <w:num w:numId="7">
    <w:abstractNumId w:val="10"/>
  </w:num>
  <w:num w:numId="8">
    <w:abstractNumId w:val="0"/>
  </w:num>
  <w:num w:numId="9">
    <w:abstractNumId w:val="2"/>
  </w:num>
  <w:num w:numId="10">
    <w:abstractNumId w:val="3"/>
  </w:num>
  <w:num w:numId="11">
    <w:abstractNumId w:val="12"/>
  </w:num>
  <w:num w:numId="12">
    <w:abstractNumId w:val="1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D2141"/>
    <w:rsid w:val="00086D9B"/>
    <w:rsid w:val="002A5239"/>
    <w:rsid w:val="002B368D"/>
    <w:rsid w:val="002E0755"/>
    <w:rsid w:val="00374A90"/>
    <w:rsid w:val="003C2561"/>
    <w:rsid w:val="00424B6F"/>
    <w:rsid w:val="00537469"/>
    <w:rsid w:val="005741B9"/>
    <w:rsid w:val="005A5914"/>
    <w:rsid w:val="005D03C6"/>
    <w:rsid w:val="00637695"/>
    <w:rsid w:val="006B578F"/>
    <w:rsid w:val="007449E5"/>
    <w:rsid w:val="0075103F"/>
    <w:rsid w:val="008B63EB"/>
    <w:rsid w:val="008D6585"/>
    <w:rsid w:val="00925B83"/>
    <w:rsid w:val="0098277F"/>
    <w:rsid w:val="00A16A5F"/>
    <w:rsid w:val="00AA5E94"/>
    <w:rsid w:val="00AA5F3C"/>
    <w:rsid w:val="00BC6F9B"/>
    <w:rsid w:val="00BD2141"/>
    <w:rsid w:val="00C40C26"/>
    <w:rsid w:val="00DC7360"/>
    <w:rsid w:val="00DF2C15"/>
    <w:rsid w:val="00E01822"/>
    <w:rsid w:val="00E63F03"/>
    <w:rsid w:val="00F264C2"/>
    <w:rsid w:val="00F37A20"/>
    <w:rsid w:val="00F65D8D"/>
    <w:rsid w:val="00F77561"/>
    <w:rsid w:val="00F90D82"/>
    <w:rsid w:val="00FA2458"/>
    <w:rsid w:val="00FD5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F22BEE62-B89E-489F-9693-D95BBB1F6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Body Text Indent" w:locked="1"/>
    <w:lsdException w:name="Subtitle" w:locked="1" w:qFormat="1"/>
    <w:lsdException w:name="Body Text Indent 2" w:locked="1"/>
    <w:lsdException w:name="Hyperlink" w:locked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41B9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A16A5F"/>
    <w:pPr>
      <w:keepNext/>
      <w:spacing w:before="240" w:after="60" w:line="240" w:lineRule="auto"/>
      <w:outlineLvl w:val="0"/>
    </w:pPr>
    <w:rPr>
      <w:rFonts w:ascii="Arial" w:eastAsia="Calibri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у1"/>
    <w:basedOn w:val="a"/>
    <w:rsid w:val="00BD2141"/>
    <w:pPr>
      <w:ind w:left="720"/>
      <w:contextualSpacing/>
    </w:pPr>
  </w:style>
  <w:style w:type="paragraph" w:styleId="a3">
    <w:name w:val="Body Text Indent"/>
    <w:basedOn w:val="a"/>
    <w:link w:val="a4"/>
    <w:semiHidden/>
    <w:rsid w:val="00F65D8D"/>
    <w:pPr>
      <w:spacing w:after="0" w:line="288" w:lineRule="auto"/>
      <w:ind w:left="2700"/>
      <w:jc w:val="both"/>
    </w:pPr>
    <w:rPr>
      <w:rFonts w:ascii="Arial" w:eastAsia="Calibri" w:hAnsi="Arial"/>
      <w:sz w:val="24"/>
      <w:szCs w:val="24"/>
      <w:lang w:eastAsia="ru-RU"/>
    </w:rPr>
  </w:style>
  <w:style w:type="character" w:customStyle="1" w:styleId="a4">
    <w:name w:val="Основний текст з відступом Знак"/>
    <w:basedOn w:val="a0"/>
    <w:link w:val="a3"/>
    <w:semiHidden/>
    <w:locked/>
    <w:rsid w:val="00F65D8D"/>
    <w:rPr>
      <w:rFonts w:ascii="Arial" w:hAnsi="Arial" w:cs="Times New Roman"/>
      <w:sz w:val="24"/>
      <w:szCs w:val="24"/>
      <w:lang w:val="x-none" w:eastAsia="ru-RU"/>
    </w:rPr>
  </w:style>
  <w:style w:type="paragraph" w:styleId="2">
    <w:name w:val="Body Text Indent 2"/>
    <w:basedOn w:val="a"/>
    <w:link w:val="20"/>
    <w:semiHidden/>
    <w:rsid w:val="00F65D8D"/>
    <w:pPr>
      <w:spacing w:before="240" w:after="0" w:line="288" w:lineRule="auto"/>
      <w:ind w:left="3060"/>
      <w:jc w:val="both"/>
    </w:pPr>
    <w:rPr>
      <w:rFonts w:ascii="Arial" w:eastAsia="Calibri" w:hAnsi="Arial"/>
      <w:sz w:val="24"/>
      <w:szCs w:val="24"/>
      <w:lang w:eastAsia="ru-RU"/>
    </w:rPr>
  </w:style>
  <w:style w:type="character" w:customStyle="1" w:styleId="20">
    <w:name w:val="Основний текст з відступом 2 Знак"/>
    <w:basedOn w:val="a0"/>
    <w:link w:val="2"/>
    <w:semiHidden/>
    <w:locked/>
    <w:rsid w:val="00F65D8D"/>
    <w:rPr>
      <w:rFonts w:ascii="Arial" w:hAnsi="Arial" w:cs="Times New Roman"/>
      <w:sz w:val="24"/>
      <w:szCs w:val="24"/>
      <w:lang w:val="x-none" w:eastAsia="ru-RU"/>
    </w:rPr>
  </w:style>
  <w:style w:type="character" w:customStyle="1" w:styleId="10">
    <w:name w:val="Заголовок 1 Знак"/>
    <w:basedOn w:val="a0"/>
    <w:link w:val="1"/>
    <w:locked/>
    <w:rsid w:val="00A16A5F"/>
    <w:rPr>
      <w:rFonts w:ascii="Arial" w:hAnsi="Arial" w:cs="Arial"/>
      <w:b/>
      <w:bCs/>
      <w:kern w:val="32"/>
      <w:sz w:val="32"/>
      <w:szCs w:val="32"/>
      <w:lang w:val="x-none" w:eastAsia="ru-RU"/>
    </w:rPr>
  </w:style>
  <w:style w:type="paragraph" w:styleId="a5">
    <w:name w:val="Balloon Text"/>
    <w:basedOn w:val="a"/>
    <w:link w:val="a6"/>
    <w:semiHidden/>
    <w:rsid w:val="00925B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semiHidden/>
    <w:locked/>
    <w:rsid w:val="00925B83"/>
    <w:rPr>
      <w:rFonts w:ascii="Tahoma" w:hAnsi="Tahoma" w:cs="Tahoma"/>
      <w:sz w:val="16"/>
      <w:szCs w:val="16"/>
    </w:rPr>
  </w:style>
  <w:style w:type="paragraph" w:customStyle="1" w:styleId="Denmain">
    <w:name w:val="Den main"/>
    <w:basedOn w:val="a"/>
    <w:rsid w:val="00374A90"/>
    <w:pPr>
      <w:tabs>
        <w:tab w:val="left" w:pos="10490"/>
      </w:tabs>
      <w:spacing w:after="120" w:line="288" w:lineRule="auto"/>
      <w:ind w:left="2694"/>
      <w:jc w:val="both"/>
    </w:pPr>
    <w:rPr>
      <w:rFonts w:ascii="Arial" w:eastAsia="Calibri" w:hAnsi="Arial"/>
      <w:sz w:val="24"/>
      <w:szCs w:val="20"/>
    </w:rPr>
  </w:style>
  <w:style w:type="character" w:styleId="a7">
    <w:name w:val="Hyperlink"/>
    <w:basedOn w:val="a0"/>
    <w:semiHidden/>
    <w:rsid w:val="00374A90"/>
    <w:rPr>
      <w:rFonts w:cs="Times New Roman"/>
      <w:color w:val="FF0000"/>
      <w:u w:val="single"/>
    </w:rPr>
  </w:style>
  <w:style w:type="paragraph" w:styleId="a8">
    <w:name w:val="header"/>
    <w:basedOn w:val="a"/>
    <w:link w:val="a9"/>
    <w:rsid w:val="00FA24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locked/>
    <w:rsid w:val="00FA2458"/>
    <w:rPr>
      <w:rFonts w:cs="Times New Roman"/>
    </w:rPr>
  </w:style>
  <w:style w:type="paragraph" w:styleId="aa">
    <w:name w:val="footer"/>
    <w:basedOn w:val="a"/>
    <w:link w:val="ab"/>
    <w:semiHidden/>
    <w:rsid w:val="00FA24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semiHidden/>
    <w:locked/>
    <w:rsid w:val="00FA2458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8203</Words>
  <Characters>46762</Characters>
  <Application>Microsoft Office Word</Application>
  <DocSecurity>0</DocSecurity>
  <Lines>389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</vt:lpstr>
    </vt:vector>
  </TitlesOfParts>
  <Company>SamForum.ws</Company>
  <LinksUpToDate>false</LinksUpToDate>
  <CharactersWithSpaces>54856</CharactersWithSpaces>
  <SharedDoc>false</SharedDoc>
  <HLinks>
    <vt:vector size="12" baseType="variant">
      <vt:variant>
        <vt:i4>6422624</vt:i4>
      </vt:variant>
      <vt:variant>
        <vt:i4>3</vt:i4>
      </vt:variant>
      <vt:variant>
        <vt:i4>0</vt:i4>
      </vt:variant>
      <vt:variant>
        <vt:i4>5</vt:i4>
      </vt:variant>
      <vt:variant>
        <vt:lpwstr>http://www.gks.ru/</vt:lpwstr>
      </vt:variant>
      <vt:variant>
        <vt:lpwstr/>
      </vt:variant>
      <vt:variant>
        <vt:i4>7602293</vt:i4>
      </vt:variant>
      <vt:variant>
        <vt:i4>0</vt:i4>
      </vt:variant>
      <vt:variant>
        <vt:i4>0</vt:i4>
      </vt:variant>
      <vt:variant>
        <vt:i4>5</vt:i4>
      </vt:variant>
      <vt:variant>
        <vt:lpwstr>http://www.gazprom.ru/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</dc:title>
  <dc:subject/>
  <dc:creator>SamLab.ws</dc:creator>
  <cp:keywords/>
  <dc:description/>
  <cp:lastModifiedBy>Irina</cp:lastModifiedBy>
  <cp:revision>2</cp:revision>
  <dcterms:created xsi:type="dcterms:W3CDTF">2014-08-18T18:38:00Z</dcterms:created>
  <dcterms:modified xsi:type="dcterms:W3CDTF">2014-08-18T18:38:00Z</dcterms:modified>
</cp:coreProperties>
</file>