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84A" w:rsidRDefault="0065384A">
      <w:pPr>
        <w:spacing w:line="360" w:lineRule="auto"/>
        <w:ind w:firstLine="550"/>
        <w:jc w:val="center"/>
        <w:rPr>
          <w:b/>
          <w:bCs/>
          <w:lang w:val="uk-UA"/>
        </w:rPr>
      </w:pPr>
    </w:p>
    <w:p w:rsidR="0065384A" w:rsidRDefault="00A751AA">
      <w:pPr>
        <w:pStyle w:val="a3"/>
        <w:spacing w:line="360" w:lineRule="auto"/>
      </w:pPr>
      <w:r>
        <w:t xml:space="preserve">Підвищення продуктивності праці має для торговельної галузі важливе економічне значення. Воно ефективно впливає на багато показників: товарооборот, витрати обігу, фонду заборгованості плати, прибутку. </w:t>
      </w:r>
    </w:p>
    <w:p w:rsidR="0065384A" w:rsidRDefault="00A751AA">
      <w:pPr>
        <w:pStyle w:val="a3"/>
        <w:spacing w:line="360" w:lineRule="auto"/>
      </w:pPr>
      <w:r>
        <w:t>Показником продуктивності праці в торгівлі рахується величина товарообігу на одного середньоспискового працівника в цілому, а також по окремих групах (оперативних працівниках, продавцях). Цей показник знаходиться тісній залежності від товарообороту, що веде до відбіркового застосування в аналітичній роботі.  Так він може бути застосований для глобального виміру продуктивності праці, коли немає здвигав у структурі товарообігу і зовсім його не можна застосовувати для порівняльного аналізу двох або більш різнопрофільних підприємств.</w:t>
      </w:r>
    </w:p>
    <w:p w:rsidR="0065384A" w:rsidRDefault="00A751AA">
      <w:pPr>
        <w:pStyle w:val="a3"/>
        <w:spacing w:line="360" w:lineRule="auto"/>
      </w:pPr>
      <w:r>
        <w:t>Але сам показник загальної продуктивності підлягає впливу ряду факторів.</w:t>
      </w:r>
    </w:p>
    <w:p w:rsidR="0065384A" w:rsidRDefault="00A751AA">
      <w:pPr>
        <w:pStyle w:val="a3"/>
        <w:spacing w:line="360" w:lineRule="auto"/>
        <w:rPr>
          <w:u w:val="single"/>
        </w:rPr>
      </w:pPr>
      <w:r>
        <w:rPr>
          <w:u w:val="single"/>
        </w:rPr>
        <w:t>Одним з таких факторів є зміна структури робочої сили (складу працівників).</w:t>
      </w:r>
    </w:p>
    <w:p w:rsidR="0065384A" w:rsidRDefault="00A751AA">
      <w:pPr>
        <w:pStyle w:val="a3"/>
        <w:spacing w:line="360" w:lineRule="auto"/>
      </w:pPr>
      <w:r>
        <w:t>Вихідними розрахунковими формулами можуть бути:</w:t>
      </w:r>
    </w:p>
    <w:p w:rsidR="0065384A" w:rsidRDefault="0065384A">
      <w:pPr>
        <w:pStyle w:val="a3"/>
        <w:spacing w:line="360" w:lineRule="auto"/>
        <w:jc w:val="center"/>
      </w:pPr>
    </w:p>
    <w:p w:rsidR="0065384A" w:rsidRDefault="00A751AA">
      <w:pPr>
        <w:pStyle w:val="a3"/>
        <w:spacing w:line="360" w:lineRule="auto"/>
        <w:jc w:val="center"/>
      </w:pPr>
      <w:r>
        <w:rPr>
          <w:position w:val="-54"/>
        </w:rPr>
        <w:object w:dxaOrig="1300" w:dyaOrig="1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60.75pt" o:ole="">
            <v:imagedata r:id="rId4" o:title=""/>
          </v:shape>
          <o:OLEObject Type="Embed" ProgID="Equation.3" ShapeID="_x0000_i1025" DrawAspect="Content" ObjectID="_1459249176" r:id="rId5"/>
        </w:object>
      </w:r>
    </w:p>
    <w:p w:rsidR="0065384A" w:rsidRDefault="00A751AA">
      <w:pPr>
        <w:spacing w:line="360" w:lineRule="auto"/>
        <w:ind w:firstLine="550"/>
        <w:rPr>
          <w:lang w:val="uk-UA"/>
        </w:rPr>
      </w:pPr>
      <w:r>
        <w:rPr>
          <w:lang w:val="uk-UA"/>
        </w:rPr>
        <w:t xml:space="preserve">де </w:t>
      </w:r>
      <w:r>
        <w:rPr>
          <w:i/>
          <w:iCs/>
          <w:lang w:val="en-US"/>
        </w:rPr>
        <w:t>N</w:t>
      </w:r>
      <w:r>
        <w:rPr>
          <w:i/>
          <w:iCs/>
          <w:vertAlign w:val="superscript"/>
          <w:lang w:val="en-US"/>
        </w:rPr>
        <w:t>p</w:t>
      </w:r>
      <w:r>
        <w:rPr>
          <w:i/>
          <w:iCs/>
        </w:rPr>
        <w:t xml:space="preserve"> </w:t>
      </w:r>
      <w:r>
        <w:t xml:space="preserve">– </w:t>
      </w:r>
      <w:r>
        <w:rPr>
          <w:lang w:val="uk-UA"/>
        </w:rPr>
        <w:t>об’єм товарообороту;</w:t>
      </w:r>
    </w:p>
    <w:p w:rsidR="0065384A" w:rsidRDefault="00A751AA">
      <w:pPr>
        <w:spacing w:line="360" w:lineRule="auto"/>
        <w:ind w:firstLine="550"/>
        <w:rPr>
          <w:lang w:val="uk-UA"/>
        </w:rPr>
      </w:pPr>
      <w:r>
        <w:rPr>
          <w:lang w:val="en-US"/>
        </w:rPr>
        <w:t>R</w:t>
      </w:r>
      <w:r>
        <w:t xml:space="preserve"> – </w:t>
      </w:r>
      <w:r>
        <w:rPr>
          <w:lang w:val="uk-UA"/>
        </w:rPr>
        <w:t>чисельність працівників;</w:t>
      </w:r>
    </w:p>
    <w:p w:rsidR="0065384A" w:rsidRDefault="00A751AA">
      <w:pPr>
        <w:spacing w:line="360" w:lineRule="auto"/>
        <w:ind w:firstLine="550"/>
        <w:rPr>
          <w:lang w:val="uk-UA"/>
        </w:rPr>
      </w:pPr>
      <w:r>
        <w:rPr>
          <w:lang w:val="en-US"/>
        </w:rPr>
        <w:t>D</w:t>
      </w:r>
      <w:r>
        <w:t xml:space="preserve"> – </w:t>
      </w:r>
      <w:r>
        <w:rPr>
          <w:lang w:val="uk-UA"/>
        </w:rPr>
        <w:t>продуктивність праці.</w:t>
      </w:r>
    </w:p>
    <w:p w:rsidR="0065384A" w:rsidRDefault="00A751AA">
      <w:pPr>
        <w:pStyle w:val="a3"/>
        <w:spacing w:line="360" w:lineRule="auto"/>
      </w:pPr>
      <w:r>
        <w:t xml:space="preserve">Маючи дані про питому вагу продавців в загальній чисельності робітників (продавці, касири, контролери, консультанти, адміністратори, менеджери та ін.), питому вагу оперативних працівників в загальній чисельності всіх працюючих, можна визначити вплив на показник продуктивності праці зміну складу торговельних працівників. Залежність продуктивності праці від складу торговельних працівників в загальному вигляді відображається так: </w:t>
      </w:r>
    </w:p>
    <w:p w:rsidR="0065384A" w:rsidRDefault="00A751AA">
      <w:pPr>
        <w:spacing w:line="360" w:lineRule="auto"/>
        <w:ind w:firstLine="550"/>
        <w:jc w:val="center"/>
        <w:rPr>
          <w:lang w:val="uk-UA"/>
        </w:rPr>
      </w:pPr>
      <w:r>
        <w:rPr>
          <w:position w:val="-28"/>
          <w:lang w:val="uk-UA"/>
        </w:rPr>
        <w:object w:dxaOrig="2460" w:dyaOrig="760">
          <v:shape id="_x0000_i1026" type="#_x0000_t75" style="width:123pt;height:38.25pt" o:ole="">
            <v:imagedata r:id="rId6" o:title=""/>
          </v:shape>
          <o:OLEObject Type="Embed" ProgID="Equation.3" ShapeID="_x0000_i1026" DrawAspect="Content" ObjectID="_1459249177" r:id="rId7"/>
        </w:object>
      </w:r>
      <w:r>
        <w:rPr>
          <w:lang w:val="uk-UA"/>
        </w:rPr>
        <w:t>,</w:t>
      </w:r>
    </w:p>
    <w:p w:rsidR="0065384A" w:rsidRDefault="00A751AA">
      <w:pPr>
        <w:spacing w:line="360" w:lineRule="auto"/>
        <w:ind w:firstLine="550"/>
        <w:jc w:val="both"/>
        <w:rPr>
          <w:lang w:val="uk-UA"/>
        </w:rPr>
      </w:pPr>
      <w:r>
        <w:rPr>
          <w:lang w:val="uk-UA"/>
        </w:rPr>
        <w:t xml:space="preserve">де </w:t>
      </w:r>
      <w:r>
        <w:rPr>
          <w:lang w:val="en-US"/>
        </w:rPr>
        <w:t>R</w:t>
      </w:r>
      <w:r>
        <w:rPr>
          <w:vertAlign w:val="superscript"/>
          <w:lang w:val="en-US"/>
        </w:rPr>
        <w:t>I</w:t>
      </w:r>
      <w:r>
        <w:t xml:space="preserve"> </w:t>
      </w:r>
      <w:r>
        <w:rPr>
          <w:lang w:val="uk-UA"/>
        </w:rPr>
        <w:t>– чисельність продавців</w:t>
      </w:r>
    </w:p>
    <w:p w:rsidR="0065384A" w:rsidRDefault="00A751AA">
      <w:pPr>
        <w:spacing w:line="360" w:lineRule="auto"/>
        <w:ind w:firstLine="550"/>
        <w:jc w:val="both"/>
        <w:rPr>
          <w:lang w:val="uk-UA"/>
        </w:rPr>
      </w:pPr>
      <w:r>
        <w:rPr>
          <w:lang w:val="en-US"/>
        </w:rPr>
        <w:t>R</w:t>
      </w:r>
      <w:r>
        <w:rPr>
          <w:vertAlign w:val="superscript"/>
          <w:lang w:val="uk-UA"/>
        </w:rPr>
        <w:t>ІІ</w:t>
      </w:r>
      <w:r>
        <w:rPr>
          <w:lang w:val="uk-UA"/>
        </w:rPr>
        <w:t xml:space="preserve"> – чисельність оперативних працівників</w:t>
      </w:r>
    </w:p>
    <w:p w:rsidR="0065384A" w:rsidRDefault="00A751AA">
      <w:pPr>
        <w:spacing w:line="360" w:lineRule="auto"/>
        <w:ind w:firstLine="550"/>
        <w:jc w:val="both"/>
        <w:rPr>
          <w:lang w:val="uk-UA"/>
        </w:rPr>
      </w:pPr>
      <w:r>
        <w:rPr>
          <w:lang w:val="en-US"/>
        </w:rPr>
        <w:t>R</w:t>
      </w:r>
      <w:r>
        <w:rPr>
          <w:vertAlign w:val="superscript"/>
          <w:lang w:val="uk-UA"/>
        </w:rPr>
        <w:t>ІІІ</w:t>
      </w:r>
      <w:r>
        <w:rPr>
          <w:lang w:val="uk-UA"/>
        </w:rPr>
        <w:t xml:space="preserve"> – чисельність усіх працюючих.</w:t>
      </w:r>
    </w:p>
    <w:p w:rsidR="0065384A" w:rsidRDefault="00A751AA">
      <w:pPr>
        <w:spacing w:line="360" w:lineRule="auto"/>
        <w:ind w:firstLine="550"/>
        <w:jc w:val="both"/>
        <w:rPr>
          <w:lang w:val="uk-UA"/>
        </w:rPr>
      </w:pPr>
      <w:r>
        <w:rPr>
          <w:lang w:val="uk-UA"/>
        </w:rPr>
        <w:t>Продуктивність праці безпосередньо пов’язана з якістю або з бездефектністю праці торговельних працівників усіх категорій. Більш того, система бездефектної праці, направлена на розвиток ініціативи робітників, виховання почуття відповідальності за особистий вклад у трудові зусилля колективу, забезпечує підвищення якості всієї роботи та якості обслуговування покупців.</w:t>
      </w:r>
    </w:p>
    <w:p w:rsidR="0065384A" w:rsidRDefault="00A751AA">
      <w:pPr>
        <w:spacing w:line="360" w:lineRule="auto"/>
        <w:ind w:firstLine="550"/>
        <w:jc w:val="both"/>
        <w:rPr>
          <w:lang w:val="uk-UA"/>
        </w:rPr>
      </w:pPr>
      <w:r>
        <w:rPr>
          <w:lang w:val="uk-UA"/>
        </w:rPr>
        <w:t>Облік і аналіз різних недоліків і упущень в роботі, які раніше не завжди фіксувалися, дозволяє прийняти систему бездефектної праці за основу раціонального використання трудових ресурсів, найбільш продуктивної праці, поставити у велику залежність оплату праці та її кількість і якість.</w:t>
      </w:r>
    </w:p>
    <w:p w:rsidR="0065384A" w:rsidRDefault="00A751AA">
      <w:pPr>
        <w:spacing w:line="360" w:lineRule="auto"/>
        <w:ind w:firstLine="550"/>
        <w:jc w:val="both"/>
        <w:rPr>
          <w:lang w:val="uk-UA"/>
        </w:rPr>
      </w:pPr>
      <w:r>
        <w:rPr>
          <w:lang w:val="uk-UA"/>
        </w:rPr>
        <w:t>Кількісна оцінка праці – важливий складник в системі бездефектної праці.</w:t>
      </w:r>
    </w:p>
    <w:p w:rsidR="0065384A" w:rsidRDefault="00A751AA">
      <w:pPr>
        <w:spacing w:line="360" w:lineRule="auto"/>
        <w:ind w:firstLine="550"/>
        <w:jc w:val="both"/>
        <w:rPr>
          <w:lang w:val="uk-UA"/>
        </w:rPr>
      </w:pPr>
      <w:r>
        <w:rPr>
          <w:lang w:val="uk-UA"/>
        </w:rPr>
        <w:t>Кількісним показником є коефіцієнт якості праці. Він представляє можливість кількісно відобразити ступінь якості праці як окремого працівника, так і праці всього колективу підприємства та його підрозділів. Найвище значення даного показника прирівнюється до одиниці. Всі недоліки і упущення в роботі окремих робітників оцінюються величинами, меншими за одиницю, так, щоб їх сума її не перевищувала. Практично їх сума майже завжди складає лиш частину одиниці.</w:t>
      </w:r>
    </w:p>
    <w:p w:rsidR="0065384A" w:rsidRDefault="00A751AA">
      <w:pPr>
        <w:spacing w:line="360" w:lineRule="auto"/>
        <w:ind w:firstLine="550"/>
        <w:jc w:val="both"/>
        <w:rPr>
          <w:lang w:val="uk-UA"/>
        </w:rPr>
      </w:pPr>
      <w:r>
        <w:rPr>
          <w:lang w:val="uk-UA"/>
        </w:rPr>
        <w:t>Кількісні величини залуження коефіцієнта якості праці, які можна назвати субкоефіцієнтами, встановлюються диференційовано для кожної групи працівників: продавців, касирів, робітників, адміністраторів, завідуючих складами і т.д.</w:t>
      </w:r>
    </w:p>
    <w:p w:rsidR="0065384A" w:rsidRDefault="00A751AA">
      <w:pPr>
        <w:spacing w:line="360" w:lineRule="auto"/>
        <w:ind w:firstLine="550"/>
        <w:jc w:val="both"/>
        <w:rPr>
          <w:lang w:val="uk-UA"/>
        </w:rPr>
      </w:pPr>
      <w:r>
        <w:rPr>
          <w:lang w:val="uk-UA"/>
        </w:rPr>
        <w:t>У таблиці 3.1 наведені субкоефіцієнти, що встановлені для продавців ДП “Будівельник” тобто зниження коефіцієнтів якості праці за кожний випадок порушення в долях одиниці.</w:t>
      </w:r>
    </w:p>
    <w:p w:rsidR="0065384A" w:rsidRDefault="0065384A">
      <w:pPr>
        <w:spacing w:line="360" w:lineRule="auto"/>
        <w:ind w:firstLine="550"/>
        <w:jc w:val="both"/>
        <w:rPr>
          <w:lang w:val="uk-UA"/>
        </w:rPr>
      </w:pPr>
    </w:p>
    <w:p w:rsidR="0065384A" w:rsidRDefault="00A751AA">
      <w:pPr>
        <w:spacing w:line="360" w:lineRule="auto"/>
        <w:ind w:firstLine="550"/>
        <w:jc w:val="right"/>
        <w:rPr>
          <w:lang w:val="uk-UA"/>
        </w:rPr>
      </w:pPr>
      <w:r>
        <w:rPr>
          <w:lang w:val="uk-UA"/>
        </w:rPr>
        <w:t>Таблиця 3.1.</w:t>
      </w:r>
    </w:p>
    <w:p w:rsidR="0065384A" w:rsidRDefault="00A751AA">
      <w:pPr>
        <w:pStyle w:val="20"/>
        <w:spacing w:line="360" w:lineRule="auto"/>
      </w:pPr>
      <w:r>
        <w:t>Субкоефіцієнти зниження коефіцієнта якості праці за кожний випадок порушення на ДП “Будівельник”.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
        <w:gridCol w:w="7025"/>
        <w:gridCol w:w="2249"/>
      </w:tblGrid>
      <w:tr w:rsidR="0065384A">
        <w:tc>
          <w:tcPr>
            <w:tcW w:w="583" w:type="dxa"/>
            <w:vAlign w:val="center"/>
          </w:tcPr>
          <w:p w:rsidR="0065384A" w:rsidRDefault="00A751AA">
            <w:pPr>
              <w:spacing w:line="360" w:lineRule="auto"/>
              <w:jc w:val="center"/>
              <w:rPr>
                <w:lang w:val="uk-UA"/>
              </w:rPr>
            </w:pPr>
            <w:r>
              <w:rPr>
                <w:lang w:val="uk-UA"/>
              </w:rPr>
              <w:t>№</w:t>
            </w:r>
          </w:p>
        </w:tc>
        <w:tc>
          <w:tcPr>
            <w:tcW w:w="7025" w:type="dxa"/>
          </w:tcPr>
          <w:p w:rsidR="0065384A" w:rsidRDefault="00A751AA">
            <w:pPr>
              <w:spacing w:line="360" w:lineRule="auto"/>
              <w:jc w:val="center"/>
              <w:rPr>
                <w:lang w:val="uk-UA"/>
              </w:rPr>
            </w:pPr>
            <w:r>
              <w:rPr>
                <w:lang w:val="uk-UA"/>
              </w:rPr>
              <w:t>Назва порушення</w:t>
            </w:r>
          </w:p>
        </w:tc>
        <w:tc>
          <w:tcPr>
            <w:tcW w:w="2249" w:type="dxa"/>
            <w:vAlign w:val="center"/>
          </w:tcPr>
          <w:p w:rsidR="0065384A" w:rsidRDefault="00A751AA">
            <w:pPr>
              <w:spacing w:line="360" w:lineRule="auto"/>
              <w:jc w:val="center"/>
              <w:rPr>
                <w:lang w:val="uk-UA"/>
              </w:rPr>
            </w:pPr>
            <w:r>
              <w:rPr>
                <w:lang w:val="uk-UA"/>
              </w:rPr>
              <w:t>Значення</w:t>
            </w:r>
          </w:p>
        </w:tc>
      </w:tr>
      <w:tr w:rsidR="0065384A">
        <w:tc>
          <w:tcPr>
            <w:tcW w:w="583" w:type="dxa"/>
            <w:vAlign w:val="center"/>
          </w:tcPr>
          <w:p w:rsidR="0065384A" w:rsidRDefault="00A751AA">
            <w:pPr>
              <w:spacing w:line="360" w:lineRule="auto"/>
              <w:jc w:val="center"/>
              <w:rPr>
                <w:lang w:val="uk-UA"/>
              </w:rPr>
            </w:pPr>
            <w:r>
              <w:rPr>
                <w:lang w:val="uk-UA"/>
              </w:rPr>
              <w:t>К</w:t>
            </w:r>
            <w:r>
              <w:rPr>
                <w:vertAlign w:val="subscript"/>
                <w:lang w:val="uk-UA"/>
              </w:rPr>
              <w:t>1</w:t>
            </w:r>
          </w:p>
        </w:tc>
        <w:tc>
          <w:tcPr>
            <w:tcW w:w="7025" w:type="dxa"/>
          </w:tcPr>
          <w:p w:rsidR="0065384A" w:rsidRDefault="00A751AA">
            <w:pPr>
              <w:spacing w:line="360" w:lineRule="auto"/>
              <w:jc w:val="both"/>
              <w:rPr>
                <w:lang w:val="uk-UA"/>
              </w:rPr>
            </w:pPr>
            <w:r>
              <w:rPr>
                <w:lang w:val="uk-UA"/>
              </w:rPr>
              <w:t>Непідготовлене робоче місце до відкриття магазину, пасивність в обслуговуванні покупців</w:t>
            </w:r>
          </w:p>
        </w:tc>
        <w:tc>
          <w:tcPr>
            <w:tcW w:w="2249" w:type="dxa"/>
            <w:vAlign w:val="center"/>
          </w:tcPr>
          <w:p w:rsidR="0065384A" w:rsidRDefault="00A751AA">
            <w:pPr>
              <w:spacing w:line="360" w:lineRule="auto"/>
              <w:jc w:val="center"/>
              <w:rPr>
                <w:lang w:val="uk-UA"/>
              </w:rPr>
            </w:pPr>
            <w:r>
              <w:rPr>
                <w:lang w:val="uk-UA"/>
              </w:rPr>
              <w:t>0,2</w:t>
            </w:r>
          </w:p>
        </w:tc>
      </w:tr>
      <w:tr w:rsidR="0065384A">
        <w:tc>
          <w:tcPr>
            <w:tcW w:w="583" w:type="dxa"/>
            <w:vAlign w:val="center"/>
          </w:tcPr>
          <w:p w:rsidR="0065384A" w:rsidRDefault="00A751AA">
            <w:pPr>
              <w:spacing w:line="360" w:lineRule="auto"/>
              <w:jc w:val="center"/>
              <w:rPr>
                <w:lang w:val="uk-UA"/>
              </w:rPr>
            </w:pPr>
            <w:r>
              <w:rPr>
                <w:lang w:val="uk-UA"/>
              </w:rPr>
              <w:t>К</w:t>
            </w:r>
            <w:r>
              <w:rPr>
                <w:vertAlign w:val="subscript"/>
                <w:lang w:val="uk-UA"/>
              </w:rPr>
              <w:t>2</w:t>
            </w:r>
          </w:p>
        </w:tc>
        <w:tc>
          <w:tcPr>
            <w:tcW w:w="7025" w:type="dxa"/>
          </w:tcPr>
          <w:p w:rsidR="0065384A" w:rsidRDefault="00A751AA">
            <w:pPr>
              <w:spacing w:line="360" w:lineRule="auto"/>
              <w:jc w:val="both"/>
              <w:rPr>
                <w:lang w:val="uk-UA"/>
              </w:rPr>
            </w:pPr>
            <w:r>
              <w:rPr>
                <w:lang w:val="uk-UA"/>
              </w:rPr>
              <w:t>Неналежний санітарний стан робочого місця, відхилення від затвердженої форми одягу</w:t>
            </w:r>
          </w:p>
        </w:tc>
        <w:tc>
          <w:tcPr>
            <w:tcW w:w="2249" w:type="dxa"/>
            <w:vAlign w:val="center"/>
          </w:tcPr>
          <w:p w:rsidR="0065384A" w:rsidRDefault="00A751AA">
            <w:pPr>
              <w:spacing w:line="360" w:lineRule="auto"/>
              <w:jc w:val="center"/>
              <w:rPr>
                <w:lang w:val="uk-UA"/>
              </w:rPr>
            </w:pPr>
            <w:r>
              <w:rPr>
                <w:lang w:val="uk-UA"/>
              </w:rPr>
              <w:t>0,1</w:t>
            </w:r>
          </w:p>
        </w:tc>
      </w:tr>
      <w:tr w:rsidR="0065384A">
        <w:tc>
          <w:tcPr>
            <w:tcW w:w="583" w:type="dxa"/>
            <w:vAlign w:val="center"/>
          </w:tcPr>
          <w:p w:rsidR="0065384A" w:rsidRDefault="00A751AA">
            <w:pPr>
              <w:spacing w:line="360" w:lineRule="auto"/>
              <w:jc w:val="center"/>
              <w:rPr>
                <w:lang w:val="uk-UA"/>
              </w:rPr>
            </w:pPr>
            <w:r>
              <w:rPr>
                <w:lang w:val="uk-UA"/>
              </w:rPr>
              <w:t>К</w:t>
            </w:r>
            <w:r>
              <w:rPr>
                <w:vertAlign w:val="subscript"/>
                <w:lang w:val="uk-UA"/>
              </w:rPr>
              <w:t>3</w:t>
            </w:r>
          </w:p>
        </w:tc>
        <w:tc>
          <w:tcPr>
            <w:tcW w:w="7025" w:type="dxa"/>
          </w:tcPr>
          <w:p w:rsidR="0065384A" w:rsidRDefault="00A751AA">
            <w:pPr>
              <w:spacing w:line="360" w:lineRule="auto"/>
              <w:jc w:val="both"/>
              <w:rPr>
                <w:lang w:val="uk-UA"/>
              </w:rPr>
            </w:pPr>
            <w:r>
              <w:rPr>
                <w:lang w:val="uk-UA"/>
              </w:rPr>
              <w:t>Продаж неякісних товарів</w:t>
            </w:r>
          </w:p>
        </w:tc>
        <w:tc>
          <w:tcPr>
            <w:tcW w:w="2249" w:type="dxa"/>
            <w:vAlign w:val="center"/>
          </w:tcPr>
          <w:p w:rsidR="0065384A" w:rsidRDefault="00A751AA">
            <w:pPr>
              <w:spacing w:line="360" w:lineRule="auto"/>
              <w:jc w:val="center"/>
              <w:rPr>
                <w:lang w:val="uk-UA"/>
              </w:rPr>
            </w:pPr>
            <w:r>
              <w:rPr>
                <w:lang w:val="uk-UA"/>
              </w:rPr>
              <w:t>0,4</w:t>
            </w:r>
          </w:p>
        </w:tc>
      </w:tr>
      <w:tr w:rsidR="0065384A">
        <w:tc>
          <w:tcPr>
            <w:tcW w:w="583" w:type="dxa"/>
            <w:vAlign w:val="center"/>
          </w:tcPr>
          <w:p w:rsidR="0065384A" w:rsidRDefault="00A751AA">
            <w:pPr>
              <w:spacing w:line="360" w:lineRule="auto"/>
              <w:jc w:val="center"/>
              <w:rPr>
                <w:vertAlign w:val="subscript"/>
                <w:lang w:val="uk-UA"/>
              </w:rPr>
            </w:pPr>
            <w:r>
              <w:rPr>
                <w:lang w:val="uk-UA"/>
              </w:rPr>
              <w:t>К</w:t>
            </w:r>
            <w:r>
              <w:rPr>
                <w:vertAlign w:val="subscript"/>
                <w:lang w:val="uk-UA"/>
              </w:rPr>
              <w:t>4</w:t>
            </w:r>
          </w:p>
        </w:tc>
        <w:tc>
          <w:tcPr>
            <w:tcW w:w="7025" w:type="dxa"/>
          </w:tcPr>
          <w:p w:rsidR="0065384A" w:rsidRDefault="00A751AA">
            <w:pPr>
              <w:spacing w:line="360" w:lineRule="auto"/>
              <w:jc w:val="both"/>
              <w:rPr>
                <w:lang w:val="uk-UA"/>
              </w:rPr>
            </w:pPr>
            <w:r>
              <w:rPr>
                <w:lang w:val="uk-UA"/>
              </w:rPr>
              <w:t>Порушення правил внутрішнього розпорядку</w:t>
            </w:r>
          </w:p>
        </w:tc>
        <w:tc>
          <w:tcPr>
            <w:tcW w:w="2249" w:type="dxa"/>
            <w:vAlign w:val="center"/>
          </w:tcPr>
          <w:p w:rsidR="0065384A" w:rsidRDefault="00A751AA">
            <w:pPr>
              <w:spacing w:line="360" w:lineRule="auto"/>
              <w:jc w:val="center"/>
              <w:rPr>
                <w:lang w:val="uk-UA"/>
              </w:rPr>
            </w:pPr>
            <w:r>
              <w:rPr>
                <w:lang w:val="uk-UA"/>
              </w:rPr>
              <w:t>0,2</w:t>
            </w:r>
          </w:p>
        </w:tc>
      </w:tr>
      <w:tr w:rsidR="0065384A">
        <w:tc>
          <w:tcPr>
            <w:tcW w:w="583" w:type="dxa"/>
            <w:vAlign w:val="center"/>
          </w:tcPr>
          <w:p w:rsidR="0065384A" w:rsidRDefault="00A751AA">
            <w:pPr>
              <w:spacing w:line="360" w:lineRule="auto"/>
              <w:jc w:val="center"/>
              <w:rPr>
                <w:vertAlign w:val="subscript"/>
                <w:lang w:val="uk-UA"/>
              </w:rPr>
            </w:pPr>
            <w:r>
              <w:rPr>
                <w:lang w:val="uk-UA"/>
              </w:rPr>
              <w:t>К</w:t>
            </w:r>
            <w:r>
              <w:rPr>
                <w:vertAlign w:val="subscript"/>
                <w:lang w:val="uk-UA"/>
              </w:rPr>
              <w:t>5</w:t>
            </w:r>
          </w:p>
        </w:tc>
        <w:tc>
          <w:tcPr>
            <w:tcW w:w="7025" w:type="dxa"/>
          </w:tcPr>
          <w:p w:rsidR="0065384A" w:rsidRDefault="00A751AA">
            <w:pPr>
              <w:spacing w:line="360" w:lineRule="auto"/>
              <w:jc w:val="both"/>
              <w:rPr>
                <w:lang w:val="uk-UA"/>
              </w:rPr>
            </w:pPr>
            <w:r>
              <w:rPr>
                <w:lang w:val="uk-UA"/>
              </w:rPr>
              <w:t>Небережне відношення до збереження товарно-матеріальних цінностей</w:t>
            </w:r>
          </w:p>
        </w:tc>
        <w:tc>
          <w:tcPr>
            <w:tcW w:w="2249" w:type="dxa"/>
            <w:vAlign w:val="center"/>
          </w:tcPr>
          <w:p w:rsidR="0065384A" w:rsidRDefault="00A751AA">
            <w:pPr>
              <w:spacing w:line="360" w:lineRule="auto"/>
              <w:jc w:val="center"/>
              <w:rPr>
                <w:lang w:val="uk-UA"/>
              </w:rPr>
            </w:pPr>
            <w:r>
              <w:rPr>
                <w:lang w:val="uk-UA"/>
              </w:rPr>
              <w:t>0,2</w:t>
            </w:r>
          </w:p>
        </w:tc>
      </w:tr>
      <w:tr w:rsidR="0065384A">
        <w:tc>
          <w:tcPr>
            <w:tcW w:w="583" w:type="dxa"/>
            <w:vAlign w:val="center"/>
          </w:tcPr>
          <w:p w:rsidR="0065384A" w:rsidRDefault="00A751AA">
            <w:pPr>
              <w:spacing w:line="360" w:lineRule="auto"/>
              <w:jc w:val="center"/>
              <w:rPr>
                <w:lang w:val="uk-UA"/>
              </w:rPr>
            </w:pPr>
            <w:r>
              <w:rPr>
                <w:lang w:val="uk-UA"/>
              </w:rPr>
              <w:t>К</w:t>
            </w:r>
            <w:r>
              <w:rPr>
                <w:vertAlign w:val="subscript"/>
                <w:lang w:val="uk-UA"/>
              </w:rPr>
              <w:t>6</w:t>
            </w:r>
          </w:p>
        </w:tc>
        <w:tc>
          <w:tcPr>
            <w:tcW w:w="7025" w:type="dxa"/>
          </w:tcPr>
          <w:p w:rsidR="0065384A" w:rsidRDefault="00A751AA">
            <w:pPr>
              <w:spacing w:line="360" w:lineRule="auto"/>
              <w:jc w:val="both"/>
              <w:rPr>
                <w:lang w:val="uk-UA"/>
              </w:rPr>
            </w:pPr>
            <w:r>
              <w:rPr>
                <w:lang w:val="uk-UA"/>
              </w:rPr>
              <w:t>Дрібна недостача товару та інших матеріальних цінностей</w:t>
            </w:r>
          </w:p>
        </w:tc>
        <w:tc>
          <w:tcPr>
            <w:tcW w:w="2249" w:type="dxa"/>
            <w:vAlign w:val="center"/>
          </w:tcPr>
          <w:p w:rsidR="0065384A" w:rsidRDefault="00A751AA">
            <w:pPr>
              <w:spacing w:line="360" w:lineRule="auto"/>
              <w:jc w:val="center"/>
              <w:rPr>
                <w:lang w:val="uk-UA"/>
              </w:rPr>
            </w:pPr>
            <w:r>
              <w:rPr>
                <w:lang w:val="uk-UA"/>
              </w:rPr>
              <w:t>0,8</w:t>
            </w:r>
          </w:p>
        </w:tc>
      </w:tr>
      <w:tr w:rsidR="0065384A">
        <w:tc>
          <w:tcPr>
            <w:tcW w:w="583" w:type="dxa"/>
            <w:vAlign w:val="center"/>
          </w:tcPr>
          <w:p w:rsidR="0065384A" w:rsidRDefault="00A751AA">
            <w:pPr>
              <w:spacing w:line="360" w:lineRule="auto"/>
              <w:jc w:val="center"/>
              <w:rPr>
                <w:lang w:val="uk-UA"/>
              </w:rPr>
            </w:pPr>
            <w:r>
              <w:rPr>
                <w:lang w:val="uk-UA"/>
              </w:rPr>
              <w:t>К</w:t>
            </w:r>
            <w:r>
              <w:rPr>
                <w:vertAlign w:val="subscript"/>
                <w:lang w:val="uk-UA"/>
              </w:rPr>
              <w:t>7</w:t>
            </w:r>
          </w:p>
        </w:tc>
        <w:tc>
          <w:tcPr>
            <w:tcW w:w="7025" w:type="dxa"/>
          </w:tcPr>
          <w:p w:rsidR="0065384A" w:rsidRDefault="00A751AA">
            <w:pPr>
              <w:spacing w:line="360" w:lineRule="auto"/>
              <w:jc w:val="both"/>
              <w:rPr>
                <w:lang w:val="uk-UA"/>
              </w:rPr>
            </w:pPr>
            <w:r>
              <w:rPr>
                <w:lang w:val="uk-UA"/>
              </w:rPr>
              <w:t>Незадовільна викладка товару, відсутність цінників</w:t>
            </w:r>
          </w:p>
        </w:tc>
        <w:tc>
          <w:tcPr>
            <w:tcW w:w="2249" w:type="dxa"/>
            <w:vAlign w:val="center"/>
          </w:tcPr>
          <w:p w:rsidR="0065384A" w:rsidRDefault="00A751AA">
            <w:pPr>
              <w:spacing w:line="360" w:lineRule="auto"/>
              <w:jc w:val="center"/>
              <w:rPr>
                <w:lang w:val="uk-UA"/>
              </w:rPr>
            </w:pPr>
            <w:r>
              <w:rPr>
                <w:lang w:val="uk-UA"/>
              </w:rPr>
              <w:t>0,1</w:t>
            </w:r>
          </w:p>
        </w:tc>
      </w:tr>
      <w:tr w:rsidR="0065384A">
        <w:tc>
          <w:tcPr>
            <w:tcW w:w="583" w:type="dxa"/>
            <w:vAlign w:val="center"/>
          </w:tcPr>
          <w:p w:rsidR="0065384A" w:rsidRDefault="00A751AA">
            <w:pPr>
              <w:spacing w:line="360" w:lineRule="auto"/>
              <w:jc w:val="center"/>
              <w:rPr>
                <w:lang w:val="uk-UA"/>
              </w:rPr>
            </w:pPr>
            <w:r>
              <w:rPr>
                <w:lang w:val="uk-UA"/>
              </w:rPr>
              <w:t>К</w:t>
            </w:r>
            <w:r>
              <w:rPr>
                <w:vertAlign w:val="subscript"/>
                <w:lang w:val="uk-UA"/>
              </w:rPr>
              <w:t>8</w:t>
            </w:r>
          </w:p>
        </w:tc>
        <w:tc>
          <w:tcPr>
            <w:tcW w:w="7025" w:type="dxa"/>
          </w:tcPr>
          <w:p w:rsidR="0065384A" w:rsidRDefault="00A751AA">
            <w:pPr>
              <w:spacing w:line="360" w:lineRule="auto"/>
              <w:jc w:val="both"/>
              <w:rPr>
                <w:lang w:val="uk-UA"/>
              </w:rPr>
            </w:pPr>
            <w:r>
              <w:rPr>
                <w:lang w:val="uk-UA"/>
              </w:rPr>
              <w:t>Відсутність на робочому місці товарів, що є в наявності</w:t>
            </w:r>
          </w:p>
        </w:tc>
        <w:tc>
          <w:tcPr>
            <w:tcW w:w="2249" w:type="dxa"/>
            <w:vAlign w:val="center"/>
          </w:tcPr>
          <w:p w:rsidR="0065384A" w:rsidRDefault="00A751AA">
            <w:pPr>
              <w:spacing w:line="360" w:lineRule="auto"/>
              <w:jc w:val="center"/>
              <w:rPr>
                <w:lang w:val="uk-UA"/>
              </w:rPr>
            </w:pPr>
            <w:r>
              <w:rPr>
                <w:lang w:val="uk-UA"/>
              </w:rPr>
              <w:t>0,1</w:t>
            </w:r>
          </w:p>
        </w:tc>
      </w:tr>
      <w:tr w:rsidR="0065384A">
        <w:tc>
          <w:tcPr>
            <w:tcW w:w="583" w:type="dxa"/>
            <w:vAlign w:val="center"/>
          </w:tcPr>
          <w:p w:rsidR="0065384A" w:rsidRDefault="00A751AA">
            <w:pPr>
              <w:spacing w:line="360" w:lineRule="auto"/>
              <w:jc w:val="center"/>
              <w:rPr>
                <w:lang w:val="uk-UA"/>
              </w:rPr>
            </w:pPr>
            <w:r>
              <w:rPr>
                <w:lang w:val="uk-UA"/>
              </w:rPr>
              <w:t>К</w:t>
            </w:r>
            <w:r>
              <w:rPr>
                <w:vertAlign w:val="subscript"/>
                <w:lang w:val="uk-UA"/>
              </w:rPr>
              <w:t>9</w:t>
            </w:r>
          </w:p>
        </w:tc>
        <w:tc>
          <w:tcPr>
            <w:tcW w:w="7025" w:type="dxa"/>
          </w:tcPr>
          <w:p w:rsidR="0065384A" w:rsidRDefault="00A751AA">
            <w:pPr>
              <w:spacing w:line="360" w:lineRule="auto"/>
              <w:jc w:val="both"/>
              <w:rPr>
                <w:lang w:val="uk-UA"/>
              </w:rPr>
            </w:pPr>
            <w:r>
              <w:rPr>
                <w:lang w:val="uk-UA"/>
              </w:rPr>
              <w:t>Слабке вивчення попиту на товари</w:t>
            </w:r>
          </w:p>
        </w:tc>
        <w:tc>
          <w:tcPr>
            <w:tcW w:w="2249" w:type="dxa"/>
            <w:vAlign w:val="center"/>
          </w:tcPr>
          <w:p w:rsidR="0065384A" w:rsidRDefault="00A751AA">
            <w:pPr>
              <w:spacing w:line="360" w:lineRule="auto"/>
              <w:jc w:val="center"/>
              <w:rPr>
                <w:lang w:val="uk-UA"/>
              </w:rPr>
            </w:pPr>
            <w:r>
              <w:rPr>
                <w:lang w:val="uk-UA"/>
              </w:rPr>
              <w:t>0,1</w:t>
            </w:r>
          </w:p>
        </w:tc>
      </w:tr>
      <w:tr w:rsidR="0065384A">
        <w:tc>
          <w:tcPr>
            <w:tcW w:w="583" w:type="dxa"/>
            <w:vAlign w:val="center"/>
          </w:tcPr>
          <w:p w:rsidR="0065384A" w:rsidRDefault="00A751AA">
            <w:pPr>
              <w:spacing w:line="360" w:lineRule="auto"/>
              <w:jc w:val="center"/>
              <w:rPr>
                <w:vertAlign w:val="subscript"/>
                <w:lang w:val="uk-UA"/>
              </w:rPr>
            </w:pPr>
            <w:r>
              <w:rPr>
                <w:lang w:val="uk-UA"/>
              </w:rPr>
              <w:t>К</w:t>
            </w:r>
            <w:r>
              <w:rPr>
                <w:vertAlign w:val="subscript"/>
                <w:lang w:val="uk-UA"/>
              </w:rPr>
              <w:t>10</w:t>
            </w:r>
          </w:p>
        </w:tc>
        <w:tc>
          <w:tcPr>
            <w:tcW w:w="7025" w:type="dxa"/>
          </w:tcPr>
          <w:p w:rsidR="0065384A" w:rsidRDefault="00A751AA">
            <w:pPr>
              <w:spacing w:line="360" w:lineRule="auto"/>
              <w:jc w:val="both"/>
              <w:rPr>
                <w:lang w:val="uk-UA"/>
              </w:rPr>
            </w:pPr>
            <w:r>
              <w:rPr>
                <w:lang w:val="uk-UA"/>
              </w:rPr>
              <w:t>Наявність скарг покупців</w:t>
            </w:r>
          </w:p>
        </w:tc>
        <w:tc>
          <w:tcPr>
            <w:tcW w:w="2249" w:type="dxa"/>
            <w:vAlign w:val="center"/>
          </w:tcPr>
          <w:p w:rsidR="0065384A" w:rsidRDefault="00A751AA">
            <w:pPr>
              <w:spacing w:line="360" w:lineRule="auto"/>
              <w:jc w:val="center"/>
              <w:rPr>
                <w:lang w:val="uk-UA"/>
              </w:rPr>
            </w:pPr>
            <w:r>
              <w:rPr>
                <w:lang w:val="uk-UA"/>
              </w:rPr>
              <w:t>0,2</w:t>
            </w:r>
          </w:p>
        </w:tc>
      </w:tr>
      <w:tr w:rsidR="0065384A">
        <w:tc>
          <w:tcPr>
            <w:tcW w:w="583" w:type="dxa"/>
            <w:vAlign w:val="center"/>
          </w:tcPr>
          <w:p w:rsidR="0065384A" w:rsidRDefault="00A751AA">
            <w:pPr>
              <w:spacing w:line="360" w:lineRule="auto"/>
              <w:jc w:val="center"/>
              <w:rPr>
                <w:vertAlign w:val="subscript"/>
                <w:lang w:val="uk-UA"/>
              </w:rPr>
            </w:pPr>
            <w:r>
              <w:rPr>
                <w:lang w:val="uk-UA"/>
              </w:rPr>
              <w:t>К</w:t>
            </w:r>
            <w:r>
              <w:rPr>
                <w:vertAlign w:val="subscript"/>
                <w:lang w:val="uk-UA"/>
              </w:rPr>
              <w:t>11</w:t>
            </w:r>
          </w:p>
        </w:tc>
        <w:tc>
          <w:tcPr>
            <w:tcW w:w="7025" w:type="dxa"/>
          </w:tcPr>
          <w:p w:rsidR="0065384A" w:rsidRDefault="00A751AA">
            <w:pPr>
              <w:spacing w:line="360" w:lineRule="auto"/>
              <w:jc w:val="both"/>
              <w:rPr>
                <w:lang w:val="uk-UA"/>
              </w:rPr>
            </w:pPr>
            <w:r>
              <w:rPr>
                <w:lang w:val="uk-UA"/>
              </w:rPr>
              <w:t>Невиконання розпоряджень наказів</w:t>
            </w:r>
          </w:p>
        </w:tc>
        <w:tc>
          <w:tcPr>
            <w:tcW w:w="2249" w:type="dxa"/>
            <w:vAlign w:val="center"/>
          </w:tcPr>
          <w:p w:rsidR="0065384A" w:rsidRDefault="00A751AA">
            <w:pPr>
              <w:spacing w:line="360" w:lineRule="auto"/>
              <w:jc w:val="center"/>
              <w:rPr>
                <w:lang w:val="uk-UA"/>
              </w:rPr>
            </w:pPr>
            <w:r>
              <w:rPr>
                <w:lang w:val="uk-UA"/>
              </w:rPr>
              <w:t>0,2</w:t>
            </w:r>
          </w:p>
        </w:tc>
      </w:tr>
      <w:tr w:rsidR="0065384A">
        <w:tc>
          <w:tcPr>
            <w:tcW w:w="583" w:type="dxa"/>
            <w:vAlign w:val="center"/>
          </w:tcPr>
          <w:p w:rsidR="0065384A" w:rsidRDefault="00A751AA">
            <w:pPr>
              <w:spacing w:line="360" w:lineRule="auto"/>
              <w:jc w:val="center"/>
              <w:rPr>
                <w:vertAlign w:val="subscript"/>
                <w:lang w:val="uk-UA"/>
              </w:rPr>
            </w:pPr>
            <w:r>
              <w:rPr>
                <w:lang w:val="uk-UA"/>
              </w:rPr>
              <w:t>К</w:t>
            </w:r>
            <w:r>
              <w:rPr>
                <w:vertAlign w:val="subscript"/>
                <w:lang w:val="uk-UA"/>
              </w:rPr>
              <w:t>12</w:t>
            </w:r>
          </w:p>
        </w:tc>
        <w:tc>
          <w:tcPr>
            <w:tcW w:w="7025" w:type="dxa"/>
          </w:tcPr>
          <w:p w:rsidR="0065384A" w:rsidRDefault="00A751AA">
            <w:pPr>
              <w:spacing w:line="360" w:lineRule="auto"/>
              <w:jc w:val="both"/>
              <w:rPr>
                <w:lang w:val="uk-UA"/>
              </w:rPr>
            </w:pPr>
            <w:r>
              <w:rPr>
                <w:lang w:val="uk-UA"/>
              </w:rPr>
              <w:t>Невиконання правил охорони праці</w:t>
            </w:r>
          </w:p>
        </w:tc>
        <w:tc>
          <w:tcPr>
            <w:tcW w:w="2249" w:type="dxa"/>
            <w:vAlign w:val="center"/>
          </w:tcPr>
          <w:p w:rsidR="0065384A" w:rsidRDefault="00A751AA">
            <w:pPr>
              <w:spacing w:line="360" w:lineRule="auto"/>
              <w:jc w:val="center"/>
              <w:rPr>
                <w:lang w:val="uk-UA"/>
              </w:rPr>
            </w:pPr>
            <w:r>
              <w:rPr>
                <w:lang w:val="uk-UA"/>
              </w:rPr>
              <w:t>0,1</w:t>
            </w:r>
          </w:p>
        </w:tc>
      </w:tr>
      <w:tr w:rsidR="0065384A">
        <w:tc>
          <w:tcPr>
            <w:tcW w:w="583" w:type="dxa"/>
            <w:vAlign w:val="center"/>
          </w:tcPr>
          <w:p w:rsidR="0065384A" w:rsidRDefault="00A751AA">
            <w:pPr>
              <w:spacing w:line="360" w:lineRule="auto"/>
              <w:jc w:val="center"/>
              <w:rPr>
                <w:vertAlign w:val="subscript"/>
                <w:lang w:val="uk-UA"/>
              </w:rPr>
            </w:pPr>
            <w:r>
              <w:rPr>
                <w:lang w:val="uk-UA"/>
              </w:rPr>
              <w:t>К</w:t>
            </w:r>
            <w:r>
              <w:rPr>
                <w:vertAlign w:val="subscript"/>
                <w:lang w:val="uk-UA"/>
              </w:rPr>
              <w:t>13</w:t>
            </w:r>
          </w:p>
        </w:tc>
        <w:tc>
          <w:tcPr>
            <w:tcW w:w="7025" w:type="dxa"/>
          </w:tcPr>
          <w:p w:rsidR="0065384A" w:rsidRDefault="00A751AA">
            <w:pPr>
              <w:spacing w:line="360" w:lineRule="auto"/>
              <w:jc w:val="both"/>
              <w:rPr>
                <w:lang w:val="uk-UA"/>
              </w:rPr>
            </w:pPr>
            <w:r>
              <w:rPr>
                <w:lang w:val="uk-UA"/>
              </w:rPr>
              <w:t>Порушення правил торгівлі</w:t>
            </w:r>
          </w:p>
        </w:tc>
        <w:tc>
          <w:tcPr>
            <w:tcW w:w="2249" w:type="dxa"/>
            <w:vAlign w:val="center"/>
          </w:tcPr>
          <w:p w:rsidR="0065384A" w:rsidRDefault="00A751AA">
            <w:pPr>
              <w:spacing w:line="360" w:lineRule="auto"/>
              <w:jc w:val="center"/>
              <w:rPr>
                <w:lang w:val="uk-UA"/>
              </w:rPr>
            </w:pPr>
            <w:r>
              <w:rPr>
                <w:lang w:val="uk-UA"/>
              </w:rPr>
              <w:t>0,8</w:t>
            </w:r>
          </w:p>
        </w:tc>
      </w:tr>
      <w:tr w:rsidR="0065384A">
        <w:tc>
          <w:tcPr>
            <w:tcW w:w="583" w:type="dxa"/>
            <w:vAlign w:val="center"/>
          </w:tcPr>
          <w:p w:rsidR="0065384A" w:rsidRDefault="00A751AA">
            <w:pPr>
              <w:spacing w:line="360" w:lineRule="auto"/>
              <w:jc w:val="center"/>
              <w:rPr>
                <w:vertAlign w:val="subscript"/>
                <w:lang w:val="uk-UA"/>
              </w:rPr>
            </w:pPr>
            <w:r>
              <w:rPr>
                <w:lang w:val="uk-UA"/>
              </w:rPr>
              <w:t>К</w:t>
            </w:r>
            <w:r>
              <w:rPr>
                <w:vertAlign w:val="subscript"/>
                <w:lang w:val="uk-UA"/>
              </w:rPr>
              <w:t>14</w:t>
            </w:r>
          </w:p>
        </w:tc>
        <w:tc>
          <w:tcPr>
            <w:tcW w:w="7025" w:type="dxa"/>
          </w:tcPr>
          <w:p w:rsidR="0065384A" w:rsidRDefault="00A751AA">
            <w:pPr>
              <w:spacing w:line="360" w:lineRule="auto"/>
              <w:jc w:val="both"/>
              <w:rPr>
                <w:lang w:val="uk-UA"/>
              </w:rPr>
            </w:pPr>
            <w:r>
              <w:rPr>
                <w:lang w:val="uk-UA"/>
              </w:rPr>
              <w:t>Погана упаковка товару</w:t>
            </w:r>
          </w:p>
        </w:tc>
        <w:tc>
          <w:tcPr>
            <w:tcW w:w="2249" w:type="dxa"/>
            <w:vAlign w:val="center"/>
          </w:tcPr>
          <w:p w:rsidR="0065384A" w:rsidRDefault="00A751AA">
            <w:pPr>
              <w:spacing w:line="360" w:lineRule="auto"/>
              <w:jc w:val="center"/>
              <w:rPr>
                <w:lang w:val="uk-UA"/>
              </w:rPr>
            </w:pPr>
            <w:r>
              <w:rPr>
                <w:lang w:val="uk-UA"/>
              </w:rPr>
              <w:t>0,1</w:t>
            </w:r>
          </w:p>
        </w:tc>
      </w:tr>
      <w:tr w:rsidR="0065384A">
        <w:tc>
          <w:tcPr>
            <w:tcW w:w="583" w:type="dxa"/>
            <w:vAlign w:val="center"/>
          </w:tcPr>
          <w:p w:rsidR="0065384A" w:rsidRDefault="00A751AA">
            <w:pPr>
              <w:spacing w:line="360" w:lineRule="auto"/>
              <w:jc w:val="center"/>
              <w:rPr>
                <w:vertAlign w:val="subscript"/>
                <w:lang w:val="uk-UA"/>
              </w:rPr>
            </w:pPr>
            <w:r>
              <w:rPr>
                <w:lang w:val="uk-UA"/>
              </w:rPr>
              <w:t>К</w:t>
            </w:r>
            <w:r>
              <w:rPr>
                <w:vertAlign w:val="subscript"/>
                <w:lang w:val="uk-UA"/>
              </w:rPr>
              <w:t>15</w:t>
            </w:r>
          </w:p>
        </w:tc>
        <w:tc>
          <w:tcPr>
            <w:tcW w:w="7025" w:type="dxa"/>
          </w:tcPr>
          <w:p w:rsidR="0065384A" w:rsidRDefault="00A751AA">
            <w:pPr>
              <w:spacing w:line="360" w:lineRule="auto"/>
              <w:jc w:val="both"/>
              <w:rPr>
                <w:lang w:val="uk-UA"/>
              </w:rPr>
            </w:pPr>
            <w:r>
              <w:rPr>
                <w:lang w:val="uk-UA"/>
              </w:rPr>
              <w:t>Порушення принципів самообслуговування</w:t>
            </w:r>
          </w:p>
        </w:tc>
        <w:tc>
          <w:tcPr>
            <w:tcW w:w="2249" w:type="dxa"/>
            <w:vAlign w:val="center"/>
          </w:tcPr>
          <w:p w:rsidR="0065384A" w:rsidRDefault="00A751AA">
            <w:pPr>
              <w:spacing w:line="360" w:lineRule="auto"/>
              <w:jc w:val="center"/>
              <w:rPr>
                <w:lang w:val="uk-UA"/>
              </w:rPr>
            </w:pPr>
            <w:r>
              <w:rPr>
                <w:lang w:val="uk-UA"/>
              </w:rPr>
              <w:t>0,1</w:t>
            </w:r>
          </w:p>
        </w:tc>
      </w:tr>
    </w:tbl>
    <w:p w:rsidR="0065384A" w:rsidRDefault="0065384A">
      <w:pPr>
        <w:spacing w:line="360" w:lineRule="auto"/>
        <w:ind w:firstLine="550"/>
        <w:jc w:val="both"/>
        <w:rPr>
          <w:lang w:val="uk-UA"/>
        </w:rPr>
      </w:pPr>
    </w:p>
    <w:p w:rsidR="0065384A" w:rsidRDefault="00A751AA">
      <w:pPr>
        <w:spacing w:line="360" w:lineRule="auto"/>
        <w:ind w:firstLine="550"/>
        <w:jc w:val="both"/>
        <w:rPr>
          <w:lang w:val="uk-UA"/>
        </w:rPr>
      </w:pPr>
      <w:r>
        <w:rPr>
          <w:lang w:val="uk-UA"/>
        </w:rPr>
        <w:t>Показана система субкоефіцієнтів відрізняється визначеною подвижністю, що дає можливість її застосування до специфіки торговельного підприємства.</w:t>
      </w:r>
    </w:p>
    <w:p w:rsidR="0065384A" w:rsidRDefault="00A751AA">
      <w:pPr>
        <w:spacing w:line="360" w:lineRule="auto"/>
        <w:ind w:firstLine="550"/>
        <w:jc w:val="both"/>
        <w:rPr>
          <w:lang w:val="uk-UA"/>
        </w:rPr>
      </w:pPr>
      <w:r>
        <w:rPr>
          <w:lang w:val="uk-UA"/>
        </w:rPr>
        <w:t>По мірі її удосконалення кількісні значення коефіцієнтів можуть уточнюватися, а їх кількість збільшуватись або зменшуватись.</w:t>
      </w:r>
    </w:p>
    <w:p w:rsidR="0065384A" w:rsidRDefault="00A751AA">
      <w:pPr>
        <w:spacing w:line="360" w:lineRule="auto"/>
        <w:ind w:firstLine="550"/>
        <w:jc w:val="both"/>
        <w:rPr>
          <w:lang w:val="uk-UA"/>
        </w:rPr>
      </w:pPr>
      <w:r>
        <w:rPr>
          <w:lang w:val="uk-UA"/>
        </w:rPr>
        <w:t>Фактичний місячний коефіцієнт якості праці окремого працівника визначається різницею коефіцієнта якості праці і сумою субкоефіцієнтів зниження за формулою:</w:t>
      </w:r>
    </w:p>
    <w:p w:rsidR="0065384A" w:rsidRDefault="00A751AA">
      <w:pPr>
        <w:spacing w:line="360" w:lineRule="auto"/>
        <w:ind w:firstLine="550"/>
        <w:jc w:val="center"/>
        <w:rPr>
          <w:lang w:val="uk-UA"/>
        </w:rPr>
      </w:pPr>
      <w:r>
        <w:rPr>
          <w:position w:val="-14"/>
          <w:lang w:val="uk-UA"/>
        </w:rPr>
        <w:object w:dxaOrig="2000" w:dyaOrig="420">
          <v:shape id="_x0000_i1027" type="#_x0000_t75" style="width:99.75pt;height:21pt" o:ole="">
            <v:imagedata r:id="rId8" o:title=""/>
          </v:shape>
          <o:OLEObject Type="Embed" ProgID="Equation.3" ShapeID="_x0000_i1027" DrawAspect="Content" ObjectID="_1459249178" r:id="rId9"/>
        </w:object>
      </w:r>
      <w:r>
        <w:rPr>
          <w:lang w:val="uk-UA"/>
        </w:rPr>
        <w:t>,</w:t>
      </w:r>
    </w:p>
    <w:p w:rsidR="0065384A" w:rsidRDefault="00A751AA">
      <w:pPr>
        <w:spacing w:line="360" w:lineRule="auto"/>
        <w:ind w:firstLine="550"/>
        <w:jc w:val="both"/>
        <w:rPr>
          <w:lang w:val="uk-UA"/>
        </w:rPr>
      </w:pPr>
      <w:r>
        <w:rPr>
          <w:lang w:val="uk-UA"/>
        </w:rPr>
        <w:t>де К</w:t>
      </w:r>
      <w:r>
        <w:rPr>
          <w:vertAlign w:val="subscript"/>
          <w:lang w:val="uk-UA"/>
        </w:rPr>
        <w:t>Я.П.</w:t>
      </w:r>
      <w:r>
        <w:rPr>
          <w:lang w:val="uk-UA"/>
        </w:rPr>
        <w:t xml:space="preserve"> – фактичний місячний коефіцієнт якості праці.</w:t>
      </w:r>
    </w:p>
    <w:p w:rsidR="0065384A" w:rsidRDefault="00A751AA">
      <w:pPr>
        <w:spacing w:line="360" w:lineRule="auto"/>
        <w:ind w:firstLine="550"/>
        <w:jc w:val="both"/>
        <w:rPr>
          <w:lang w:val="uk-UA"/>
        </w:rPr>
      </w:pPr>
      <w:r>
        <w:rPr>
          <w:lang w:val="uk-UA"/>
        </w:rPr>
        <w:t>К</w:t>
      </w:r>
      <w:r>
        <w:rPr>
          <w:vertAlign w:val="subscript"/>
          <w:lang w:val="uk-UA"/>
        </w:rPr>
        <w:t>3</w:t>
      </w:r>
      <w:r>
        <w:rPr>
          <w:lang w:val="uk-UA"/>
        </w:rPr>
        <w:t xml:space="preserve"> – величина коефіцієнта зниження якості праці за кожний випадок порушення.</w:t>
      </w:r>
    </w:p>
    <w:p w:rsidR="0065384A" w:rsidRDefault="00A751AA">
      <w:pPr>
        <w:spacing w:line="360" w:lineRule="auto"/>
        <w:ind w:firstLine="550"/>
        <w:jc w:val="both"/>
        <w:rPr>
          <w:lang w:val="uk-UA"/>
        </w:rPr>
      </w:pPr>
      <w:r>
        <w:rPr>
          <w:lang w:val="uk-UA"/>
        </w:rPr>
        <w:t>Зниження фактичного коефіцієнта якості праці супроводжується зменшенням преміальних виплат.</w:t>
      </w:r>
    </w:p>
    <w:p w:rsidR="0065384A" w:rsidRDefault="00A751AA">
      <w:pPr>
        <w:spacing w:line="360" w:lineRule="auto"/>
        <w:ind w:firstLine="550"/>
        <w:jc w:val="both"/>
        <w:rPr>
          <w:lang w:val="uk-UA"/>
        </w:rPr>
      </w:pPr>
      <w:r>
        <w:rPr>
          <w:lang w:val="uk-UA"/>
        </w:rPr>
        <w:t>Аналіз результатів впровадження системи бездефектної праці показує, що кількість відступлень від встановлених правил торгівлі і внутрішнього розпорядку постійно зменшується і з часом випадки порушень будуть носити одиничні випадки.</w:t>
      </w:r>
    </w:p>
    <w:p w:rsidR="0065384A" w:rsidRDefault="00A751AA">
      <w:pPr>
        <w:shd w:val="clear" w:color="auto" w:fill="FFFFFF"/>
        <w:spacing w:line="360" w:lineRule="auto"/>
        <w:ind w:firstLine="567"/>
        <w:jc w:val="both"/>
        <w:rPr>
          <w:lang w:val="uk-UA"/>
        </w:rPr>
      </w:pPr>
      <w:r>
        <w:rPr>
          <w:color w:val="000000"/>
          <w:szCs w:val="22"/>
          <w:lang w:val="uk-UA"/>
        </w:rPr>
        <w:t>2.4. Основним показником якості праці є її продуктивність. Вона формується під впливом всієї сукупності трудових всієї сукупності трудових чинників. Однак зростання продуктивності праці потрібно відрізняти від її інтенсивності (підвищення ступеня експлуатації). Таке розрізнення є суттєвим як в управлінні трудовими відносинами, так і в забезпеченні соціальної справедливості. На жаль, за чинними методиками аналізу і при наявній інформаційній базі таке розрізнення ускладнюється. Слід зауважити, що зростання продуктивності праці можливе лише за умови додаткових інвестицій (капіталізації праці), що передбачає вихідне оцінювання обгрунтованості завдань щодо зростання її продуктивності.</w:t>
      </w:r>
    </w:p>
    <w:p w:rsidR="0065384A" w:rsidRDefault="00A751AA">
      <w:pPr>
        <w:shd w:val="clear" w:color="auto" w:fill="FFFFFF"/>
        <w:spacing w:line="360" w:lineRule="auto"/>
        <w:ind w:firstLine="567"/>
        <w:jc w:val="both"/>
        <w:rPr>
          <w:color w:val="000000"/>
          <w:szCs w:val="22"/>
          <w:lang w:val="uk-UA"/>
        </w:rPr>
      </w:pPr>
      <w:r>
        <w:rPr>
          <w:color w:val="000000"/>
          <w:szCs w:val="22"/>
          <w:lang w:val="uk-UA"/>
        </w:rPr>
        <w:t>Враховуючи, що зростання продуктивності праці може відбуватися на основі реалізації організаційно-технічних заходів, тобто при мобілізації чинників її підвищення, цей можливий приріст розраховують за формулою:</w:t>
      </w:r>
    </w:p>
    <w:p w:rsidR="0065384A" w:rsidRDefault="00A751AA">
      <w:pPr>
        <w:shd w:val="clear" w:color="auto" w:fill="FFFFFF"/>
        <w:spacing w:line="360" w:lineRule="auto"/>
        <w:ind w:firstLine="567"/>
        <w:jc w:val="center"/>
        <w:rPr>
          <w:lang w:val="uk-UA"/>
        </w:rPr>
      </w:pPr>
      <w:r>
        <w:rPr>
          <w:position w:val="-44"/>
          <w:lang w:val="uk-UA"/>
        </w:rPr>
        <w:object w:dxaOrig="2299" w:dyaOrig="1020">
          <v:shape id="_x0000_i1028" type="#_x0000_t75" style="width:114.75pt;height:51pt" o:ole="">
            <v:imagedata r:id="rId10" o:title=""/>
          </v:shape>
          <o:OLEObject Type="Embed" ProgID="Equation.3" ShapeID="_x0000_i1028" DrawAspect="Content" ObjectID="_1459249179" r:id="rId11"/>
        </w:object>
      </w:r>
    </w:p>
    <w:p w:rsidR="0065384A" w:rsidRDefault="00A751AA">
      <w:pPr>
        <w:shd w:val="clear" w:color="auto" w:fill="FFFFFF"/>
        <w:spacing w:line="360" w:lineRule="auto"/>
        <w:ind w:firstLine="567"/>
        <w:jc w:val="both"/>
        <w:rPr>
          <w:lang w:val="uk-UA"/>
        </w:rPr>
      </w:pPr>
      <w:r>
        <w:rPr>
          <w:color w:val="000000"/>
          <w:szCs w:val="22"/>
          <w:lang w:val="uk-UA"/>
        </w:rPr>
        <w:t xml:space="preserve">де </w:t>
      </w:r>
      <w:r>
        <w:rPr>
          <w:position w:val="-16"/>
        </w:rPr>
        <w:object w:dxaOrig="1020" w:dyaOrig="499">
          <v:shape id="_x0000_i1029" type="#_x0000_t75" style="width:51pt;height:24.75pt" o:ole="">
            <v:imagedata r:id="rId12" o:title=""/>
          </v:shape>
          <o:OLEObject Type="Embed" ProgID="Equation.3" ShapeID="_x0000_i1029" DrawAspect="Content" ObjectID="_1459249180" r:id="rId13"/>
        </w:object>
      </w:r>
      <w:r>
        <w:rPr>
          <w:i/>
          <w:iCs/>
          <w:color w:val="000000"/>
          <w:szCs w:val="22"/>
          <w:lang w:val="uk-UA"/>
        </w:rPr>
        <w:t xml:space="preserve"> - </w:t>
      </w:r>
      <w:r>
        <w:rPr>
          <w:color w:val="000000"/>
          <w:szCs w:val="22"/>
          <w:lang w:val="uk-UA"/>
        </w:rPr>
        <w:t>відносна сумарна економія чисельності працюючих при реалізації і - 1 групи організаційно-технічних заходів, чол.;</w:t>
      </w:r>
    </w:p>
    <w:p w:rsidR="0065384A" w:rsidRDefault="00A751AA">
      <w:pPr>
        <w:shd w:val="clear" w:color="auto" w:fill="FFFFFF"/>
        <w:spacing w:line="360" w:lineRule="auto"/>
        <w:ind w:firstLine="567"/>
        <w:jc w:val="both"/>
      </w:pPr>
      <w:r>
        <w:rPr>
          <w:i/>
          <w:iCs/>
          <w:color w:val="000000"/>
          <w:szCs w:val="22"/>
          <w:lang w:val="uk-UA"/>
        </w:rPr>
        <w:t>Ч</w:t>
      </w:r>
      <w:r>
        <w:rPr>
          <w:i/>
          <w:iCs/>
          <w:color w:val="000000"/>
          <w:szCs w:val="22"/>
          <w:vertAlign w:val="subscript"/>
          <w:lang w:val="uk-UA"/>
        </w:rPr>
        <w:t>З</w:t>
      </w:r>
      <w:r>
        <w:rPr>
          <w:i/>
          <w:iCs/>
          <w:color w:val="000000"/>
          <w:szCs w:val="22"/>
          <w:lang w:val="uk-UA"/>
        </w:rPr>
        <w:t xml:space="preserve"> </w:t>
      </w:r>
      <w:r>
        <w:rPr>
          <w:color w:val="000000"/>
          <w:szCs w:val="22"/>
          <w:lang w:val="uk-UA"/>
        </w:rPr>
        <w:t>- чисельність працюючих, розрахована, виходячи із фактичної трудомісткості виробничої програми та базових норм виробітку, чол.</w:t>
      </w:r>
    </w:p>
    <w:p w:rsidR="0065384A" w:rsidRDefault="00A751AA">
      <w:pPr>
        <w:pStyle w:val="a3"/>
        <w:spacing w:line="360" w:lineRule="auto"/>
      </w:pPr>
      <w:r>
        <w:t>Таким чином, прогнозний рівень продуктивності праці працюючих визначають як:</w:t>
      </w:r>
    </w:p>
    <w:p w:rsidR="0065384A" w:rsidRDefault="00A751AA">
      <w:pPr>
        <w:shd w:val="clear" w:color="auto" w:fill="FFFFFF"/>
        <w:spacing w:line="360" w:lineRule="auto"/>
        <w:ind w:firstLine="567"/>
        <w:jc w:val="center"/>
        <w:rPr>
          <w:lang w:val="uk-UA"/>
        </w:rPr>
      </w:pPr>
      <w:r>
        <w:rPr>
          <w:position w:val="-12"/>
          <w:lang w:val="uk-UA"/>
        </w:rPr>
        <w:object w:dxaOrig="1420" w:dyaOrig="380">
          <v:shape id="_x0000_i1030" type="#_x0000_t75" style="width:71.25pt;height:18.75pt" o:ole="">
            <v:imagedata r:id="rId14" o:title=""/>
          </v:shape>
          <o:OLEObject Type="Embed" ProgID="Equation.3" ShapeID="_x0000_i1030" DrawAspect="Content" ObjectID="_1459249181" r:id="rId15"/>
        </w:object>
      </w:r>
      <w:r>
        <w:rPr>
          <w:lang w:val="uk-UA"/>
        </w:rPr>
        <w:t>,</w:t>
      </w:r>
    </w:p>
    <w:p w:rsidR="0065384A" w:rsidRDefault="00A751AA">
      <w:pPr>
        <w:shd w:val="clear" w:color="auto" w:fill="FFFFFF"/>
        <w:spacing w:line="360" w:lineRule="auto"/>
        <w:ind w:firstLine="567"/>
        <w:jc w:val="both"/>
        <w:rPr>
          <w:color w:val="000000"/>
          <w:szCs w:val="22"/>
          <w:lang w:val="uk-UA"/>
        </w:rPr>
      </w:pPr>
      <w:r>
        <w:rPr>
          <w:color w:val="000000"/>
          <w:szCs w:val="22"/>
          <w:lang w:val="uk-UA"/>
        </w:rPr>
        <w:t xml:space="preserve">де </w:t>
      </w:r>
      <w:r>
        <w:rPr>
          <w:i/>
          <w:iCs/>
          <w:color w:val="000000"/>
          <w:szCs w:val="22"/>
          <w:lang w:val="uk-UA"/>
        </w:rPr>
        <w:t>Р</w:t>
      </w:r>
      <w:r>
        <w:rPr>
          <w:i/>
          <w:iCs/>
          <w:color w:val="000000"/>
          <w:szCs w:val="22"/>
          <w:vertAlign w:val="subscript"/>
          <w:lang w:val="uk-UA"/>
        </w:rPr>
        <w:t>б</w:t>
      </w:r>
      <w:r>
        <w:rPr>
          <w:i/>
          <w:iCs/>
          <w:color w:val="000000"/>
          <w:szCs w:val="22"/>
          <w:lang w:val="uk-UA"/>
        </w:rPr>
        <w:t xml:space="preserve"> </w:t>
      </w:r>
      <w:r>
        <w:rPr>
          <w:b/>
          <w:bCs/>
          <w:i/>
          <w:iCs/>
          <w:color w:val="000000"/>
          <w:szCs w:val="22"/>
          <w:lang w:val="uk-UA"/>
        </w:rPr>
        <w:t xml:space="preserve">- </w:t>
      </w:r>
      <w:r>
        <w:rPr>
          <w:color w:val="000000"/>
          <w:szCs w:val="22"/>
          <w:lang w:val="uk-UA"/>
        </w:rPr>
        <w:t xml:space="preserve">базовий рівень продуктивності праці. </w:t>
      </w:r>
    </w:p>
    <w:p w:rsidR="0065384A" w:rsidRDefault="00A751AA">
      <w:pPr>
        <w:shd w:val="clear" w:color="auto" w:fill="FFFFFF"/>
        <w:spacing w:line="360" w:lineRule="auto"/>
        <w:ind w:firstLine="567"/>
        <w:jc w:val="both"/>
      </w:pPr>
      <w:r>
        <w:rPr>
          <w:color w:val="000000"/>
          <w:szCs w:val="22"/>
          <w:lang w:val="uk-UA"/>
        </w:rPr>
        <w:t>Аналіз зміни продуктивності праці за техніко-економічними чинниками найдоцільніший в оцінках годинного виробітку одного робітника. Щодо аналізу середньомісячного чи середньорічного виробітку одного робітника, то при цьому необхідно враховувати і використання робочого часу. Зокрема, середньорічний виробіток одного робітника аналізують під впливом таких чинників, як:</w:t>
      </w:r>
    </w:p>
    <w:p w:rsidR="0065384A" w:rsidRDefault="00A751AA">
      <w:pPr>
        <w:shd w:val="clear" w:color="auto" w:fill="FFFFFF"/>
        <w:spacing w:line="360" w:lineRule="auto"/>
        <w:ind w:firstLine="567"/>
        <w:jc w:val="both"/>
      </w:pPr>
      <w:r>
        <w:rPr>
          <w:color w:val="000000"/>
          <w:szCs w:val="22"/>
          <w:lang w:val="uk-UA"/>
        </w:rPr>
        <w:t>- зміна числа відпрацьованих кожним робітником робочих днів уроці;</w:t>
      </w:r>
    </w:p>
    <w:p w:rsidR="0065384A" w:rsidRDefault="00A751AA">
      <w:pPr>
        <w:shd w:val="clear" w:color="auto" w:fill="FFFFFF"/>
        <w:spacing w:line="360" w:lineRule="auto"/>
        <w:ind w:firstLine="567"/>
        <w:jc w:val="both"/>
        <w:rPr>
          <w:color w:val="000000"/>
          <w:szCs w:val="22"/>
          <w:lang w:val="uk-UA"/>
        </w:rPr>
      </w:pPr>
      <w:r>
        <w:rPr>
          <w:color w:val="000000"/>
          <w:szCs w:val="22"/>
          <w:lang w:val="uk-UA"/>
        </w:rPr>
        <w:t>- зміна середньогодинного виробітку одного робітника.</w:t>
      </w:r>
      <w:bookmarkStart w:id="0" w:name="_GoBack"/>
      <w:bookmarkEnd w:id="0"/>
    </w:p>
    <w:sectPr w:rsidR="0065384A">
      <w:type w:val="continuous"/>
      <w:pgSz w:w="11909" w:h="16834"/>
      <w:pgMar w:top="1134" w:right="1134" w:bottom="1134" w:left="1134" w:header="720" w:footer="720" w:gutter="0"/>
      <w:cols w:space="708"/>
      <w:noEndnote/>
      <w:docGrid w:linePitch="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50"/>
  <w:drawingGridVerticalSpacing w:val="68"/>
  <w:displayHorizontalDrawingGridEvery w:val="0"/>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51AA"/>
    <w:rsid w:val="00230CA4"/>
    <w:rsid w:val="0065384A"/>
    <w:rsid w:val="00A751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6094CD1C-C64B-4371-BA5C-EB10C9C73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rPr>
  </w:style>
  <w:style w:type="paragraph" w:styleId="2">
    <w:name w:val="heading 2"/>
    <w:basedOn w:val="a"/>
    <w:next w:val="a"/>
    <w:qFormat/>
    <w:pPr>
      <w:keepNext/>
      <w:widowControl w:val="0"/>
      <w:shd w:val="clear" w:color="auto" w:fill="FFFFFF"/>
      <w:autoSpaceDE w:val="0"/>
      <w:autoSpaceDN w:val="0"/>
      <w:adjustRightInd w:val="0"/>
      <w:ind w:firstLine="567"/>
      <w:jc w:val="right"/>
      <w:outlineLvl w:val="1"/>
    </w:pPr>
    <w:rPr>
      <w:i/>
      <w:iCs/>
      <w:color w:val="000000"/>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50"/>
      <w:jc w:val="both"/>
    </w:pPr>
    <w:rPr>
      <w:lang w:val="uk-UA"/>
    </w:rPr>
  </w:style>
  <w:style w:type="paragraph" w:styleId="20">
    <w:name w:val="Body Text Indent 2"/>
    <w:basedOn w:val="a"/>
    <w:semiHidden/>
    <w:pPr>
      <w:ind w:firstLine="550"/>
      <w:jc w:val="center"/>
    </w:pPr>
    <w:rPr>
      <w:b/>
      <w:bCs/>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5" Type="http://schemas.openxmlformats.org/officeDocument/2006/relationships/oleObject" Target="embeddings/oleObject1.bin"/><Relationship Id="rId15" Type="http://schemas.openxmlformats.org/officeDocument/2006/relationships/oleObject" Target="embeddings/oleObject6.bin"/><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1025</Words>
  <Characters>5847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Економіка. Банківська справа</Manager>
  <Company>Економіка. Банківська справа</Company>
  <LinksUpToDate>false</LinksUpToDate>
  <CharactersWithSpaces>6859</CharactersWithSpaces>
  <SharedDoc>false</SharedDoc>
  <HyperlinkBase>Економіка. Банківська справа</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Економіка. Банківська справа</dc:subject>
  <dc:creator>Економіка. Банківська справа</dc:creator>
  <cp:keywords>Економіка. Банківська справа</cp:keywords>
  <dc:description>Економіка. Банківська справа</dc:description>
  <cp:lastModifiedBy>admin</cp:lastModifiedBy>
  <cp:revision>2</cp:revision>
  <dcterms:created xsi:type="dcterms:W3CDTF">2014-04-17T11:13:00Z</dcterms:created>
  <dcterms:modified xsi:type="dcterms:W3CDTF">2014-04-17T11:13:00Z</dcterms:modified>
  <cp:category>Економіка. Банківська справа</cp:category>
</cp:coreProperties>
</file>