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5D" w:rsidRDefault="00CA4F41">
      <w:pPr>
        <w:spacing w:before="100"/>
        <w:jc w:val="center"/>
      </w:pPr>
      <w:r>
        <w:rPr>
          <w:noProof/>
        </w:rPr>
        <w:pict>
          <v:rect id="_x0000_s1026" style="position:absolute;left:0;text-align:left;margin-left:.9pt;margin-top:-2.05pt;width:508.1pt;height:728.35pt;z-index:-251658752" o:allowincell="f" strokeweight="3.25pt">
            <v:stroke linestyle="thinThin"/>
          </v:rect>
        </w:pict>
      </w:r>
      <w:r w:rsidR="00705D36">
        <w:t>Міністерство освіти України</w:t>
      </w:r>
    </w:p>
    <w:p w:rsidR="00D0085D" w:rsidRDefault="00705D36">
      <w:pPr>
        <w:spacing w:after="700"/>
        <w:jc w:val="center"/>
      </w:pPr>
      <w:r>
        <w:t>Прикарпатський університет ім. В. Стефаника</w:t>
      </w:r>
    </w:p>
    <w:p w:rsidR="00D0085D" w:rsidRDefault="00705D36">
      <w:pPr>
        <w:pStyle w:val="1"/>
        <w:spacing w:before="3000"/>
      </w:pPr>
      <w:r>
        <w:t>РЕФЕРАТ</w:t>
      </w:r>
    </w:p>
    <w:p w:rsidR="00D0085D" w:rsidRDefault="00705D36">
      <w:pPr>
        <w:pStyle w:val="2"/>
        <w:rPr>
          <w:sz w:val="14"/>
        </w:rPr>
      </w:pPr>
      <w:r>
        <w:rPr>
          <w:rFonts w:ascii="Garamond" w:hAnsi="Garamond"/>
          <w:b/>
          <w:spacing w:val="24"/>
          <w:sz w:val="86"/>
        </w:rPr>
        <w:t>Тема</w:t>
      </w:r>
      <w:r>
        <w:rPr>
          <w:b/>
          <w:i/>
          <w:sz w:val="86"/>
        </w:rPr>
        <w:t>: Магдебурзьке право</w:t>
      </w:r>
    </w:p>
    <w:p w:rsidR="00D0085D" w:rsidRDefault="00705D36">
      <w:pPr>
        <w:spacing w:before="5500"/>
        <w:jc w:val="center"/>
      </w:pPr>
      <w:r>
        <w:t>м. Івано – Франківьск 1999 р.</w:t>
      </w:r>
    </w:p>
    <w:p w:rsidR="00D0085D" w:rsidRDefault="00705D36">
      <w:pPr>
        <w:spacing w:after="1100"/>
        <w:jc w:val="center"/>
        <w:rPr>
          <w:b/>
          <w:sz w:val="38"/>
          <w:u w:val="single"/>
        </w:rPr>
      </w:pPr>
      <w:r>
        <w:rPr>
          <w:sz w:val="44"/>
        </w:rPr>
        <w:br w:type="page"/>
      </w:r>
      <w:r>
        <w:rPr>
          <w:b/>
          <w:sz w:val="38"/>
          <w:u w:val="single"/>
        </w:rPr>
        <w:t>ПЛАН</w:t>
      </w:r>
    </w:p>
    <w:p w:rsidR="00D0085D" w:rsidRDefault="00705D36">
      <w:pPr>
        <w:numPr>
          <w:ilvl w:val="0"/>
          <w:numId w:val="2"/>
        </w:numPr>
        <w:tabs>
          <w:tab w:val="clear" w:pos="720"/>
          <w:tab w:val="num" w:pos="-1843"/>
        </w:tabs>
        <w:spacing w:after="200"/>
        <w:ind w:left="426" w:hanging="426"/>
        <w:jc w:val="both"/>
        <w:rPr>
          <w:b/>
        </w:rPr>
      </w:pPr>
      <w:r>
        <w:rPr>
          <w:b/>
        </w:rPr>
        <w:t>Причини становлення Магдебурзького права в Україні.</w:t>
      </w:r>
    </w:p>
    <w:p w:rsidR="00D0085D" w:rsidRDefault="00705D36">
      <w:pPr>
        <w:numPr>
          <w:ilvl w:val="0"/>
          <w:numId w:val="2"/>
        </w:numPr>
        <w:tabs>
          <w:tab w:val="clear" w:pos="720"/>
          <w:tab w:val="num" w:pos="-1843"/>
        </w:tabs>
        <w:spacing w:after="200"/>
        <w:ind w:left="426" w:hanging="426"/>
        <w:jc w:val="both"/>
        <w:rPr>
          <w:b/>
        </w:rPr>
      </w:pPr>
      <w:r>
        <w:rPr>
          <w:b/>
        </w:rPr>
        <w:t>Суть Магдебурзького права.</w:t>
      </w:r>
    </w:p>
    <w:p w:rsidR="00D0085D" w:rsidRDefault="00705D36">
      <w:pPr>
        <w:tabs>
          <w:tab w:val="num" w:pos="-1843"/>
        </w:tabs>
        <w:spacing w:after="200"/>
        <w:ind w:left="426" w:hanging="142"/>
        <w:jc w:val="both"/>
      </w:pPr>
      <w:r>
        <w:t>а)</w:t>
      </w:r>
      <w:r>
        <w:tab/>
        <w:t>магістратська Управа;</w:t>
      </w:r>
    </w:p>
    <w:p w:rsidR="00D0085D" w:rsidRDefault="00705D36">
      <w:pPr>
        <w:tabs>
          <w:tab w:val="num" w:pos="-1843"/>
        </w:tabs>
        <w:spacing w:after="200"/>
        <w:ind w:left="426" w:hanging="142"/>
        <w:jc w:val="both"/>
      </w:pPr>
      <w:r>
        <w:t>б)</w:t>
      </w:r>
      <w:r>
        <w:tab/>
        <w:t>ратушна управа;</w:t>
      </w:r>
    </w:p>
    <w:p w:rsidR="00D0085D" w:rsidRDefault="00705D36">
      <w:pPr>
        <w:numPr>
          <w:ilvl w:val="0"/>
          <w:numId w:val="2"/>
        </w:numPr>
        <w:tabs>
          <w:tab w:val="clear" w:pos="720"/>
          <w:tab w:val="num" w:pos="-1843"/>
        </w:tabs>
        <w:spacing w:after="200"/>
        <w:ind w:left="426" w:hanging="426"/>
        <w:jc w:val="both"/>
        <w:rPr>
          <w:b/>
        </w:rPr>
      </w:pPr>
      <w:r>
        <w:rPr>
          <w:b/>
        </w:rPr>
        <w:t>Суд та його функції. Апеляційний суд.</w:t>
      </w:r>
    </w:p>
    <w:p w:rsidR="00D0085D" w:rsidRDefault="00705D36">
      <w:pPr>
        <w:numPr>
          <w:ilvl w:val="0"/>
          <w:numId w:val="2"/>
        </w:numPr>
        <w:tabs>
          <w:tab w:val="clear" w:pos="720"/>
          <w:tab w:val="num" w:pos="-1843"/>
        </w:tabs>
        <w:spacing w:after="200"/>
        <w:ind w:left="426" w:hanging="426"/>
        <w:jc w:val="both"/>
        <w:rPr>
          <w:b/>
        </w:rPr>
      </w:pPr>
      <w:r>
        <w:rPr>
          <w:b/>
        </w:rPr>
        <w:t>Становище війта, бурмістрів, лавників, радців.</w:t>
      </w:r>
    </w:p>
    <w:p w:rsidR="00D0085D" w:rsidRDefault="00705D36">
      <w:pPr>
        <w:numPr>
          <w:ilvl w:val="0"/>
          <w:numId w:val="2"/>
        </w:numPr>
        <w:tabs>
          <w:tab w:val="clear" w:pos="720"/>
          <w:tab w:val="num" w:pos="-1843"/>
        </w:tabs>
        <w:spacing w:after="200"/>
        <w:ind w:left="426" w:hanging="426"/>
        <w:jc w:val="both"/>
        <w:rPr>
          <w:b/>
        </w:rPr>
      </w:pPr>
      <w:r>
        <w:rPr>
          <w:b/>
        </w:rPr>
        <w:t>Міста, які отримали магдебурзьке право. Їх внутрішні відносини.</w:t>
      </w:r>
    </w:p>
    <w:p w:rsidR="00D0085D" w:rsidRDefault="00705D36">
      <w:pPr>
        <w:numPr>
          <w:ilvl w:val="0"/>
          <w:numId w:val="2"/>
        </w:numPr>
        <w:tabs>
          <w:tab w:val="clear" w:pos="720"/>
          <w:tab w:val="num" w:pos="-1843"/>
        </w:tabs>
        <w:spacing w:after="200"/>
        <w:ind w:left="426" w:hanging="426"/>
        <w:jc w:val="both"/>
        <w:rPr>
          <w:b/>
        </w:rPr>
      </w:pPr>
      <w:r>
        <w:rPr>
          <w:b/>
        </w:rPr>
        <w:t>"Колегія сорока мужів".</w:t>
      </w:r>
    </w:p>
    <w:p w:rsidR="00D0085D" w:rsidRDefault="00705D36">
      <w:pPr>
        <w:numPr>
          <w:ilvl w:val="0"/>
          <w:numId w:val="2"/>
        </w:numPr>
        <w:tabs>
          <w:tab w:val="clear" w:pos="720"/>
          <w:tab w:val="num" w:pos="-1843"/>
        </w:tabs>
        <w:spacing w:after="200"/>
        <w:ind w:left="426" w:hanging="426"/>
        <w:jc w:val="both"/>
        <w:rPr>
          <w:b/>
        </w:rPr>
      </w:pPr>
      <w:r>
        <w:rPr>
          <w:b/>
        </w:rPr>
        <w:t>Релігійно – національні відносини.</w:t>
      </w:r>
    </w:p>
    <w:p w:rsidR="00D0085D" w:rsidRDefault="00705D36">
      <w:pPr>
        <w:numPr>
          <w:ilvl w:val="0"/>
          <w:numId w:val="2"/>
        </w:numPr>
        <w:tabs>
          <w:tab w:val="clear" w:pos="720"/>
          <w:tab w:val="num" w:pos="-1843"/>
        </w:tabs>
        <w:spacing w:after="200"/>
        <w:ind w:left="426" w:hanging="426"/>
        <w:jc w:val="both"/>
        <w:rPr>
          <w:b/>
        </w:rPr>
      </w:pPr>
      <w:r>
        <w:rPr>
          <w:b/>
        </w:rPr>
        <w:t>Висновики.</w:t>
      </w:r>
    </w:p>
    <w:p w:rsidR="00D0085D" w:rsidRDefault="00705D36">
      <w:pPr>
        <w:numPr>
          <w:ilvl w:val="0"/>
          <w:numId w:val="2"/>
        </w:numPr>
        <w:tabs>
          <w:tab w:val="clear" w:pos="720"/>
          <w:tab w:val="num" w:pos="-1843"/>
        </w:tabs>
        <w:spacing w:after="200"/>
        <w:ind w:left="426" w:hanging="426"/>
        <w:jc w:val="both"/>
        <w:rPr>
          <w:b/>
        </w:rPr>
      </w:pPr>
      <w:r>
        <w:rPr>
          <w:b/>
        </w:rPr>
        <w:t>Література.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b/>
          <w:sz w:val="30"/>
        </w:rPr>
        <w:br w:type="page"/>
      </w:r>
    </w:p>
    <w:p w:rsidR="00D0085D" w:rsidRDefault="00705D36">
      <w:pPr>
        <w:spacing w:after="800" w:line="360" w:lineRule="auto"/>
        <w:ind w:right="567"/>
        <w:jc w:val="center"/>
        <w:rPr>
          <w:b/>
          <w:caps/>
          <w:spacing w:val="20"/>
          <w:sz w:val="38"/>
          <w:u w:val="single"/>
        </w:rPr>
      </w:pPr>
      <w:r>
        <w:rPr>
          <w:b/>
          <w:caps/>
          <w:spacing w:val="20"/>
          <w:sz w:val="38"/>
          <w:u w:val="single"/>
        </w:rPr>
        <w:t>Магдебурзьке право в України.</w:t>
      </w:r>
    </w:p>
    <w:p w:rsidR="00D0085D" w:rsidRDefault="00D0085D">
      <w:pPr>
        <w:pStyle w:val="a3"/>
        <w:spacing w:line="360" w:lineRule="auto"/>
        <w:ind w:right="567" w:firstLine="720"/>
        <w:rPr>
          <w:spacing w:val="20"/>
        </w:rPr>
      </w:pPr>
    </w:p>
    <w:p w:rsidR="00D0085D" w:rsidRDefault="00705D36">
      <w:pPr>
        <w:pStyle w:val="a3"/>
        <w:spacing w:line="360" w:lineRule="auto"/>
        <w:ind w:right="567" w:firstLine="720"/>
        <w:rPr>
          <w:spacing w:val="20"/>
          <w:sz w:val="24"/>
        </w:rPr>
      </w:pPr>
      <w:r>
        <w:rPr>
          <w:spacing w:val="20"/>
        </w:rPr>
        <w:t xml:space="preserve">У XIV – XVI ст. міста, які за князівських часів жили в тісному господарському зв'язку з землею, відокремилися від села і стали самостійними організаціями. Причиною усамостійнення міст був зріст населення, що виключно займалися ремеслами та торгівлею, а насамперед поширення німецького права </w:t>
      </w:r>
      <w:r>
        <w:rPr>
          <w:i/>
          <w:spacing w:val="20"/>
          <w:sz w:val="24"/>
        </w:rPr>
        <w:t>(В 1188 році архієпископ Віхман надав привілей на самоврядування Магдебургові. В ХІІІ ст. магдебурзьке право поширюється на інші німецькі, землі, на міста Польщі, Литви, Чехії, Сілезії, Угорщини</w:t>
      </w:r>
      <w:r>
        <w:rPr>
          <w:spacing w:val="20"/>
          <w:sz w:val="24"/>
        </w:rPr>
        <w:t>.)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>Норми цього права регулювали управління містом, суспільно – правові відносини, порядок суду та судочинства, визначали заходи кримінального покарання, регламентували внутрішню статутну діяльність купецьких корпорацій, ремісницьких цехів і торгів.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 xml:space="preserve"> Цей устрій полягав у тому, що місто з усією своєю територією вилучалось з-під місцевої адміністраційної влади і одержувало самоврядування з власними урядами та судами. Метою самоврядування було те, що місто, не зв'язане адміністраційними обмеженнями, могло вільно розвиватись та доходити повного господарського розвитку. Але в Україні тільки більші міста, як Київ, Львів, Луцьк, дістали ширше самоврядування з виборною міською радою і лавничим судом; щодо менших міст та містечок то вони підлягала владі старостів або своїх панів дідичів. Отримавши магдебурзьке право, місто сплачувало в державну казну назначену суму грошей. Частина натуральних повинностей ліквідувалася, встановлювались єдині податки з ремесел та торгівлі. Місто звільнялося від управління і суду королівських чи великокнязівських намісників.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>Варто сказати, що міста з магдебурзьким правом поділялися на дві групи: міста де мала чинність магістратська управа і міста з управою ратушною.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>Ратушними містами і містечками керували війти і два, три бурмістра, які виконували функції королівських чи князівських намісників. Магістрат складався з двох колегій — лави, що відала судовими справами, і ради, яка займалася адміністративно-господарськими справами. Члени магістрату називалися лавниками і радниками. Місця в магістратах посіли най заможніші. Магістрат дбав про стягнення податків з млинів, броварень, гончарень та ін.</w:t>
      </w:r>
    </w:p>
    <w:p w:rsidR="00D0085D" w:rsidRDefault="00705D36">
      <w:pPr>
        <w:pStyle w:val="a3"/>
        <w:spacing w:line="360" w:lineRule="auto"/>
        <w:ind w:right="567" w:firstLine="720"/>
        <w:rPr>
          <w:i/>
          <w:spacing w:val="20"/>
          <w:sz w:val="24"/>
        </w:rPr>
      </w:pPr>
      <w:r>
        <w:rPr>
          <w:spacing w:val="20"/>
        </w:rPr>
        <w:t>Судові функції, зокрема по карних справах, виконувала лава, яка під головуванням війта, становила колегію з одинадцяти лавників, для вироку могло бути менше суддів-шість, чотири, навіть три. Процес в містах з магдебурзьким правом був усним, гласним та змагальним. Судочинство велось на польській та латинській мові</w:t>
      </w:r>
      <w:r>
        <w:rPr>
          <w:i/>
          <w:spacing w:val="20"/>
          <w:sz w:val="24"/>
        </w:rPr>
        <w:t>.(Усуді виконували такі функції:  комісар виконував рішення суду по переподілу землі, встановлення межових знаків; возний розносив повістки, приводив правопорушників</w:t>
      </w:r>
      <w:r>
        <w:rPr>
          <w:spacing w:val="20"/>
        </w:rPr>
        <w:t xml:space="preserve">, </w:t>
      </w:r>
      <w:r>
        <w:rPr>
          <w:i/>
          <w:spacing w:val="20"/>
          <w:sz w:val="24"/>
        </w:rPr>
        <w:t>городничий слідкував за громадським порядком у місті).</w:t>
      </w:r>
      <w:r>
        <w:rPr>
          <w:spacing w:val="20"/>
        </w:rPr>
        <w:t xml:space="preserve">Бурмістри і радці теж входили до складу магістратського суду. 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 xml:space="preserve"> Суд за магдебурзьким правом фактично відмінний від адміністрації, рада зосереджувала в своїх руках і суддівські і адміністративні функції. Щодо апеляції, то можна зазначити, що вищою апеляційною інстанцією для магістратських судів вважався і суд міст  магдебурзьким устроєм. Так для Галичини і Поділля Львівський магістрат був вищим апеляційним судом.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>Головна роль в магдебурзькому праві належала війту, який був на чолі міської управи. Війта призначав король, або місцеві старости.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>Бурмістрів, радців, лавників треба було вибирати з місцевого населення – православних, католиків, або уніатів. Та не лише королі надавали це право, його могли надавати окремі пани, землевласники привілеї на право магдебурзьке.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>За часів гетьманщини і наші українські гетьмани дбали про закріплення магдебурзького права в деяких з Українських міст, намагаючись підтримати їх торгівельне значення економічний добробут.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 xml:space="preserve">Українські міста почали наділяти цим так званим магдебурзьким правом в XIV ст. Перші міста були: Вільно і Троки </w:t>
      </w:r>
      <w:r>
        <w:rPr>
          <w:i/>
          <w:spacing w:val="20"/>
        </w:rPr>
        <w:t>(1387р).</w:t>
      </w:r>
      <w:r>
        <w:rPr>
          <w:spacing w:val="20"/>
        </w:rPr>
        <w:t xml:space="preserve"> У 1498р. – магдебурзьке право одержав Полоцьк, Мінськ.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 xml:space="preserve"> В Україні раніше за інших магдебурзьке право отримали міста Закарпатської України, яка перебувала під Угорщиною. З 1329 року магдебурзьким право користувались Хуст, Вишкове, Тячів. Пізніше таке право отримали Санок </w:t>
      </w:r>
      <w:r>
        <w:rPr>
          <w:i/>
          <w:spacing w:val="20"/>
        </w:rPr>
        <w:t>(1339)</w:t>
      </w:r>
      <w:r>
        <w:rPr>
          <w:spacing w:val="20"/>
        </w:rPr>
        <w:t xml:space="preserve">, Львів </w:t>
      </w:r>
      <w:r>
        <w:rPr>
          <w:i/>
          <w:spacing w:val="20"/>
        </w:rPr>
        <w:t>(1356)</w:t>
      </w:r>
      <w:r>
        <w:rPr>
          <w:spacing w:val="20"/>
        </w:rPr>
        <w:t xml:space="preserve">, Кам'янець – Подільський </w:t>
      </w:r>
      <w:r>
        <w:rPr>
          <w:i/>
          <w:spacing w:val="20"/>
        </w:rPr>
        <w:t>(1374)</w:t>
      </w:r>
      <w:r>
        <w:rPr>
          <w:spacing w:val="20"/>
        </w:rPr>
        <w:t xml:space="preserve">, Київ </w:t>
      </w:r>
      <w:r>
        <w:rPr>
          <w:i/>
          <w:spacing w:val="20"/>
        </w:rPr>
        <w:t>(1494 – 1497)</w:t>
      </w:r>
      <w:r>
        <w:rPr>
          <w:spacing w:val="20"/>
        </w:rPr>
        <w:t xml:space="preserve">, міста Лівобережної України отримають це право тільки в кінці XVI XVII ст. Переяславль </w:t>
      </w:r>
      <w:r>
        <w:rPr>
          <w:i/>
          <w:spacing w:val="20"/>
        </w:rPr>
        <w:t>(1585)</w:t>
      </w:r>
      <w:r>
        <w:rPr>
          <w:spacing w:val="20"/>
        </w:rPr>
        <w:t xml:space="preserve">, Стародуб </w:t>
      </w:r>
      <w:r>
        <w:rPr>
          <w:i/>
          <w:spacing w:val="20"/>
        </w:rPr>
        <w:t>(1620)</w:t>
      </w:r>
      <w:r>
        <w:rPr>
          <w:spacing w:val="20"/>
        </w:rPr>
        <w:t xml:space="preserve">, Ніжин </w:t>
      </w:r>
      <w:r>
        <w:rPr>
          <w:i/>
          <w:spacing w:val="20"/>
        </w:rPr>
        <w:t>(1625)</w:t>
      </w:r>
      <w:r>
        <w:rPr>
          <w:spacing w:val="20"/>
        </w:rPr>
        <w:t>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>14 серпня 1663 року польський король Ян Казимір юридично підтвердив місту Станіславу самоврядування за магдебурзьким правом. Цим привілеєм був передбачений і герб міста. В основу малюнка якого була поставлена відчинена міська брама з трьома бойовими вежами. Цей архітектурний сюжет зберігся в зображеннях гербів міста та печаток міста і в наступні століття.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 xml:space="preserve"> В Україні діяла та частина магдебурзького права яка допомагала організувати систему органів самоврядування. А. Кістяковський підкреслював, що "Магдебурзьке право терпіло зміни від місцевих звичаїв та поглядів, що часто діяли поряд з ним і змінювали його".</w:t>
      </w:r>
    </w:p>
    <w:p w:rsidR="00D0085D" w:rsidRDefault="00D0085D">
      <w:pPr>
        <w:pStyle w:val="a3"/>
        <w:spacing w:line="360" w:lineRule="auto"/>
        <w:ind w:right="567" w:firstLine="720"/>
        <w:rPr>
          <w:spacing w:val="20"/>
        </w:rPr>
      </w:pP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>Щодо внутрішніх відносин міст, які мали магдебурзьке право, варто сказати, що були чималі соціальні противенства. Верховенство майже всюди захопив патриціат, що не допускали у своє коло ані середнього міщанства, ані незаможних передміщан. Вільне виборче право було майже всюди скасовано, багатії тримали свої посади довічно, а міську раду і суд доповнювали коонтацією. Тобто, наприклад у Львові вся влада була у руках кільканадцятьох родин багатих купців, а реміснитво довгі часи безуспішно добивалось участі в міській репрезентації і тільки в 1577р здобуло для себе “колегію мужів” з невеликими контрольними компетенціями. Ця колегія була названа “колегією сорока мужів”. Членів цього нового контрольного органу називали “панами”. Населення не раз обурювалося проти тих домагаючись для себе прав.</w:t>
      </w:r>
    </w:p>
    <w:p w:rsidR="00D0085D" w:rsidRDefault="00705D36">
      <w:pPr>
        <w:pStyle w:val="a3"/>
        <w:spacing w:line="360" w:lineRule="auto"/>
        <w:ind w:right="567" w:firstLine="720"/>
        <w:rPr>
          <w:spacing w:val="20"/>
        </w:rPr>
      </w:pPr>
      <w:r>
        <w:rPr>
          <w:spacing w:val="20"/>
        </w:rPr>
        <w:t>Так само були загострені релігійно-національні відносини. Статути магдебурзького права в багатьох містах зазначали, що міста мають служити виключно визнавцями римської віри. Через те від участі в міських правах були виключені передусім українці, як визнавці православної віри. До винятків належав, зокрема Кам’янецьк на Поділлі, де були три національні громади: українська, польська та вірменська. У малих містечках де українське населення мало більшість, українці діставали лише одного-двох представників у раді і суді, решту мали поляки. У Львові українців не допущено взагалі ні до яких міських посад, вони могли жити тільки в малому кварталі “Руської” вулиці, не мали права належати до деяких цехів, були обмежені в торгівлі, не дозволялося їм організовувати публічні релігійні виступи. У Перемишлі українські міщани не мали доступу до ради, в Дрогобичі не дозволяли їм ставити церкву в місті та ін. (</w:t>
      </w:r>
      <w:r>
        <w:rPr>
          <w:i/>
          <w:spacing w:val="20"/>
          <w:sz w:val="24"/>
        </w:rPr>
        <w:t>Жителі міст, які мали магдебурзьке право, були юридично вільними і несли загальнодержавні повинності</w:t>
      </w:r>
      <w:r>
        <w:rPr>
          <w:spacing w:val="20"/>
        </w:rPr>
        <w:t xml:space="preserve"> </w:t>
      </w:r>
      <w:r>
        <w:rPr>
          <w:i/>
          <w:spacing w:val="20"/>
          <w:sz w:val="24"/>
        </w:rPr>
        <w:t>утримували адміністрацію і королівське військо, сплачували податки)</w:t>
      </w:r>
      <w:r>
        <w:rPr>
          <w:spacing w:val="20"/>
          <w:sz w:val="24"/>
        </w:rPr>
        <w:t>.</w:t>
      </w:r>
      <w:r>
        <w:rPr>
          <w:spacing w:val="20"/>
        </w:rPr>
        <w:t xml:space="preserve"> Міщани мали право будувати будинки, на нижніх поверхах яких було дозволено відкривати крамниці, хлібні засіки. Місту дозволялось мати громадську лазню, шинок, млин та гостинний двір для приїжджих купців.Всі доходи поступали в міську скриню, з якої йшла плата за магдебурзьке право. За цим правом купці, які привозили товари в місто повинні були продавати їх тільки оптом, а купівля – продаж вроздріб була монополією місцевих купців. Приїжджі купці могли торгувати в роздріб тільки в дні ярмарок. Ярмарки служили економічному розвитку міст і збагаченню міщан.</w:t>
      </w:r>
    </w:p>
    <w:p w:rsidR="00D0085D" w:rsidRDefault="00705D36">
      <w:pPr>
        <w:pStyle w:val="a3"/>
        <w:spacing w:line="360" w:lineRule="auto"/>
        <w:ind w:right="567" w:firstLine="720"/>
        <w:rPr>
          <w:i/>
          <w:spacing w:val="20"/>
        </w:rPr>
      </w:pPr>
      <w:r>
        <w:rPr>
          <w:b/>
          <w:i/>
          <w:spacing w:val="20"/>
          <w:sz w:val="32"/>
        </w:rPr>
        <w:t>Висновок:</w:t>
      </w:r>
      <w:r>
        <w:rPr>
          <w:i/>
          <w:spacing w:val="20"/>
        </w:rPr>
        <w:t xml:space="preserve"> Отже магдебурзьке право – це один з видів прав вільних міських общин у середньовіччі. За магдебурзького права малі міста отримували самоврядування і судову незалежність, право власності на землю (</w:t>
      </w:r>
      <w:r>
        <w:rPr>
          <w:i/>
          <w:spacing w:val="20"/>
          <w:sz w:val="24"/>
        </w:rPr>
        <w:t>зазначену у грамоті</w:t>
      </w:r>
      <w:r>
        <w:rPr>
          <w:i/>
          <w:spacing w:val="20"/>
        </w:rPr>
        <w:t>), пільги ремісникам і торгівцям, право проводити ярмарки, а також звільнення від феодальних повинностей.</w:t>
      </w:r>
    </w:p>
    <w:p w:rsidR="00D0085D" w:rsidRDefault="00705D36">
      <w:pPr>
        <w:pStyle w:val="a3"/>
        <w:spacing w:line="360" w:lineRule="auto"/>
        <w:ind w:right="567" w:firstLine="720"/>
        <w:rPr>
          <w:i/>
          <w:spacing w:val="20"/>
        </w:rPr>
      </w:pPr>
      <w:r>
        <w:rPr>
          <w:i/>
          <w:spacing w:val="20"/>
        </w:rPr>
        <w:t>Магдебурзьке право надавалося передусім – іноземцям – полякам і німцям, котрі підсилювали соціальний гніт національно-релігійним. Були міста (</w:t>
      </w:r>
      <w:r>
        <w:rPr>
          <w:i/>
          <w:spacing w:val="20"/>
          <w:sz w:val="24"/>
        </w:rPr>
        <w:t>наприклад Львів, Кам’янець - Подільский</w:t>
      </w:r>
      <w:r>
        <w:rPr>
          <w:i/>
          <w:spacing w:val="20"/>
        </w:rPr>
        <w:t>), в яких існувало по три міських общини (</w:t>
      </w:r>
      <w:r>
        <w:rPr>
          <w:i/>
          <w:spacing w:val="20"/>
          <w:sz w:val="24"/>
        </w:rPr>
        <w:t>польська, українська, вірменська</w:t>
      </w:r>
      <w:r>
        <w:rPr>
          <w:i/>
          <w:spacing w:val="20"/>
        </w:rPr>
        <w:t>) і кожна зі своїм самоуправлінням. Необхідність для українського міського населення відстоювати свої соціально-економічні та національно-релігійні інтереси привела до активізації політичної боротьби і виникнення братств. В XIV – XVI ст. магдебурзьке право розповсюджувалось на всій Правобережній і частині Лівобережної України. Воно було знаряддям католизації та ополячення українців. Міста використовували форму магдебурзького права, а не його зміст, в них мало що було з німецького права, регламентувалось тільки система органів самоврядування. Але Магдебурзьке право відіграло прогресивну роль в економічному розвитку України.</w:t>
      </w:r>
    </w:p>
    <w:p w:rsidR="00D0085D" w:rsidRDefault="00705D36">
      <w:pPr>
        <w:pStyle w:val="a3"/>
        <w:spacing w:before="700" w:after="1000" w:line="360" w:lineRule="auto"/>
        <w:ind w:right="567" w:firstLine="720"/>
        <w:jc w:val="center"/>
        <w:rPr>
          <w:b/>
          <w:caps/>
          <w:spacing w:val="20"/>
          <w:u w:val="single"/>
        </w:rPr>
      </w:pPr>
      <w:r>
        <w:rPr>
          <w:b/>
          <w:caps/>
          <w:spacing w:val="20"/>
          <w:sz w:val="38"/>
          <w:u w:val="single"/>
        </w:rPr>
        <w:t>Література.</w:t>
      </w:r>
    </w:p>
    <w:p w:rsidR="00D0085D" w:rsidRDefault="00705D36">
      <w:pPr>
        <w:pStyle w:val="a3"/>
        <w:numPr>
          <w:ilvl w:val="0"/>
          <w:numId w:val="1"/>
        </w:numPr>
        <w:tabs>
          <w:tab w:val="clear" w:pos="1080"/>
        </w:tabs>
        <w:spacing w:after="200" w:line="360" w:lineRule="auto"/>
        <w:ind w:left="425" w:right="567" w:hanging="357"/>
        <w:rPr>
          <w:b/>
          <w:spacing w:val="20"/>
        </w:rPr>
      </w:pPr>
      <w:r>
        <w:rPr>
          <w:b/>
          <w:spacing w:val="20"/>
        </w:rPr>
        <w:t>Історія України., К., 1996р., “Генеза” Швидько</w:t>
      </w:r>
    </w:p>
    <w:p w:rsidR="00D0085D" w:rsidRDefault="00705D36">
      <w:pPr>
        <w:pStyle w:val="a3"/>
        <w:numPr>
          <w:ilvl w:val="0"/>
          <w:numId w:val="1"/>
        </w:numPr>
        <w:tabs>
          <w:tab w:val="clear" w:pos="1080"/>
        </w:tabs>
        <w:spacing w:after="200" w:line="360" w:lineRule="auto"/>
        <w:ind w:left="425" w:right="567" w:hanging="357"/>
        <w:rPr>
          <w:b/>
          <w:spacing w:val="20"/>
        </w:rPr>
      </w:pPr>
      <w:r>
        <w:rPr>
          <w:b/>
          <w:spacing w:val="20"/>
        </w:rPr>
        <w:t>Історія України., Л., 1990р.,”Світ” Крип’якевич</w:t>
      </w:r>
    </w:p>
    <w:p w:rsidR="00D0085D" w:rsidRDefault="00705D36">
      <w:pPr>
        <w:pStyle w:val="a3"/>
        <w:numPr>
          <w:ilvl w:val="0"/>
          <w:numId w:val="1"/>
        </w:numPr>
        <w:tabs>
          <w:tab w:val="clear" w:pos="1080"/>
        </w:tabs>
        <w:spacing w:after="200" w:line="360" w:lineRule="auto"/>
        <w:ind w:left="425" w:right="567" w:hanging="357"/>
        <w:rPr>
          <w:b/>
          <w:spacing w:val="20"/>
        </w:rPr>
      </w:pPr>
      <w:r>
        <w:rPr>
          <w:b/>
          <w:spacing w:val="20"/>
        </w:rPr>
        <w:t>Договори з німцями., 1998р., Лащенко</w:t>
      </w:r>
      <w:bookmarkStart w:id="0" w:name="_GoBack"/>
      <w:bookmarkEnd w:id="0"/>
    </w:p>
    <w:sectPr w:rsidR="00D0085D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E53"/>
    <w:multiLevelType w:val="singleLevel"/>
    <w:tmpl w:val="B5A2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</w:abstractNum>
  <w:abstractNum w:abstractNumId="1">
    <w:nsid w:val="5D2D498A"/>
    <w:multiLevelType w:val="singleLevel"/>
    <w:tmpl w:val="E57A3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D36"/>
    <w:rsid w:val="00705D36"/>
    <w:rsid w:val="00CA4F41"/>
    <w:rsid w:val="00D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4B7593-23B2-41E7-942F-3C9F48EA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spacing w:after="700"/>
      <w:jc w:val="center"/>
      <w:outlineLvl w:val="0"/>
    </w:pPr>
    <w:rPr>
      <w:sz w:val="144"/>
    </w:rPr>
  </w:style>
  <w:style w:type="paragraph" w:styleId="2">
    <w:name w:val="heading 2"/>
    <w:basedOn w:val="a"/>
    <w:next w:val="a"/>
    <w:qFormat/>
    <w:pPr>
      <w:keepNext/>
      <w:spacing w:after="700"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character" w:styleId="a4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Магдебурзьке право України</vt:lpstr>
    </vt:vector>
  </TitlesOfParts>
  <Manager>Право. Міжнародні відносини</Manager>
  <Company> Право. Міжнародні відносини</Company>
  <LinksUpToDate>false</LinksUpToDate>
  <CharactersWithSpaces>9135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Магдебурзьке право України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2014-04-14T11:51:00Z</dcterms:created>
  <dcterms:modified xsi:type="dcterms:W3CDTF">2014-04-14T11:51:00Z</dcterms:modified>
  <cp:category>Право. Міжнародні відносини</cp:category>
</cp:coreProperties>
</file>