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D13" w:rsidRDefault="003C1D13" w:rsidP="00444C29">
      <w:pPr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БЕЛОРУССКИЙ ГОСУДАРСТВЕННЫЙ УНИВЕРСИТЕТ ИНФОРМАТИКИ И РАДИОЭЛЕКТРОНИКИ</w:t>
      </w:r>
    </w:p>
    <w:p w:rsidR="003C1D13" w:rsidRDefault="003C1D13" w:rsidP="00444C29">
      <w:pPr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3C1D13" w:rsidRDefault="003C1D13" w:rsidP="00444C29">
      <w:pPr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Кафедра экономики</w:t>
      </w:r>
    </w:p>
    <w:p w:rsidR="003C1D13" w:rsidRDefault="003C1D13" w:rsidP="00444C29">
      <w:pPr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3C1D13" w:rsidRDefault="003C1D13" w:rsidP="00444C29">
      <w:pPr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3C1D13" w:rsidRDefault="003C1D13" w:rsidP="00444C29">
      <w:pPr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3C1D13" w:rsidRDefault="003C1D13" w:rsidP="00444C29">
      <w:pPr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3C1D13" w:rsidRDefault="003C1D13" w:rsidP="00444C29">
      <w:pPr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3C1D13" w:rsidRDefault="003C1D13" w:rsidP="00444C29">
      <w:pPr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3C1D13" w:rsidRDefault="003C1D13" w:rsidP="00444C29">
      <w:pPr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3C1D13" w:rsidRDefault="003C1D13" w:rsidP="00444C29">
      <w:pPr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РЕФЕРАТ</w:t>
      </w:r>
    </w:p>
    <w:p w:rsidR="003C1D13" w:rsidRDefault="003C1D13" w:rsidP="00444C29">
      <w:pPr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тему:</w:t>
      </w:r>
    </w:p>
    <w:p w:rsidR="003C1D13" w:rsidRDefault="003C1D13" w:rsidP="00444C29">
      <w:pPr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3C1D13" w:rsidRDefault="003C1D13" w:rsidP="00444C2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«Повышение качества</w:t>
      </w:r>
      <w:r w:rsidRPr="00717A10">
        <w:rPr>
          <w:rFonts w:ascii="Times New Roman" w:hAnsi="Times New Roman"/>
          <w:b/>
          <w:sz w:val="32"/>
          <w:szCs w:val="32"/>
        </w:rPr>
        <w:t xml:space="preserve"> твердых сычужных сыров</w:t>
      </w:r>
      <w:r>
        <w:rPr>
          <w:rFonts w:ascii="Times New Roman" w:hAnsi="Times New Roman"/>
          <w:b/>
          <w:sz w:val="32"/>
          <w:szCs w:val="32"/>
        </w:rPr>
        <w:t xml:space="preserve"> за счет установки автоматизированной линии по их производству ( на примере </w:t>
      </w:r>
      <w:r w:rsidRPr="003C1D13">
        <w:rPr>
          <w:rFonts w:ascii="Times New Roman" w:hAnsi="Times New Roman"/>
          <w:b/>
          <w:sz w:val="28"/>
          <w:szCs w:val="28"/>
        </w:rPr>
        <w:t>ОАО «Любанский сыродельный завод»</w:t>
      </w:r>
      <w:r>
        <w:rPr>
          <w:rFonts w:ascii="Times New Roman" w:hAnsi="Times New Roman"/>
          <w:sz w:val="28"/>
          <w:szCs w:val="28"/>
        </w:rPr>
        <w:t>)»</w:t>
      </w:r>
    </w:p>
    <w:p w:rsidR="003C1D13" w:rsidRDefault="003C1D13" w:rsidP="00444C2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C1D13" w:rsidRDefault="003C1D13" w:rsidP="00444C2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C1D13" w:rsidRDefault="003C1D13" w:rsidP="00444C2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C1D13" w:rsidRDefault="003C1D13" w:rsidP="00444C2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C1D13" w:rsidRDefault="003C1D13" w:rsidP="00444C2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C1D13" w:rsidRDefault="003C1D13" w:rsidP="00444C2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C1D13" w:rsidRDefault="003C1D13" w:rsidP="00444C2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C1D13" w:rsidRDefault="003C1D13" w:rsidP="00444C2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C1D13" w:rsidRDefault="003C1D13" w:rsidP="00444C2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C1D13" w:rsidRDefault="003C1D13" w:rsidP="00444C2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Минск, 2008</w:t>
      </w:r>
    </w:p>
    <w:p w:rsidR="003C1D13" w:rsidRPr="00F247F3" w:rsidRDefault="003C1D13" w:rsidP="00444C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F247F3">
        <w:rPr>
          <w:rFonts w:ascii="Times New Roman" w:hAnsi="Times New Roman"/>
          <w:sz w:val="28"/>
          <w:szCs w:val="28"/>
        </w:rPr>
        <w:lastRenderedPageBreak/>
        <w:t>Улучшение качества продукции – важнейшее направление интенсивного развития экономики, источник экономического роста, эффективности общественного производства.</w:t>
      </w:r>
    </w:p>
    <w:p w:rsidR="003C1D13" w:rsidRPr="00F247F3" w:rsidRDefault="003C1D13" w:rsidP="00444C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7F3">
        <w:rPr>
          <w:rFonts w:ascii="Times New Roman" w:hAnsi="Times New Roman"/>
          <w:sz w:val="28"/>
          <w:szCs w:val="28"/>
        </w:rPr>
        <w:t>Качество продукции имеет большое значение для всего общества. При покупке товара потребитель подразумевает то, что он качественный; никто не захочет покупать товар, зная, что он не качественный.</w:t>
      </w:r>
    </w:p>
    <w:p w:rsidR="003C1D13" w:rsidRPr="00F247F3" w:rsidRDefault="003C1D13" w:rsidP="00444C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7F3">
        <w:rPr>
          <w:rFonts w:ascii="Times New Roman" w:hAnsi="Times New Roman"/>
          <w:sz w:val="28"/>
          <w:szCs w:val="28"/>
        </w:rPr>
        <w:t>Каждый изготовленный продукт должен соответствовать требованиям покупателей, в противном случае, предприятие обречено. В условиях рыночной экономики качественная продукция – залог долгого и успешного функционирования предприятия.</w:t>
      </w:r>
    </w:p>
    <w:p w:rsidR="003C1D13" w:rsidRDefault="003C1D13" w:rsidP="00444C2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247F3">
        <w:rPr>
          <w:rFonts w:ascii="Times New Roman" w:hAnsi="Times New Roman"/>
          <w:sz w:val="28"/>
          <w:szCs w:val="28"/>
        </w:rPr>
        <w:t>Отсутствие экономической эффективности повышения качества продукции практически не бывает. Даже те предприятия, которые продают  продукцию, которая не является высококачественной, могут быть заинтересованными в повышении качества, поскольку это всегда означает завоевание новых рынков сбыта, расширение производства, увеличение прибыли. В наше время всегда существует возможность модернизации производства и улучшение качества продукции по всем показателям. Существуют предприятия, для которых повышение качества продукции является второстепенной задачей, для которых повышение качества рассматривается как невы</w:t>
      </w:r>
      <w:r>
        <w:rPr>
          <w:rFonts w:ascii="Times New Roman" w:hAnsi="Times New Roman"/>
          <w:sz w:val="28"/>
          <w:szCs w:val="28"/>
        </w:rPr>
        <w:t>год</w:t>
      </w:r>
      <w:r w:rsidRPr="00F247F3">
        <w:rPr>
          <w:rFonts w:ascii="Times New Roman" w:hAnsi="Times New Roman"/>
          <w:sz w:val="28"/>
          <w:szCs w:val="28"/>
        </w:rPr>
        <w:t>ное вложение средств, однако условия конкуренции на рынке обуславливают то, что такие предприятия рано или поздно будут вынуждены модернизировать свое производство, чтобы их продукция продавалась и дальше.</w:t>
      </w:r>
    </w:p>
    <w:p w:rsidR="003C1D13" w:rsidRPr="001B7C67" w:rsidRDefault="003C1D13" w:rsidP="00444C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7C67">
        <w:rPr>
          <w:rFonts w:ascii="Times New Roman" w:hAnsi="Times New Roman"/>
          <w:sz w:val="28"/>
          <w:szCs w:val="28"/>
        </w:rPr>
        <w:t xml:space="preserve">Основной специализацией предприятия является производство сычужных сыров, удельный вес которых составляет более 50% в общем объеме производства. </w:t>
      </w:r>
    </w:p>
    <w:p w:rsidR="003C1D13" w:rsidRPr="001B7C67" w:rsidRDefault="003C1D13" w:rsidP="00444C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7C67">
        <w:rPr>
          <w:rFonts w:ascii="Times New Roman" w:hAnsi="Times New Roman"/>
          <w:sz w:val="28"/>
          <w:szCs w:val="28"/>
        </w:rPr>
        <w:t xml:space="preserve">В настоящее время 53% поступающего сырья расходуется на производство животного масла, являющегося убыточной продукцией. Около 43% молока используется для выпуска твердых сыров, рентабельность которых составляет 16%. </w:t>
      </w:r>
    </w:p>
    <w:p w:rsidR="003C1D13" w:rsidRPr="001B7C67" w:rsidRDefault="003C1D13" w:rsidP="00444C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7C67">
        <w:rPr>
          <w:rFonts w:ascii="Times New Roman" w:hAnsi="Times New Roman"/>
          <w:sz w:val="28"/>
          <w:szCs w:val="28"/>
        </w:rPr>
        <w:t>С целью изменения структуры переработки сырья в пользу повышения ка</w:t>
      </w:r>
      <w:r>
        <w:rPr>
          <w:rFonts w:ascii="Times New Roman" w:hAnsi="Times New Roman"/>
          <w:sz w:val="28"/>
          <w:szCs w:val="28"/>
        </w:rPr>
        <w:t xml:space="preserve">чества продукции </w:t>
      </w:r>
      <w:r w:rsidRPr="001B7C67">
        <w:rPr>
          <w:rFonts w:ascii="Times New Roman" w:hAnsi="Times New Roman"/>
          <w:sz w:val="28"/>
          <w:szCs w:val="28"/>
        </w:rPr>
        <w:t xml:space="preserve">данным  проектом предусматривается </w:t>
      </w:r>
      <w:r>
        <w:rPr>
          <w:rFonts w:ascii="Times New Roman" w:hAnsi="Times New Roman"/>
          <w:sz w:val="28"/>
          <w:szCs w:val="28"/>
        </w:rPr>
        <w:t xml:space="preserve">выход  на новый уровень качества </w:t>
      </w:r>
      <w:r w:rsidRPr="001B7C67">
        <w:rPr>
          <w:rFonts w:ascii="Times New Roman" w:hAnsi="Times New Roman"/>
          <w:sz w:val="28"/>
          <w:szCs w:val="28"/>
        </w:rPr>
        <w:t>твердых сыров. Завод обеспечен сыропри</w:t>
      </w:r>
      <w:r>
        <w:rPr>
          <w:rFonts w:ascii="Times New Roman" w:hAnsi="Times New Roman"/>
          <w:sz w:val="28"/>
          <w:szCs w:val="28"/>
        </w:rPr>
        <w:t>год</w:t>
      </w:r>
      <w:r w:rsidRPr="001B7C67">
        <w:rPr>
          <w:rFonts w:ascii="Times New Roman" w:hAnsi="Times New Roman"/>
          <w:sz w:val="28"/>
          <w:szCs w:val="28"/>
        </w:rPr>
        <w:t>ным молочным сырьем в достаточном количестве, имеет устойчивые рынки сбыта, однако 100%-я загрузка сыродельного оборудования не позволяет увеличить выпуск</w:t>
      </w:r>
      <w:r>
        <w:rPr>
          <w:rFonts w:ascii="Times New Roman" w:hAnsi="Times New Roman"/>
          <w:sz w:val="28"/>
          <w:szCs w:val="28"/>
        </w:rPr>
        <w:t xml:space="preserve"> более качественной и </w:t>
      </w:r>
      <w:r w:rsidRPr="001B7C67">
        <w:rPr>
          <w:rFonts w:ascii="Times New Roman" w:hAnsi="Times New Roman"/>
          <w:sz w:val="28"/>
          <w:szCs w:val="28"/>
        </w:rPr>
        <w:t xml:space="preserve"> вы</w:t>
      </w:r>
      <w:r>
        <w:rPr>
          <w:rFonts w:ascii="Times New Roman" w:hAnsi="Times New Roman"/>
          <w:sz w:val="28"/>
          <w:szCs w:val="28"/>
        </w:rPr>
        <w:t>год</w:t>
      </w:r>
      <w:r w:rsidRPr="001B7C67">
        <w:rPr>
          <w:rFonts w:ascii="Times New Roman" w:hAnsi="Times New Roman"/>
          <w:sz w:val="28"/>
          <w:szCs w:val="28"/>
        </w:rPr>
        <w:t>ной для предприятия продукции.</w:t>
      </w:r>
    </w:p>
    <w:p w:rsidR="003C1D13" w:rsidRDefault="003C1D13" w:rsidP="00444C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7C67">
        <w:rPr>
          <w:rFonts w:ascii="Times New Roman" w:hAnsi="Times New Roman"/>
          <w:sz w:val="28"/>
          <w:szCs w:val="28"/>
        </w:rPr>
        <w:t>В настоящее время на предприятии применяется традиционная технологическая схема производства твердого сыра. Производственная мощность – 2,9 т сыра в смену.</w:t>
      </w:r>
    </w:p>
    <w:p w:rsidR="003C1D13" w:rsidRPr="00FC2C4D" w:rsidRDefault="003C1D13" w:rsidP="00444C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2C4D">
        <w:rPr>
          <w:rFonts w:ascii="Times New Roman" w:hAnsi="Times New Roman"/>
          <w:sz w:val="28"/>
          <w:szCs w:val="28"/>
        </w:rPr>
        <w:t>Техническое переоснащение позволит увеличить объем производства сыра, снизить расход электроэнергии и пара, уве</w:t>
      </w:r>
      <w:r>
        <w:rPr>
          <w:rFonts w:ascii="Times New Roman" w:hAnsi="Times New Roman"/>
          <w:sz w:val="28"/>
          <w:szCs w:val="28"/>
        </w:rPr>
        <w:t>личить производительность труда</w:t>
      </w:r>
      <w:r w:rsidRPr="00FC2C4D">
        <w:rPr>
          <w:rFonts w:ascii="Times New Roman" w:hAnsi="Times New Roman"/>
          <w:sz w:val="28"/>
          <w:szCs w:val="28"/>
        </w:rPr>
        <w:t>, сни</w:t>
      </w:r>
      <w:r>
        <w:rPr>
          <w:rFonts w:ascii="Times New Roman" w:hAnsi="Times New Roman"/>
          <w:sz w:val="28"/>
          <w:szCs w:val="28"/>
        </w:rPr>
        <w:t>зить себестоимость продукции</w:t>
      </w:r>
      <w:r w:rsidRPr="00FC2C4D">
        <w:rPr>
          <w:rFonts w:ascii="Times New Roman" w:hAnsi="Times New Roman"/>
          <w:sz w:val="28"/>
          <w:szCs w:val="28"/>
        </w:rPr>
        <w:t>, повысить ее конкурентоспособность за счет повышения качества как внутри РБ, так и за ее пределами.</w:t>
      </w:r>
    </w:p>
    <w:p w:rsidR="003C1D13" w:rsidRPr="008D462B" w:rsidRDefault="003C1D13" w:rsidP="00444C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62B">
        <w:rPr>
          <w:rFonts w:ascii="Times New Roman" w:hAnsi="Times New Roman"/>
          <w:sz w:val="28"/>
          <w:szCs w:val="28"/>
        </w:rPr>
        <w:t xml:space="preserve">Согласно коммерческому предложению фирмы </w:t>
      </w:r>
      <w:r w:rsidRPr="008D462B">
        <w:rPr>
          <w:rFonts w:ascii="Times New Roman" w:hAnsi="Times New Roman"/>
          <w:sz w:val="28"/>
          <w:szCs w:val="28"/>
          <w:lang w:val="en-US"/>
        </w:rPr>
        <w:t>OBRAM</w:t>
      </w:r>
      <w:r w:rsidRPr="008D462B">
        <w:rPr>
          <w:rFonts w:ascii="Times New Roman" w:hAnsi="Times New Roman"/>
          <w:sz w:val="28"/>
          <w:szCs w:val="28"/>
        </w:rPr>
        <w:t xml:space="preserve"> </w:t>
      </w:r>
      <w:r w:rsidRPr="008D462B">
        <w:rPr>
          <w:rFonts w:ascii="Times New Roman" w:hAnsi="Times New Roman"/>
          <w:sz w:val="28"/>
          <w:szCs w:val="28"/>
          <w:lang w:val="en-US"/>
        </w:rPr>
        <w:t>Sp</w:t>
      </w:r>
      <w:r w:rsidRPr="008D462B">
        <w:rPr>
          <w:rFonts w:ascii="Times New Roman" w:hAnsi="Times New Roman"/>
          <w:sz w:val="28"/>
          <w:szCs w:val="28"/>
        </w:rPr>
        <w:t xml:space="preserve">. </w:t>
      </w:r>
      <w:r w:rsidRPr="008D462B">
        <w:rPr>
          <w:rFonts w:ascii="Times New Roman" w:hAnsi="Times New Roman"/>
          <w:sz w:val="28"/>
          <w:szCs w:val="28"/>
          <w:lang w:val="en-US"/>
        </w:rPr>
        <w:t>z</w:t>
      </w:r>
      <w:r w:rsidRPr="008D462B">
        <w:rPr>
          <w:rFonts w:ascii="Times New Roman" w:hAnsi="Times New Roman"/>
          <w:sz w:val="28"/>
          <w:szCs w:val="28"/>
        </w:rPr>
        <w:t xml:space="preserve"> </w:t>
      </w:r>
      <w:r w:rsidRPr="008D462B">
        <w:rPr>
          <w:rFonts w:ascii="Times New Roman" w:hAnsi="Times New Roman"/>
          <w:sz w:val="28"/>
          <w:szCs w:val="28"/>
          <w:lang w:val="en-US"/>
        </w:rPr>
        <w:t>o</w:t>
      </w:r>
      <w:r w:rsidRPr="008D462B">
        <w:rPr>
          <w:rFonts w:ascii="Times New Roman" w:hAnsi="Times New Roman"/>
          <w:sz w:val="28"/>
          <w:szCs w:val="28"/>
        </w:rPr>
        <w:t>.</w:t>
      </w:r>
      <w:r w:rsidRPr="008D462B">
        <w:rPr>
          <w:rFonts w:ascii="Times New Roman" w:hAnsi="Times New Roman"/>
          <w:sz w:val="28"/>
          <w:szCs w:val="28"/>
          <w:lang w:val="en-US"/>
        </w:rPr>
        <w:t>o</w:t>
      </w:r>
      <w:r w:rsidRPr="008D462B">
        <w:rPr>
          <w:rFonts w:ascii="Times New Roman" w:hAnsi="Times New Roman"/>
          <w:sz w:val="28"/>
          <w:szCs w:val="28"/>
        </w:rPr>
        <w:t>. в Ольштыне (Польша), предусматривается поставка линии для производства сыра «Голландский» производительностью 150 тыс. литров переработки молока в сутки.</w:t>
      </w:r>
    </w:p>
    <w:p w:rsidR="003C1D13" w:rsidRPr="008D462B" w:rsidRDefault="003C1D13" w:rsidP="00444C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62B">
        <w:rPr>
          <w:rFonts w:ascii="Times New Roman" w:hAnsi="Times New Roman"/>
          <w:sz w:val="28"/>
          <w:szCs w:val="28"/>
        </w:rPr>
        <w:t>Линия обеспечивает автоматический цикл выпуска твердого сыра с применением компьютерного управления. Сыр вырабатывается с использованием в технологическом процессе форм и индивидуальным прессованием каждого бруска.</w:t>
      </w:r>
    </w:p>
    <w:p w:rsidR="003C1D13" w:rsidRDefault="003C1D13" w:rsidP="00444C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62B">
        <w:rPr>
          <w:rFonts w:ascii="Times New Roman" w:hAnsi="Times New Roman"/>
          <w:sz w:val="28"/>
          <w:szCs w:val="28"/>
        </w:rPr>
        <w:t xml:space="preserve">Размеры бруска 300х300х100 мм, вес около </w:t>
      </w:r>
      <w:smartTag w:uri="urn:schemas-microsoft-com:office:smarttags" w:element="metricconverter">
        <w:smartTagPr>
          <w:attr w:name="ProductID" w:val="9 кг"/>
        </w:smartTagPr>
        <w:r w:rsidRPr="008D462B">
          <w:rPr>
            <w:rFonts w:ascii="Times New Roman" w:hAnsi="Times New Roman"/>
            <w:sz w:val="28"/>
            <w:szCs w:val="28"/>
          </w:rPr>
          <w:t>9 кг</w:t>
        </w:r>
      </w:smartTag>
      <w:r w:rsidRPr="008D462B">
        <w:rPr>
          <w:rFonts w:ascii="Times New Roman" w:hAnsi="Times New Roman"/>
          <w:sz w:val="28"/>
          <w:szCs w:val="28"/>
        </w:rPr>
        <w:t xml:space="preserve">, предусматривается разрезка брусков с размером 300х150х100 мм весом </w:t>
      </w:r>
      <w:smartTag w:uri="urn:schemas-microsoft-com:office:smarttags" w:element="metricconverter">
        <w:smartTagPr>
          <w:attr w:name="ProductID" w:val="4,5 кг"/>
        </w:smartTagPr>
        <w:r w:rsidRPr="008D462B">
          <w:rPr>
            <w:rFonts w:ascii="Times New Roman" w:hAnsi="Times New Roman"/>
            <w:sz w:val="28"/>
            <w:szCs w:val="28"/>
          </w:rPr>
          <w:t>4,5 кг</w:t>
        </w:r>
      </w:smartTag>
      <w:r w:rsidRPr="008D462B">
        <w:rPr>
          <w:rFonts w:ascii="Times New Roman" w:hAnsi="Times New Roman"/>
          <w:sz w:val="28"/>
          <w:szCs w:val="28"/>
        </w:rPr>
        <w:t>.</w:t>
      </w:r>
    </w:p>
    <w:p w:rsidR="003C1D13" w:rsidRPr="008D462B" w:rsidRDefault="003C1D13" w:rsidP="00444C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62B">
        <w:rPr>
          <w:rFonts w:ascii="Times New Roman" w:hAnsi="Times New Roman"/>
          <w:sz w:val="28"/>
          <w:szCs w:val="28"/>
        </w:rPr>
        <w:t>Для обоснования проекта в качестве аналога  принято оборудование фирмы «</w:t>
      </w:r>
      <w:r w:rsidRPr="008D462B">
        <w:rPr>
          <w:rFonts w:ascii="Times New Roman" w:hAnsi="Times New Roman"/>
          <w:sz w:val="28"/>
          <w:szCs w:val="28"/>
          <w:lang w:val="en-US"/>
        </w:rPr>
        <w:t>OBRAM</w:t>
      </w:r>
      <w:r w:rsidRPr="008D462B">
        <w:rPr>
          <w:rFonts w:ascii="Times New Roman" w:hAnsi="Times New Roman"/>
          <w:sz w:val="28"/>
          <w:szCs w:val="28"/>
        </w:rPr>
        <w:t xml:space="preserve"> </w:t>
      </w:r>
      <w:r w:rsidRPr="008D462B">
        <w:rPr>
          <w:rFonts w:ascii="Times New Roman" w:hAnsi="Times New Roman"/>
          <w:sz w:val="28"/>
          <w:szCs w:val="28"/>
          <w:lang w:val="en-US"/>
        </w:rPr>
        <w:t>Sp</w:t>
      </w:r>
      <w:r w:rsidRPr="008D462B">
        <w:rPr>
          <w:rFonts w:ascii="Times New Roman" w:hAnsi="Times New Roman"/>
          <w:sz w:val="28"/>
          <w:szCs w:val="28"/>
        </w:rPr>
        <w:t xml:space="preserve">. </w:t>
      </w:r>
      <w:r w:rsidRPr="008D462B">
        <w:rPr>
          <w:rFonts w:ascii="Times New Roman" w:hAnsi="Times New Roman"/>
          <w:sz w:val="28"/>
          <w:szCs w:val="28"/>
          <w:lang w:val="en-US"/>
        </w:rPr>
        <w:t>z</w:t>
      </w:r>
      <w:r w:rsidRPr="008D462B">
        <w:rPr>
          <w:rFonts w:ascii="Times New Roman" w:hAnsi="Times New Roman"/>
          <w:sz w:val="28"/>
          <w:szCs w:val="28"/>
        </w:rPr>
        <w:t xml:space="preserve"> </w:t>
      </w:r>
      <w:r w:rsidRPr="008D462B">
        <w:rPr>
          <w:rFonts w:ascii="Times New Roman" w:hAnsi="Times New Roman"/>
          <w:sz w:val="28"/>
          <w:szCs w:val="28"/>
          <w:lang w:val="en-US"/>
        </w:rPr>
        <w:t>o</w:t>
      </w:r>
      <w:r w:rsidRPr="008D462B">
        <w:rPr>
          <w:rFonts w:ascii="Times New Roman" w:hAnsi="Times New Roman"/>
          <w:sz w:val="28"/>
          <w:szCs w:val="28"/>
        </w:rPr>
        <w:t>.</w:t>
      </w:r>
      <w:r w:rsidRPr="008D462B">
        <w:rPr>
          <w:rFonts w:ascii="Times New Roman" w:hAnsi="Times New Roman"/>
          <w:sz w:val="28"/>
          <w:szCs w:val="28"/>
          <w:lang w:val="en-US"/>
        </w:rPr>
        <w:t>o</w:t>
      </w:r>
      <w:r w:rsidRPr="008D462B">
        <w:rPr>
          <w:rFonts w:ascii="Times New Roman" w:hAnsi="Times New Roman"/>
          <w:sz w:val="28"/>
          <w:szCs w:val="28"/>
        </w:rPr>
        <w:t>.» (Польша). Коммерческое п</w:t>
      </w:r>
      <w:r>
        <w:rPr>
          <w:rFonts w:ascii="Times New Roman" w:hAnsi="Times New Roman"/>
          <w:sz w:val="28"/>
          <w:szCs w:val="28"/>
        </w:rPr>
        <w:t>редложение</w:t>
      </w:r>
      <w:r w:rsidRPr="008D462B">
        <w:rPr>
          <w:rFonts w:ascii="Times New Roman" w:hAnsi="Times New Roman"/>
          <w:sz w:val="28"/>
          <w:szCs w:val="28"/>
        </w:rPr>
        <w:t xml:space="preserve"> содержит основные технико-экономические и ценовые параметры. Производительность линии – 150 тыс.л переработки молока в сутки. Готовая продукция (сыр Голландский) представляет собой брусок 300х300х100 мм, массой около </w:t>
      </w:r>
      <w:smartTag w:uri="urn:schemas-microsoft-com:office:smarttags" w:element="metricconverter">
        <w:smartTagPr>
          <w:attr w:name="ProductID" w:val="9 кг"/>
        </w:smartTagPr>
        <w:r w:rsidRPr="008D462B">
          <w:rPr>
            <w:rFonts w:ascii="Times New Roman" w:hAnsi="Times New Roman"/>
            <w:sz w:val="28"/>
            <w:szCs w:val="28"/>
          </w:rPr>
          <w:t>9 кг</w:t>
        </w:r>
      </w:smartTag>
      <w:r w:rsidRPr="008D462B">
        <w:rPr>
          <w:rFonts w:ascii="Times New Roman" w:hAnsi="Times New Roman"/>
          <w:sz w:val="28"/>
          <w:szCs w:val="28"/>
        </w:rPr>
        <w:t>.</w:t>
      </w:r>
    </w:p>
    <w:p w:rsidR="003C1D13" w:rsidRPr="008D462B" w:rsidRDefault="003C1D13" w:rsidP="00444C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62B">
        <w:rPr>
          <w:rFonts w:ascii="Times New Roman" w:hAnsi="Times New Roman"/>
          <w:sz w:val="28"/>
          <w:szCs w:val="28"/>
        </w:rPr>
        <w:t>Предложение охватывает разработку технической и технологической документации сыроизготовительной линии в соответствии с европейскими требованиями, доставку технологического оборудования, его монтаж и обвязку, а также ввод в эксплуатацию и обучение обслуживающего персонала.</w:t>
      </w:r>
    </w:p>
    <w:p w:rsidR="003C1D13" w:rsidRDefault="003C1D13" w:rsidP="00444C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62B">
        <w:rPr>
          <w:rFonts w:ascii="Times New Roman" w:hAnsi="Times New Roman"/>
          <w:sz w:val="28"/>
          <w:szCs w:val="28"/>
        </w:rPr>
        <w:t>Комплектация линии обеспечивает автоматизацию процесса изготовления сыра закрытым способом от приготовления зерна, формования и механизацию финишных операций прессования и опорожнения фо</w:t>
      </w:r>
      <w:r>
        <w:rPr>
          <w:rFonts w:ascii="Times New Roman" w:hAnsi="Times New Roman"/>
          <w:sz w:val="28"/>
          <w:szCs w:val="28"/>
        </w:rPr>
        <w:t>рм. Закрытый способ изготовления продукции обеспечит наличие более высоких  качественных показателей продукции - таких как:</w:t>
      </w:r>
    </w:p>
    <w:p w:rsidR="003C1D13" w:rsidRDefault="003C1D13" w:rsidP="00444C29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органолептические (вкус, запах, цвет);</w:t>
      </w:r>
    </w:p>
    <w:p w:rsidR="003C1D13" w:rsidRDefault="003C1D13" w:rsidP="00444C29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химико-физические (массовая доля жира, кислотность, плотность);</w:t>
      </w:r>
    </w:p>
    <w:p w:rsidR="003C1D13" w:rsidRDefault="003C1D13" w:rsidP="00444C29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микробиологические (отсутствие патогенных микроорганизмов и токсичных элементов).</w:t>
      </w:r>
    </w:p>
    <w:p w:rsidR="003C1D13" w:rsidRDefault="003C1D13" w:rsidP="00444C29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Установление автоматизированной линии по производству твердых сычужных сыров также позволит довести такой немаловажный для качества продуктов питания фактор как человеческий </w:t>
      </w:r>
      <w:r w:rsidRPr="004A4222">
        <w:rPr>
          <w:rFonts w:ascii="Times New Roman" w:hAnsi="Times New Roman"/>
          <w:sz w:val="28"/>
          <w:szCs w:val="28"/>
        </w:rPr>
        <w:t>(грызуны, насекомые, строительные материалы, личные вещи персонала остаточное содержание моющих и дезинфицирующих веществ, личные вещи, продукты жизнедеятельности персонала</w:t>
      </w:r>
      <w:r>
        <w:rPr>
          <w:rFonts w:ascii="Times New Roman" w:hAnsi="Times New Roman"/>
          <w:sz w:val="28"/>
          <w:szCs w:val="28"/>
        </w:rPr>
        <w:t>, гнойничковые и кишечные заболевания</w:t>
      </w:r>
      <w:r w:rsidRPr="004A422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к минимальному значению, что окажет непосредственное влияние на уровень качества готовой продукции.</w:t>
      </w:r>
    </w:p>
    <w:p w:rsidR="003C1D13" w:rsidRDefault="00444C29" w:rsidP="00444C29">
      <w:pPr>
        <w:pStyle w:val="a5"/>
        <w:spacing w:line="360" w:lineRule="auto"/>
        <w:ind w:firstLine="709"/>
        <w:jc w:val="center"/>
        <w:rPr>
          <w:szCs w:val="28"/>
        </w:rPr>
      </w:pPr>
      <w:r>
        <w:rPr>
          <w:b w:val="0"/>
          <w:szCs w:val="28"/>
        </w:rPr>
        <w:br w:type="page"/>
      </w:r>
      <w:r w:rsidR="003C1D13">
        <w:rPr>
          <w:szCs w:val="28"/>
        </w:rPr>
        <w:t>1</w:t>
      </w:r>
      <w:r w:rsidR="003C1D13" w:rsidRPr="00862A0E">
        <w:rPr>
          <w:szCs w:val="28"/>
        </w:rPr>
        <w:t xml:space="preserve"> </w:t>
      </w:r>
      <w:r w:rsidR="003C1D13">
        <w:rPr>
          <w:szCs w:val="28"/>
        </w:rPr>
        <w:t>К</w:t>
      </w:r>
      <w:r w:rsidR="003C1D13" w:rsidRPr="00862A0E">
        <w:rPr>
          <w:szCs w:val="28"/>
        </w:rPr>
        <w:t>апитальны</w:t>
      </w:r>
      <w:r w:rsidR="003C1D13">
        <w:rPr>
          <w:szCs w:val="28"/>
        </w:rPr>
        <w:t>е</w:t>
      </w:r>
      <w:r w:rsidR="003C1D13" w:rsidRPr="00862A0E">
        <w:rPr>
          <w:szCs w:val="28"/>
        </w:rPr>
        <w:t xml:space="preserve"> и инвестиционны</w:t>
      </w:r>
      <w:r w:rsidR="003C1D13">
        <w:rPr>
          <w:szCs w:val="28"/>
        </w:rPr>
        <w:t>е</w:t>
      </w:r>
      <w:r w:rsidR="003C1D13" w:rsidRPr="00862A0E">
        <w:rPr>
          <w:szCs w:val="28"/>
        </w:rPr>
        <w:t xml:space="preserve"> затрат</w:t>
      </w:r>
      <w:r w:rsidR="003C1D13">
        <w:rPr>
          <w:szCs w:val="28"/>
        </w:rPr>
        <w:t>ы</w:t>
      </w:r>
      <w:r w:rsidR="003C1D13" w:rsidRPr="00862A0E">
        <w:rPr>
          <w:szCs w:val="28"/>
        </w:rPr>
        <w:t xml:space="preserve"> по проекту</w:t>
      </w:r>
      <w:r w:rsidR="003C1D13">
        <w:rPr>
          <w:szCs w:val="28"/>
        </w:rPr>
        <w:t xml:space="preserve"> и источники их финансирования</w:t>
      </w:r>
    </w:p>
    <w:p w:rsidR="003C1D13" w:rsidRPr="00862A0E" w:rsidRDefault="003C1D13" w:rsidP="00444C29">
      <w:pPr>
        <w:pStyle w:val="a5"/>
        <w:spacing w:line="360" w:lineRule="auto"/>
        <w:ind w:firstLine="709"/>
        <w:jc w:val="center"/>
        <w:rPr>
          <w:b w:val="0"/>
          <w:szCs w:val="28"/>
        </w:rPr>
      </w:pPr>
    </w:p>
    <w:p w:rsidR="003C1D13" w:rsidRPr="00BF0467" w:rsidRDefault="003C1D13" w:rsidP="00444C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467">
        <w:rPr>
          <w:rFonts w:ascii="Times New Roman" w:hAnsi="Times New Roman"/>
          <w:sz w:val="28"/>
          <w:szCs w:val="28"/>
        </w:rPr>
        <w:t xml:space="preserve">В инвестиционные издержки ОАО «Любанский сыродельный завод» включена сумма основных капитальных затрат, а также затраты, относимые на прирост чистого оборотного капитала. </w:t>
      </w:r>
    </w:p>
    <w:p w:rsidR="003C1D13" w:rsidRPr="00BF0467" w:rsidRDefault="003C1D13" w:rsidP="00444C29">
      <w:pPr>
        <w:pStyle w:val="a5"/>
        <w:spacing w:line="360" w:lineRule="auto"/>
        <w:ind w:firstLine="709"/>
        <w:rPr>
          <w:b w:val="0"/>
          <w:szCs w:val="28"/>
        </w:rPr>
      </w:pPr>
      <w:r w:rsidRPr="00BF0467">
        <w:rPr>
          <w:b w:val="0"/>
          <w:szCs w:val="28"/>
        </w:rPr>
        <w:t>Объем капитальных вложений, необходимых для реализации проекта, определен исходя из потребности в денежных средствах на строительно-монтажные работы и приобретение технологического оборудования.</w:t>
      </w:r>
    </w:p>
    <w:p w:rsidR="003C1D13" w:rsidRPr="00BF0467" w:rsidRDefault="003C1D13" w:rsidP="00444C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467">
        <w:rPr>
          <w:rFonts w:ascii="Times New Roman" w:hAnsi="Times New Roman"/>
          <w:sz w:val="28"/>
          <w:szCs w:val="28"/>
        </w:rPr>
        <w:t xml:space="preserve">Капитальные затраты составляют 3 598,2 тыс. </w:t>
      </w:r>
      <w:r>
        <w:rPr>
          <w:rFonts w:ascii="Times New Roman" w:hAnsi="Times New Roman"/>
          <w:sz w:val="28"/>
          <w:szCs w:val="28"/>
        </w:rPr>
        <w:t>у.е</w:t>
      </w:r>
      <w:r w:rsidRPr="00BF0467">
        <w:rPr>
          <w:rFonts w:ascii="Times New Roman" w:hAnsi="Times New Roman"/>
          <w:sz w:val="28"/>
          <w:szCs w:val="28"/>
        </w:rPr>
        <w:t xml:space="preserve">, в т.ч. НДС – 548,9 тыс.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F0467">
        <w:rPr>
          <w:rFonts w:ascii="Times New Roman" w:hAnsi="Times New Roman"/>
          <w:sz w:val="28"/>
          <w:szCs w:val="28"/>
        </w:rPr>
        <w:t xml:space="preserve">и таможенная пошлина – 141,6 тыс. </w:t>
      </w:r>
      <w:r>
        <w:rPr>
          <w:rFonts w:ascii="Times New Roman" w:hAnsi="Times New Roman"/>
          <w:sz w:val="28"/>
          <w:szCs w:val="28"/>
        </w:rPr>
        <w:t>у.е .:</w:t>
      </w:r>
    </w:p>
    <w:p w:rsidR="003C1D13" w:rsidRPr="00BF0467" w:rsidRDefault="003C1D13" w:rsidP="00444C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467">
        <w:rPr>
          <w:rFonts w:ascii="Times New Roman" w:hAnsi="Times New Roman"/>
          <w:sz w:val="28"/>
          <w:szCs w:val="28"/>
        </w:rPr>
        <w:t xml:space="preserve"> - затраты на разработку проектно-сметной документации – 47,4 тыс. </w:t>
      </w:r>
      <w:r>
        <w:rPr>
          <w:rFonts w:ascii="Times New Roman" w:hAnsi="Times New Roman"/>
          <w:sz w:val="28"/>
          <w:szCs w:val="28"/>
        </w:rPr>
        <w:t>Евро</w:t>
      </w:r>
      <w:r w:rsidRPr="00BF0467">
        <w:rPr>
          <w:rFonts w:ascii="Times New Roman" w:hAnsi="Times New Roman"/>
          <w:sz w:val="28"/>
          <w:szCs w:val="28"/>
        </w:rPr>
        <w:t xml:space="preserve">, в т.ч. НДС – 7,2 </w:t>
      </w:r>
      <w:r>
        <w:rPr>
          <w:rFonts w:ascii="Times New Roman" w:hAnsi="Times New Roman"/>
          <w:sz w:val="28"/>
          <w:szCs w:val="28"/>
        </w:rPr>
        <w:t>у.е.</w:t>
      </w:r>
      <w:r w:rsidRPr="00BF0467">
        <w:rPr>
          <w:rFonts w:ascii="Times New Roman" w:hAnsi="Times New Roman"/>
          <w:sz w:val="28"/>
          <w:szCs w:val="28"/>
        </w:rPr>
        <w:t xml:space="preserve"> </w:t>
      </w:r>
    </w:p>
    <w:p w:rsidR="003C1D13" w:rsidRPr="00BF0467" w:rsidRDefault="003C1D13" w:rsidP="00444C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467">
        <w:rPr>
          <w:rFonts w:ascii="Times New Roman" w:hAnsi="Times New Roman"/>
          <w:sz w:val="28"/>
          <w:szCs w:val="28"/>
        </w:rPr>
        <w:t xml:space="preserve">- затраты на строительно-монтажные работы – 139,8 тыс. </w:t>
      </w:r>
      <w:r>
        <w:rPr>
          <w:rFonts w:ascii="Times New Roman" w:hAnsi="Times New Roman"/>
          <w:sz w:val="28"/>
          <w:szCs w:val="28"/>
        </w:rPr>
        <w:t>Евро</w:t>
      </w:r>
      <w:r w:rsidRPr="00BF0467">
        <w:rPr>
          <w:rFonts w:ascii="Times New Roman" w:hAnsi="Times New Roman"/>
          <w:sz w:val="28"/>
          <w:szCs w:val="28"/>
        </w:rPr>
        <w:t xml:space="preserve">, в т.ч.  НДС – 21,3 </w:t>
      </w:r>
      <w:r>
        <w:rPr>
          <w:rFonts w:ascii="Times New Roman" w:hAnsi="Times New Roman"/>
          <w:sz w:val="28"/>
          <w:szCs w:val="28"/>
        </w:rPr>
        <w:t>у.е.</w:t>
      </w:r>
    </w:p>
    <w:p w:rsidR="003C1D13" w:rsidRPr="00BF0467" w:rsidRDefault="003C1D13" w:rsidP="00444C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467">
        <w:rPr>
          <w:rFonts w:ascii="Times New Roman" w:hAnsi="Times New Roman"/>
          <w:sz w:val="28"/>
          <w:szCs w:val="28"/>
        </w:rPr>
        <w:t xml:space="preserve">- затраты на приобретение технологического оборудования – 3 410,9 тыс. </w:t>
      </w:r>
      <w:r>
        <w:rPr>
          <w:rFonts w:ascii="Times New Roman" w:hAnsi="Times New Roman"/>
          <w:sz w:val="28"/>
          <w:szCs w:val="28"/>
        </w:rPr>
        <w:t>у.е.</w:t>
      </w:r>
      <w:r w:rsidRPr="00BF0467">
        <w:rPr>
          <w:rFonts w:ascii="Times New Roman" w:hAnsi="Times New Roman"/>
          <w:sz w:val="28"/>
          <w:szCs w:val="28"/>
        </w:rPr>
        <w:t xml:space="preserve">, в т.ч. НДС – 520,4 тыс. </w:t>
      </w:r>
      <w:r>
        <w:rPr>
          <w:rFonts w:ascii="Times New Roman" w:hAnsi="Times New Roman"/>
          <w:sz w:val="28"/>
          <w:szCs w:val="28"/>
        </w:rPr>
        <w:t xml:space="preserve">у.е. </w:t>
      </w:r>
      <w:r w:rsidRPr="00BF0467">
        <w:rPr>
          <w:rFonts w:ascii="Times New Roman" w:hAnsi="Times New Roman"/>
          <w:sz w:val="28"/>
          <w:szCs w:val="28"/>
        </w:rPr>
        <w:t xml:space="preserve"> и таможенная пошлина – 141,6 </w:t>
      </w:r>
      <w:r>
        <w:rPr>
          <w:rFonts w:ascii="Times New Roman" w:hAnsi="Times New Roman"/>
          <w:sz w:val="28"/>
          <w:szCs w:val="28"/>
        </w:rPr>
        <w:t>у.е.</w:t>
      </w:r>
    </w:p>
    <w:p w:rsidR="003C1D13" w:rsidRPr="00BF0467" w:rsidRDefault="003C1D13" w:rsidP="00444C2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BF0467">
        <w:rPr>
          <w:sz w:val="28"/>
          <w:szCs w:val="28"/>
        </w:rPr>
        <w:t xml:space="preserve">Общие инвестиционные затраты по </w:t>
      </w:r>
      <w:r>
        <w:rPr>
          <w:sz w:val="28"/>
          <w:szCs w:val="28"/>
        </w:rPr>
        <w:t>года</w:t>
      </w:r>
      <w:r w:rsidRPr="00BF0467">
        <w:rPr>
          <w:sz w:val="28"/>
          <w:szCs w:val="28"/>
        </w:rPr>
        <w:t xml:space="preserve">м реализации проекта сведены в табл. </w:t>
      </w:r>
      <w:r>
        <w:rPr>
          <w:sz w:val="28"/>
          <w:szCs w:val="28"/>
        </w:rPr>
        <w:t>1..</w:t>
      </w:r>
    </w:p>
    <w:p w:rsidR="003C1D13" w:rsidRDefault="003C1D13" w:rsidP="00444C2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3C1D13" w:rsidRDefault="003C1D13" w:rsidP="00444C29">
      <w:pPr>
        <w:pStyle w:val="21"/>
        <w:spacing w:after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Таблица 1 - Инвестиционные затраты по проекту</w:t>
      </w:r>
    </w:p>
    <w:p w:rsidR="003C1D13" w:rsidRDefault="003C1D13" w:rsidP="00444C29">
      <w:pPr>
        <w:pStyle w:val="21"/>
        <w:spacing w:after="0" w:line="360" w:lineRule="auto"/>
        <w:ind w:left="0" w:firstLine="709"/>
        <w:jc w:val="center"/>
        <w:rPr>
          <w:sz w:val="28"/>
          <w:szCs w:val="28"/>
        </w:rPr>
      </w:pP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5108"/>
        <w:gridCol w:w="276"/>
        <w:gridCol w:w="777"/>
        <w:gridCol w:w="1074"/>
        <w:gridCol w:w="1134"/>
        <w:gridCol w:w="1275"/>
      </w:tblGrid>
      <w:tr w:rsidR="003C1D13" w:rsidRPr="00444C29">
        <w:trPr>
          <w:trHeight w:val="60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Инвестиционные затраты по проекту</w:t>
            </w:r>
          </w:p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и источники финансирования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444C29">
                <w:rPr>
                  <w:rFonts w:ascii="Times New Roman" w:hAnsi="Times New Roman"/>
                  <w:sz w:val="20"/>
                  <w:szCs w:val="20"/>
                </w:rPr>
                <w:t>2008 г</w:t>
              </w:r>
            </w:smartTag>
            <w:r w:rsidRPr="00444C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444C29">
                <w:rPr>
                  <w:rFonts w:ascii="Times New Roman" w:hAnsi="Times New Roman"/>
                  <w:sz w:val="20"/>
                  <w:szCs w:val="20"/>
                </w:rPr>
                <w:t>2009 г</w:t>
              </w:r>
            </w:smartTag>
            <w:r w:rsidRPr="00444C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3C1D13" w:rsidRPr="00444C29">
        <w:trPr>
          <w:trHeight w:val="28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C1D13" w:rsidRPr="00444C29">
        <w:trPr>
          <w:trHeight w:val="28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Стоимость инвестиционного проекта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тыс. у.е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3658,3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3257,1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362,1</w:t>
            </w:r>
          </w:p>
        </w:tc>
      </w:tr>
      <w:tr w:rsidR="003C1D13" w:rsidRPr="00444C29">
        <w:trPr>
          <w:trHeight w:val="28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 xml:space="preserve">Суммарная потребность в инвестициях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тыс. у.е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4425,8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3305,9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668,8</w:t>
            </w:r>
          </w:p>
        </w:tc>
      </w:tr>
      <w:tr w:rsidR="003C1D13" w:rsidRPr="00444C29">
        <w:trPr>
          <w:trHeight w:val="28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Источники финансирования проекта: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тыс. у.е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3658,3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3257,1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362,1</w:t>
            </w:r>
          </w:p>
        </w:tc>
      </w:tr>
      <w:tr w:rsidR="003C1D13" w:rsidRPr="00444C29">
        <w:trPr>
          <w:trHeight w:val="285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собственные средства</w:t>
            </w:r>
          </w:p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тыс. у.е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750,6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624,3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87,2</w:t>
            </w:r>
          </w:p>
        </w:tc>
      </w:tr>
      <w:tr w:rsidR="003C1D13" w:rsidRPr="00444C29">
        <w:trPr>
          <w:trHeight w:val="285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заемные и привлеченные средства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тыс. у.е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2907,7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2632,8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274,9</w:t>
            </w:r>
          </w:p>
        </w:tc>
      </w:tr>
      <w:tr w:rsidR="003C1D13" w:rsidRPr="00444C29">
        <w:trPr>
          <w:trHeight w:val="28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br w:type="page"/>
              <w:t>Валютный кредит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тыс. у.е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2907,7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2632,8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274,9</w:t>
            </w:r>
          </w:p>
        </w:tc>
      </w:tr>
      <w:tr w:rsidR="003C1D13" w:rsidRPr="00444C29">
        <w:trPr>
          <w:trHeight w:val="285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C1D13" w:rsidRPr="00444C29">
        <w:trPr>
          <w:trHeight w:val="285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Краткосрочные кредиты</w:t>
            </w:r>
          </w:p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тыс. у.е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1D13" w:rsidRPr="00444C29">
        <w:trPr>
          <w:trHeight w:val="28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государственное участие (с указанием вид а)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тыс. у.е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1D13" w:rsidRPr="00444C29">
        <w:trPr>
          <w:trHeight w:val="28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Доля собственного капитала в объеме инвестиций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19,2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24,1</w:t>
            </w:r>
          </w:p>
        </w:tc>
      </w:tr>
    </w:tbl>
    <w:p w:rsidR="003C1D13" w:rsidRDefault="003C1D13" w:rsidP="00444C29">
      <w:pPr>
        <w:pStyle w:val="a5"/>
        <w:spacing w:line="360" w:lineRule="auto"/>
        <w:ind w:firstLine="709"/>
        <w:jc w:val="center"/>
        <w:rPr>
          <w:szCs w:val="28"/>
        </w:rPr>
      </w:pPr>
    </w:p>
    <w:p w:rsidR="003C1D13" w:rsidRPr="00BF0467" w:rsidRDefault="003C1D13" w:rsidP="00444C29">
      <w:pPr>
        <w:pStyle w:val="a5"/>
        <w:spacing w:line="360" w:lineRule="auto"/>
        <w:ind w:firstLine="709"/>
        <w:rPr>
          <w:b w:val="0"/>
          <w:szCs w:val="28"/>
          <w:highlight w:val="yellow"/>
        </w:rPr>
      </w:pPr>
      <w:r>
        <w:rPr>
          <w:b w:val="0"/>
          <w:szCs w:val="28"/>
        </w:rPr>
        <w:t>Данные таблицы 1 показывают, что ф</w:t>
      </w:r>
      <w:r w:rsidRPr="00BF0467">
        <w:rPr>
          <w:b w:val="0"/>
          <w:szCs w:val="28"/>
        </w:rPr>
        <w:t xml:space="preserve">инансирование проекта предполагается осуществить за счет заемных и частично за счет собственных средств. </w:t>
      </w:r>
    </w:p>
    <w:p w:rsidR="003C1D13" w:rsidRPr="00BF0467" w:rsidRDefault="003C1D13" w:rsidP="00444C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467">
        <w:rPr>
          <w:rFonts w:ascii="Times New Roman" w:hAnsi="Times New Roman"/>
          <w:sz w:val="28"/>
          <w:szCs w:val="28"/>
        </w:rPr>
        <w:t xml:space="preserve">Заемные средства в сумме 2 907,7 тыс. </w:t>
      </w:r>
      <w:r>
        <w:rPr>
          <w:rFonts w:ascii="Times New Roman" w:hAnsi="Times New Roman"/>
          <w:sz w:val="28"/>
          <w:szCs w:val="28"/>
        </w:rPr>
        <w:t>у.е.</w:t>
      </w:r>
      <w:r w:rsidRPr="00BF0467">
        <w:rPr>
          <w:rFonts w:ascii="Times New Roman" w:hAnsi="Times New Roman"/>
          <w:sz w:val="28"/>
          <w:szCs w:val="28"/>
        </w:rPr>
        <w:t xml:space="preserve"> планируется привлечь в виде валютного кредита.</w:t>
      </w:r>
    </w:p>
    <w:p w:rsidR="003C1D13" w:rsidRPr="00BF0467" w:rsidRDefault="003C1D13" w:rsidP="00444C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467">
        <w:rPr>
          <w:rFonts w:ascii="Times New Roman" w:hAnsi="Times New Roman"/>
          <w:sz w:val="28"/>
          <w:szCs w:val="28"/>
        </w:rPr>
        <w:t>Средства отечественного банка:</w:t>
      </w:r>
    </w:p>
    <w:p w:rsidR="003C1D13" w:rsidRPr="00BF0467" w:rsidRDefault="003C1D13" w:rsidP="00444C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467">
        <w:rPr>
          <w:rFonts w:ascii="Times New Roman" w:hAnsi="Times New Roman"/>
          <w:sz w:val="28"/>
          <w:szCs w:val="28"/>
        </w:rPr>
        <w:t xml:space="preserve">– сумма кредита: 2 907,7 тыс. </w:t>
      </w:r>
      <w:r>
        <w:rPr>
          <w:rFonts w:ascii="Times New Roman" w:hAnsi="Times New Roman"/>
          <w:sz w:val="28"/>
          <w:szCs w:val="28"/>
        </w:rPr>
        <w:t>у.е.</w:t>
      </w:r>
      <w:r w:rsidRPr="00BF0467">
        <w:rPr>
          <w:rFonts w:ascii="Times New Roman" w:hAnsi="Times New Roman"/>
          <w:sz w:val="28"/>
          <w:szCs w:val="28"/>
        </w:rPr>
        <w:t>;</w:t>
      </w:r>
    </w:p>
    <w:p w:rsidR="003C1D13" w:rsidRPr="00BF0467" w:rsidRDefault="003C1D13" w:rsidP="00444C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467">
        <w:rPr>
          <w:rFonts w:ascii="Times New Roman" w:hAnsi="Times New Roman"/>
          <w:sz w:val="28"/>
          <w:szCs w:val="28"/>
        </w:rPr>
        <w:t>– средства предоставляются частями, по мере необходимости;</w:t>
      </w:r>
    </w:p>
    <w:p w:rsidR="003C1D13" w:rsidRPr="00BF0467" w:rsidRDefault="003C1D13" w:rsidP="00444C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467">
        <w:rPr>
          <w:rFonts w:ascii="Times New Roman" w:hAnsi="Times New Roman"/>
          <w:sz w:val="28"/>
          <w:szCs w:val="28"/>
        </w:rPr>
        <w:t xml:space="preserve">– дата получения первого транша: январь </w:t>
      </w:r>
      <w:smartTag w:uri="urn:schemas-microsoft-com:office:smarttags" w:element="metricconverter">
        <w:smartTagPr>
          <w:attr w:name="ProductID" w:val="2008 г"/>
        </w:smartTagPr>
        <w:r w:rsidRPr="00BF0467">
          <w:rPr>
            <w:rFonts w:ascii="Times New Roman" w:hAnsi="Times New Roman"/>
            <w:sz w:val="28"/>
            <w:szCs w:val="28"/>
          </w:rPr>
          <w:t>200</w:t>
        </w:r>
        <w:r>
          <w:rPr>
            <w:rFonts w:ascii="Times New Roman" w:hAnsi="Times New Roman"/>
            <w:sz w:val="28"/>
            <w:szCs w:val="28"/>
          </w:rPr>
          <w:t>8</w:t>
        </w:r>
        <w:r w:rsidRPr="00BF0467">
          <w:rPr>
            <w:rFonts w:ascii="Times New Roman" w:hAnsi="Times New Roman"/>
            <w:sz w:val="28"/>
            <w:szCs w:val="28"/>
          </w:rPr>
          <w:t xml:space="preserve"> </w:t>
        </w:r>
        <w:r>
          <w:rPr>
            <w:rFonts w:ascii="Times New Roman" w:hAnsi="Times New Roman"/>
            <w:sz w:val="28"/>
            <w:szCs w:val="28"/>
          </w:rPr>
          <w:t>г</w:t>
        </w:r>
      </w:smartTag>
      <w:r>
        <w:rPr>
          <w:rFonts w:ascii="Times New Roman" w:hAnsi="Times New Roman"/>
          <w:sz w:val="28"/>
          <w:szCs w:val="28"/>
        </w:rPr>
        <w:t>.</w:t>
      </w:r>
      <w:r w:rsidRPr="00BF0467">
        <w:rPr>
          <w:rFonts w:ascii="Times New Roman" w:hAnsi="Times New Roman"/>
          <w:sz w:val="28"/>
          <w:szCs w:val="28"/>
        </w:rPr>
        <w:t>;</w:t>
      </w:r>
    </w:p>
    <w:p w:rsidR="003C1D13" w:rsidRPr="00BF0467" w:rsidRDefault="003C1D13" w:rsidP="00444C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467">
        <w:rPr>
          <w:rFonts w:ascii="Times New Roman" w:hAnsi="Times New Roman"/>
          <w:sz w:val="28"/>
          <w:szCs w:val="28"/>
        </w:rPr>
        <w:t>– отсрочка погашения основного долга: 13 месяцев;</w:t>
      </w:r>
    </w:p>
    <w:p w:rsidR="003C1D13" w:rsidRPr="00BF0467" w:rsidRDefault="003C1D13" w:rsidP="00444C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467">
        <w:rPr>
          <w:rFonts w:ascii="Times New Roman" w:hAnsi="Times New Roman"/>
          <w:sz w:val="28"/>
          <w:szCs w:val="28"/>
        </w:rPr>
        <w:t>– основной долг погашается ежемесячно, равными частями;</w:t>
      </w:r>
    </w:p>
    <w:p w:rsidR="003C1D13" w:rsidRPr="00BF0467" w:rsidRDefault="003C1D13" w:rsidP="00444C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467">
        <w:rPr>
          <w:rFonts w:ascii="Times New Roman" w:hAnsi="Times New Roman"/>
          <w:sz w:val="28"/>
          <w:szCs w:val="28"/>
        </w:rPr>
        <w:t xml:space="preserve">– средства предоставляются под 12 % </w:t>
      </w:r>
      <w:r>
        <w:rPr>
          <w:rFonts w:ascii="Times New Roman" w:hAnsi="Times New Roman"/>
          <w:sz w:val="28"/>
          <w:szCs w:val="28"/>
        </w:rPr>
        <w:t>год</w:t>
      </w:r>
      <w:r w:rsidRPr="00BF0467">
        <w:rPr>
          <w:rFonts w:ascii="Times New Roman" w:hAnsi="Times New Roman"/>
          <w:sz w:val="28"/>
          <w:szCs w:val="28"/>
        </w:rPr>
        <w:t>овых;</w:t>
      </w:r>
    </w:p>
    <w:p w:rsidR="003C1D13" w:rsidRPr="00BF0467" w:rsidRDefault="003C1D13" w:rsidP="00444C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467">
        <w:rPr>
          <w:rFonts w:ascii="Times New Roman" w:hAnsi="Times New Roman"/>
          <w:sz w:val="28"/>
          <w:szCs w:val="28"/>
        </w:rPr>
        <w:t>– проценты погашаются ежемесячно;</w:t>
      </w:r>
    </w:p>
    <w:p w:rsidR="003C1D13" w:rsidRPr="00BF0467" w:rsidRDefault="003C1D13" w:rsidP="00444C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467">
        <w:rPr>
          <w:rFonts w:ascii="Times New Roman" w:hAnsi="Times New Roman"/>
          <w:sz w:val="28"/>
          <w:szCs w:val="28"/>
        </w:rPr>
        <w:t>– часть процентов за пользование кредитом, т.е. 6% будет возмещаться из средств бюджета.</w:t>
      </w:r>
    </w:p>
    <w:p w:rsidR="003C1D13" w:rsidRPr="00BF0467" w:rsidRDefault="003C1D13" w:rsidP="00444C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467">
        <w:rPr>
          <w:rFonts w:ascii="Times New Roman" w:hAnsi="Times New Roman"/>
          <w:sz w:val="28"/>
          <w:szCs w:val="28"/>
        </w:rPr>
        <w:t>Сумма кредита отечественного банка покрывает величину затрат, необходимых на строительно-монтажные работы и приобретение технологического оборудования.</w:t>
      </w:r>
    </w:p>
    <w:p w:rsidR="003C1D13" w:rsidRDefault="003C1D13" w:rsidP="00444C29">
      <w:pPr>
        <w:pStyle w:val="a5"/>
        <w:spacing w:line="360" w:lineRule="auto"/>
        <w:ind w:firstLine="709"/>
        <w:rPr>
          <w:b w:val="0"/>
          <w:szCs w:val="28"/>
        </w:rPr>
      </w:pPr>
      <w:r w:rsidRPr="00BF0467">
        <w:rPr>
          <w:b w:val="0"/>
          <w:szCs w:val="28"/>
        </w:rPr>
        <w:t>Уплата НДС и таможенной пошлины будет осуществляться за счет собственных средств.</w:t>
      </w:r>
    </w:p>
    <w:p w:rsidR="003C1D13" w:rsidRDefault="003C1D13" w:rsidP="00444C29">
      <w:pPr>
        <w:pStyle w:val="a5"/>
        <w:spacing w:line="360" w:lineRule="auto"/>
        <w:ind w:firstLine="709"/>
        <w:rPr>
          <w:b w:val="0"/>
          <w:szCs w:val="28"/>
        </w:rPr>
      </w:pPr>
    </w:p>
    <w:p w:rsidR="003C1D13" w:rsidRDefault="003C1D13" w:rsidP="00444C29">
      <w:pPr>
        <w:pStyle w:val="a5"/>
        <w:spacing w:line="360" w:lineRule="auto"/>
        <w:ind w:firstLine="709"/>
        <w:jc w:val="center"/>
        <w:rPr>
          <w:szCs w:val="28"/>
        </w:rPr>
      </w:pPr>
      <w:r>
        <w:rPr>
          <w:szCs w:val="28"/>
        </w:rPr>
        <w:t>2</w:t>
      </w:r>
      <w:r w:rsidRPr="00DF166A">
        <w:rPr>
          <w:szCs w:val="28"/>
        </w:rPr>
        <w:t xml:space="preserve"> </w:t>
      </w:r>
      <w:r>
        <w:rPr>
          <w:szCs w:val="28"/>
        </w:rPr>
        <w:t>Экономическая э</w:t>
      </w:r>
      <w:r w:rsidRPr="00DF166A">
        <w:rPr>
          <w:szCs w:val="28"/>
        </w:rPr>
        <w:t xml:space="preserve">ффективность </w:t>
      </w:r>
      <w:r>
        <w:rPr>
          <w:szCs w:val="28"/>
        </w:rPr>
        <w:t>от внедрения автоматизированной линии по производству твердых сычужных сыров на ОАО «Любанский сыродельный завод»</w:t>
      </w:r>
    </w:p>
    <w:p w:rsidR="003C1D13" w:rsidRPr="00DF166A" w:rsidRDefault="003C1D13" w:rsidP="00444C29">
      <w:pPr>
        <w:pStyle w:val="a5"/>
        <w:spacing w:line="360" w:lineRule="auto"/>
        <w:ind w:firstLine="709"/>
        <w:jc w:val="center"/>
        <w:rPr>
          <w:b w:val="0"/>
          <w:szCs w:val="28"/>
        </w:rPr>
      </w:pPr>
    </w:p>
    <w:p w:rsidR="003C1D13" w:rsidRPr="00BF0467" w:rsidRDefault="003C1D13" w:rsidP="00444C29">
      <w:pPr>
        <w:pStyle w:val="a5"/>
        <w:keepLines/>
        <w:tabs>
          <w:tab w:val="left" w:pos="720"/>
          <w:tab w:val="left" w:pos="9639"/>
        </w:tabs>
        <w:spacing w:line="360" w:lineRule="auto"/>
        <w:ind w:firstLine="709"/>
        <w:rPr>
          <w:b w:val="0"/>
          <w:szCs w:val="28"/>
        </w:rPr>
      </w:pPr>
      <w:r w:rsidRPr="00BF0467">
        <w:rPr>
          <w:b w:val="0"/>
          <w:szCs w:val="28"/>
        </w:rPr>
        <w:t>На диаграмме</w:t>
      </w:r>
      <w:r>
        <w:rPr>
          <w:b w:val="0"/>
          <w:szCs w:val="28"/>
        </w:rPr>
        <w:t xml:space="preserve"> (рисунок 1)</w:t>
      </w:r>
      <w:r w:rsidRPr="00BF0467">
        <w:rPr>
          <w:b w:val="0"/>
          <w:szCs w:val="28"/>
        </w:rPr>
        <w:t xml:space="preserve"> представлена динамика чистой прибыли предприятия с учетом двух вариантов: без и с реализацией проекта.</w:t>
      </w:r>
    </w:p>
    <w:p w:rsidR="003C1D13" w:rsidRPr="00DF166A" w:rsidRDefault="003C1D13" w:rsidP="00444C29">
      <w:pPr>
        <w:pStyle w:val="a5"/>
        <w:keepLines/>
        <w:tabs>
          <w:tab w:val="left" w:pos="720"/>
          <w:tab w:val="left" w:pos="9639"/>
        </w:tabs>
        <w:spacing w:line="360" w:lineRule="auto"/>
        <w:ind w:firstLine="709"/>
        <w:rPr>
          <w:szCs w:val="28"/>
        </w:rPr>
      </w:pPr>
    </w:p>
    <w:p w:rsidR="003C1D13" w:rsidRPr="00DF166A" w:rsidRDefault="00B06102" w:rsidP="00444C29">
      <w:pPr>
        <w:tabs>
          <w:tab w:val="left" w:pos="864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group id="_x0000_s1026" editas="canvas" style="width:457.55pt;height:301.95pt;mso-position-horizontal-relative:char;mso-position-vertical-relative:line" coordorigin="75,75" coordsize="9151,603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75;top:75;width:9151;height:6039" o:preferrelative="f">
              <v:fill o:detectmouseclick="t"/>
              <v:path o:extrusionok="t" o:connecttype="none"/>
              <o:lock v:ext="edit" text="t"/>
            </v:shape>
            <v:rect id="_x0000_s1028" style="position:absolute;left:75;top:75;width:9135;height:5805" stroked="f"/>
            <v:shape id="_x0000_s1029" type="#_x0000_t75" style="position:absolute;left:990;top:630;width:8070;height:4230">
              <v:imagedata r:id="rId5" o:title=""/>
            </v:shape>
            <v:rect id="_x0000_s1030" style="position:absolute;left:990;top:630;width:8070;height:4230" filled="f" stroked="f"/>
            <v:line id="_x0000_s1031" style="position:absolute" from="990,4155" to="9060,4156" strokeweight="0"/>
            <v:line id="_x0000_s1032" style="position:absolute" from="990,3450" to="9060,3451" strokeweight="0"/>
            <v:line id="_x0000_s1033" style="position:absolute" from="990,2745" to="9060,2746" strokeweight="0"/>
            <v:line id="_x0000_s1034" style="position:absolute" from="990,2040" to="9060,2041" strokeweight="0"/>
            <v:line id="_x0000_s1035" style="position:absolute" from="990,1335" to="9060,1336" strokeweight="0"/>
            <v:line id="_x0000_s1036" style="position:absolute" from="990,630" to="9060,631" strokeweight="0"/>
            <v:rect id="_x0000_s1037" style="position:absolute;left:990;top:630;width:8070;height:4230" filled="f" strokecolor="#cff" strokeweight="42e-5mm"/>
            <v:line id="_x0000_s1038" style="position:absolute" from="990,630" to="991,4860" strokeweight="0"/>
            <v:line id="_x0000_s1039" style="position:absolute" from="930,4860" to="990,4861" strokeweight="0"/>
            <v:line id="_x0000_s1040" style="position:absolute" from="930,4155" to="990,4156" strokeweight="0"/>
            <v:line id="_x0000_s1041" style="position:absolute" from="930,3450" to="990,3451" strokeweight="0"/>
            <v:line id="_x0000_s1042" style="position:absolute" from="930,2745" to="990,2746" strokeweight="0"/>
            <v:line id="_x0000_s1043" style="position:absolute" from="930,2040" to="990,2041" strokeweight="0"/>
            <v:line id="_x0000_s1044" style="position:absolute" from="930,1335" to="990,1336" strokeweight="0"/>
            <v:line id="_x0000_s1045" style="position:absolute" from="930,630" to="990,631" strokeweight="0"/>
            <v:line id="_x0000_s1046" style="position:absolute" from="990,4860" to="9060,4861" strokeweight="0"/>
            <v:line id="_x0000_s1047" style="position:absolute;flip:y" from="990,4860" to="991,4920" strokeweight="0"/>
            <v:line id="_x0000_s1048" style="position:absolute;flip:y" from="1995,4860" to="1996,4920" strokeweight="0"/>
            <v:line id="_x0000_s1049" style="position:absolute;flip:y" from="3015,4860" to="3016,4920" strokeweight="0"/>
            <v:line id="_x0000_s1050" style="position:absolute;flip:y" from="4020,4860" to="4021,4920" strokeweight="0"/>
            <v:line id="_x0000_s1051" style="position:absolute;flip:y" from="5025,4860" to="5026,4920" strokeweight="0"/>
            <v:line id="_x0000_s1052" style="position:absolute;flip:y" from="6030,4860" to="6031,4920" strokeweight="0"/>
            <v:line id="_x0000_s1053" style="position:absolute;flip:y" from="7050,4860" to="7051,4920" strokeweight="0"/>
            <v:line id="_x0000_s1054" style="position:absolute;flip:y" from="8055,4860" to="8056,4920" strokeweight="0"/>
            <v:line id="_x0000_s1055" style="position:absolute;flip:y" from="9060,4860" to="9061,4920" strokeweight="0"/>
            <v:oval id="_x0000_s1056" style="position:absolute;left:1440;top:3735;width:165;height:165" fillcolor="black" strokeweight="42e-5mm"/>
            <v:oval id="_x0000_s1057" style="position:absolute;left:2445;top:2430;width:165;height:165" fillcolor="black" strokeweight="42e-5mm"/>
            <v:oval id="_x0000_s1058" style="position:absolute;left:3450;top:3240;width:165;height:165" fillcolor="black" strokeweight="42e-5mm"/>
            <v:oval id="_x0000_s1059" style="position:absolute;left:4455;top:3570;width:165;height:165" fillcolor="black" strokeweight="42e-5mm"/>
            <v:oval id="_x0000_s1060" style="position:absolute;left:5475;top:4020;width:165;height:165" fillcolor="black" strokeweight="42e-5mm"/>
            <v:oval id="_x0000_s1061" style="position:absolute;left:6480;top:3945;width:165;height:165" fillcolor="black" strokeweight="42e-5mm"/>
            <v:oval id="_x0000_s1062" style="position:absolute;left:7485;top:4035;width:165;height:165" fillcolor="black" strokeweight="42e-5mm"/>
            <v:oval id="_x0000_s1063" style="position:absolute;left:8490;top:4155;width:165;height:165" fillcolor="black" strokeweight="42e-5mm"/>
            <v:shape id="_x0000_s1064" style="position:absolute;left:1440;top:3735;width:180;height:180" coordsize="180,180" path="m90,r90,90l90,180,,90,90,xe" fillcolor="black" strokeweight="42e-5mm">
              <v:path arrowok="t"/>
            </v:shape>
            <v:shape id="_x0000_s1065" style="position:absolute;left:2445;top:2430;width:180;height:180" coordsize="180,180" path="m90,r90,90l90,180,,90,90,xe" fillcolor="black" strokeweight="42e-5mm">
              <v:path arrowok="t"/>
            </v:shape>
            <v:shape id="_x0000_s1066" style="position:absolute;left:3450;top:2115;width:180;height:180" coordsize="180,180" path="m90,r90,90l90,180,,90,90,xe" fillcolor="black" strokeweight="42e-5mm">
              <v:path arrowok="t"/>
            </v:shape>
            <v:shape id="_x0000_s1067" style="position:absolute;left:4455;top:1380;width:180;height:180" coordsize="180,180" path="m90,r90,90l90,180,,90,90,xe" fillcolor="black" strokeweight="42e-5mm">
              <v:path arrowok="t"/>
            </v:shape>
            <v:shape id="_x0000_s1068" style="position:absolute;left:5475;top:1665;width:180;height:180" coordsize="180,180" path="m90,r90,90l90,180,,90,90,xe" fillcolor="black" strokeweight="42e-5mm">
              <v:path arrowok="t"/>
            </v:shape>
            <v:shape id="_x0000_s1069" style="position:absolute;left:6480;top:1455;width:180;height:180" coordsize="180,180" path="m90,r90,90l90,180,,90,90,xe" fillcolor="black" strokeweight="42e-5mm">
              <v:path arrowok="t"/>
            </v:shape>
            <v:shape id="_x0000_s1070" style="position:absolute;left:7485;top:1545;width:180;height:180" coordsize="180,180" path="m90,r90,90l90,180,,90,90,xe" fillcolor="black" strokeweight="42e-5mm">
              <v:path arrowok="t"/>
            </v:shape>
            <v:shape id="_x0000_s1071" style="position:absolute;left:8490;top:1650;width:180;height:180" coordsize="180,180" path="m90,r90,90l90,180,,90,90,xe" fillcolor="black" strokeweight="42e-5mm">
              <v:path arrowok="t"/>
            </v:shape>
            <v:shape id="_x0000_s1072" style="position:absolute;left:1500;top:2490;width:7050;height:1725" coordsize="470,115" path="m,87l67,r67,54l201,76r68,30l336,101r67,6l470,115e" filled="f" strokecolor="green" strokeweight="83e-5mm">
              <v:path arrowok="t"/>
            </v:shape>
            <v:shape id="_x0000_s1073" style="position:absolute;left:1500;top:1440;width:7050;height:2355" coordsize="470,157" path="m,157l67,70,134,49,201,r68,19l336,5r67,6l470,18e" filled="f" strokecolor="#936" strokeweight="83e-5mm">
              <v:path arrowok="t"/>
            </v:shape>
            <v:oval id="_x0000_s1074" style="position:absolute;left:1410;top:3705;width:165;height:165" fillcolor="#396" strokecolor="aqua" strokeweight="42e-5mm"/>
            <v:oval id="_x0000_s1075" style="position:absolute;left:2415;top:2400;width:165;height:165" fillcolor="#396" strokecolor="aqua" strokeweight="42e-5mm"/>
            <v:oval id="_x0000_s1076" style="position:absolute;left:3420;top:3210;width:165;height:165" fillcolor="#396" strokecolor="aqua" strokeweight="42e-5mm"/>
            <v:oval id="_x0000_s1077" style="position:absolute;left:4425;top:3540;width:165;height:165" fillcolor="#396" strokecolor="aqua" strokeweight="42e-5mm"/>
            <v:oval id="_x0000_s1078" style="position:absolute;left:5445;top:3990;width:165;height:165" fillcolor="#396" strokecolor="aqua" strokeweight="42e-5mm"/>
            <v:oval id="_x0000_s1079" style="position:absolute;left:6450;top:3915;width:165;height:165" fillcolor="#396" strokecolor="aqua" strokeweight="42e-5mm"/>
            <v:oval id="_x0000_s1080" style="position:absolute;left:7455;top:4005;width:165;height:165" fillcolor="#396" strokecolor="aqua" strokeweight="42e-5mm"/>
            <v:oval id="_x0000_s1081" style="position:absolute;left:8460;top:4125;width:165;height:165" fillcolor="#396" strokecolor="aqua" strokeweight="42e-5mm"/>
            <v:shape id="_x0000_s1082" style="position:absolute;left:1410;top:3705;width:180;height:180" coordsize="180,180" path="m90,r90,90l90,180,,90,90,xe" fillcolor="#ef5611" strokecolor="#fc0" strokeweight="42e-5mm">
              <v:path arrowok="t"/>
            </v:shape>
            <v:shape id="_x0000_s1083" style="position:absolute;left:2415;top:2400;width:180;height:180" coordsize="180,180" path="m90,r90,90l90,180,,90,90,xe" fillcolor="#ef5611" strokecolor="#fc0" strokeweight="42e-5mm">
              <v:path arrowok="t"/>
            </v:shape>
            <v:shape id="_x0000_s1084" style="position:absolute;left:3420;top:2085;width:180;height:180" coordsize="180,180" path="m90,r90,90l90,180,,90,90,xe" fillcolor="#ef5611" strokecolor="#fc0" strokeweight="42e-5mm">
              <v:path arrowok="t"/>
            </v:shape>
            <v:shape id="_x0000_s1085" style="position:absolute;left:4425;top:1350;width:180;height:180" coordsize="180,180" path="m90,r90,90l90,180,,90,90,xe" fillcolor="#ef5611" strokecolor="#fc0" strokeweight="42e-5mm">
              <v:path arrowok="t"/>
            </v:shape>
            <v:shape id="_x0000_s1086" style="position:absolute;left:5445;top:1635;width:180;height:180" coordsize="180,180" path="m90,r90,90l90,180,,90,90,xe" fillcolor="#ef5611" strokecolor="#fc0" strokeweight="42e-5mm">
              <v:path arrowok="t"/>
            </v:shape>
            <v:shape id="_x0000_s1087" style="position:absolute;left:6450;top:1425;width:180;height:180" coordsize="180,180" path="m90,r90,90l90,180,,90,90,xe" fillcolor="#ef5611" strokecolor="#fc0" strokeweight="42e-5mm">
              <v:path arrowok="t"/>
            </v:shape>
            <v:shape id="_x0000_s1088" style="position:absolute;left:7455;top:1515;width:180;height:180" coordsize="180,180" path="m90,r90,90l90,180,,90,90,xe" fillcolor="#ef5611" strokecolor="#fc0" strokeweight="42e-5mm">
              <v:path arrowok="t"/>
            </v:shape>
            <v:shape id="_x0000_s1089" style="position:absolute;left:8460;top:1620;width:180;height:180" coordsize="180,180" path="m90,r90,90l90,180,,90,90,xe" fillcolor="#ef5611" strokecolor="#fc0" strokeweight="42e-5mm">
              <v:path arrowok="t"/>
            </v:shape>
            <v:rect id="_x0000_s1090" style="position:absolute;left:8400;top:3930;width:405;height:435;mso-wrap-style:none" filled="f" stroked="f">
              <v:textbox style="mso-next-textbox:#_x0000_s1090;mso-fit-shape-to-text:t" inset="0,0,0,0">
                <w:txbxContent>
                  <w:p w:rsidR="003C1D13" w:rsidRDefault="003C1D13" w:rsidP="003C1D13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  <w:lang w:val="en-US"/>
                      </w:rPr>
                      <w:t>183,7</w:t>
                    </w:r>
                  </w:p>
                </w:txbxContent>
              </v:textbox>
            </v:rect>
            <v:rect id="_x0000_s1091" style="position:absolute;left:7350;top:3735;width:405;height:435;mso-wrap-style:none" filled="f" stroked="f">
              <v:textbox style="mso-next-textbox:#_x0000_s1091;mso-fit-shape-to-text:t" inset="0,0,0,0">
                <w:txbxContent>
                  <w:p w:rsidR="003C1D13" w:rsidRDefault="003C1D13" w:rsidP="003C1D13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  <w:lang w:val="en-US"/>
                      </w:rPr>
                      <w:t>216,4</w:t>
                    </w:r>
                  </w:p>
                </w:txbxContent>
              </v:textbox>
            </v:rect>
            <v:rect id="_x0000_s1092" style="position:absolute;left:6375;top:3660;width:405;height:435;mso-wrap-style:none" filled="f" stroked="f">
              <v:textbox style="mso-next-textbox:#_x0000_s1092;mso-fit-shape-to-text:t" inset="0,0,0,0">
                <w:txbxContent>
                  <w:p w:rsidR="003C1D13" w:rsidRDefault="003C1D13" w:rsidP="003C1D13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  <w:lang w:val="en-US"/>
                      </w:rPr>
                      <w:t>244,7</w:t>
                    </w:r>
                  </w:p>
                </w:txbxContent>
              </v:textbox>
            </v:rect>
            <v:rect id="_x0000_s1093" style="position:absolute;left:4500;top:3345;width:405;height:435;mso-wrap-style:none" filled="f" stroked="f">
              <v:textbox style="mso-next-textbox:#_x0000_s1093;mso-fit-shape-to-text:t" inset="0,0,0,0">
                <w:txbxContent>
                  <w:p w:rsidR="003C1D13" w:rsidRDefault="003C1D13" w:rsidP="003C1D13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  <w:lang w:val="en-US"/>
                      </w:rPr>
                      <w:t>347,0</w:t>
                    </w:r>
                  </w:p>
                </w:txbxContent>
              </v:textbox>
            </v:rect>
            <v:rect id="_x0000_s1094" style="position:absolute;left:3465;top:2985;width:405;height:435;mso-wrap-style:none" filled="f" stroked="f">
              <v:textbox style="mso-next-textbox:#_x0000_s1094;mso-fit-shape-to-text:t" inset="0,0,0,0">
                <w:txbxContent>
                  <w:p w:rsidR="003C1D13" w:rsidRDefault="003C1D13" w:rsidP="003C1D13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  <w:lang w:val="en-US"/>
                      </w:rPr>
                      <w:t>443,1</w:t>
                    </w:r>
                  </w:p>
                </w:txbxContent>
              </v:textbox>
            </v:rect>
            <v:rect id="_x0000_s1095" style="position:absolute;left:5415;top:3705;width:405;height:435;mso-wrap-style:none" filled="f" stroked="f">
              <v:textbox style="mso-next-textbox:#_x0000_s1095;mso-fit-shape-to-text:t" inset="0,0,0,0">
                <w:txbxContent>
                  <w:p w:rsidR="003C1D13" w:rsidRDefault="003C1D13" w:rsidP="003C1D13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  <w:lang w:val="en-US"/>
                      </w:rPr>
                      <w:t>221,3</w:t>
                    </w:r>
                  </w:p>
                </w:txbxContent>
              </v:textbox>
            </v:rect>
            <v:rect id="_x0000_s1096" style="position:absolute;left:8325;top:1395;width:405;height:435;mso-wrap-style:none" filled="f" stroked="f">
              <v:textbox style="mso-next-textbox:#_x0000_s1096;mso-fit-shape-to-text:t" inset="0,0,0,0">
                <w:txbxContent>
                  <w:p w:rsidR="003C1D13" w:rsidRDefault="003C1D13" w:rsidP="003C1D13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  <w:lang w:val="en-US"/>
                      </w:rPr>
                      <w:t>892,4</w:t>
                    </w:r>
                  </w:p>
                </w:txbxContent>
              </v:textbox>
            </v:rect>
            <v:rect id="_x0000_s1097" style="position:absolute;left:7290;top:1260;width:405;height:435;mso-wrap-style:none" filled="f" stroked="f">
              <v:textbox style="mso-next-textbox:#_x0000_s1097;mso-fit-shape-to-text:t" inset="0,0,0,0">
                <w:txbxContent>
                  <w:p w:rsidR="003C1D13" w:rsidRDefault="003C1D13" w:rsidP="003C1D13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  <w:lang w:val="en-US"/>
                      </w:rPr>
                      <w:t>921,8</w:t>
                    </w:r>
                  </w:p>
                </w:txbxContent>
              </v:textbox>
            </v:rect>
            <v:rect id="_x0000_s1098" style="position:absolute;left:6330;top:1200;width:405;height:435;mso-wrap-style:none" filled="f" stroked="f">
              <v:textbox style="mso-next-textbox:#_x0000_s1098;mso-fit-shape-to-text:t" inset="0,0,0,0">
                <w:txbxContent>
                  <w:p w:rsidR="003C1D13" w:rsidRDefault="003C1D13" w:rsidP="003C1D13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  <w:lang w:val="en-US"/>
                      </w:rPr>
                      <w:t>950,9</w:t>
                    </w:r>
                  </w:p>
                </w:txbxContent>
              </v:textbox>
            </v:rect>
            <v:rect id="_x0000_s1099" style="position:absolute;left:5340;top:1395;width:405;height:435;mso-wrap-style:none" filled="f" stroked="f">
              <v:textbox style="mso-next-textbox:#_x0000_s1099;mso-fit-shape-to-text:t" inset="0,0,0,0">
                <w:txbxContent>
                  <w:p w:rsidR="003C1D13" w:rsidRDefault="003C1D13" w:rsidP="003C1D13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  <w:lang w:val="en-US"/>
                      </w:rPr>
                      <w:t>888,2</w:t>
                    </w:r>
                  </w:p>
                </w:txbxContent>
              </v:textbox>
            </v:rect>
            <v:rect id="_x0000_s1100" style="position:absolute;left:4650;top:1245;width:405;height:435;mso-wrap-style:none" filled="f" stroked="f">
              <v:textbox style="mso-next-textbox:#_x0000_s1100;mso-fit-shape-to-text:t" inset="0,0,0,0">
                <w:txbxContent>
                  <w:p w:rsidR="003C1D13" w:rsidRDefault="003C1D13" w:rsidP="003C1D13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  <w:lang w:val="en-US"/>
                      </w:rPr>
                      <w:t>969,3</w:t>
                    </w:r>
                  </w:p>
                </w:txbxContent>
              </v:textbox>
            </v:rect>
            <v:rect id="_x0000_s1101" style="position:absolute;left:3195;top:1890;width:405;height:435;mso-wrap-style:none" filled="f" stroked="f">
              <v:textbox style="mso-next-textbox:#_x0000_s1101;mso-fit-shape-to-text:t" inset="0,0,0,0">
                <w:txbxContent>
                  <w:p w:rsidR="003C1D13" w:rsidRDefault="003C1D13" w:rsidP="003C1D13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  <w:lang w:val="en-US"/>
                      </w:rPr>
                      <w:t>763,7</w:t>
                    </w:r>
                  </w:p>
                </w:txbxContent>
              </v:textbox>
            </v:rect>
            <v:rect id="_x0000_s1102" style="position:absolute;left:2295;top:2160;width:405;height:435;mso-wrap-style:none" filled="f" stroked="f">
              <v:textbox style="mso-next-textbox:#_x0000_s1102;mso-fit-shape-to-text:t" inset="0,0,0,0">
                <w:txbxContent>
                  <w:p w:rsidR="003C1D13" w:rsidRDefault="003C1D13" w:rsidP="003C1D13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  <w:lang w:val="en-US"/>
                      </w:rPr>
                      <w:t>674,3</w:t>
                    </w:r>
                  </w:p>
                </w:txbxContent>
              </v:textbox>
            </v:rect>
            <v:rect id="_x0000_s1103" style="position:absolute;left:1140;top:3465;width:405;height:435;mso-wrap-style:none" filled="f" stroked="f">
              <v:textbox style="mso-next-textbox:#_x0000_s1103;mso-fit-shape-to-text:t" inset="0,0,0,0">
                <w:txbxContent>
                  <w:p w:rsidR="003C1D13" w:rsidRDefault="003C1D13" w:rsidP="003C1D13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  <w:lang w:val="en-US"/>
                      </w:rPr>
                      <w:t>301,4</w:t>
                    </w:r>
                  </w:p>
                </w:txbxContent>
              </v:textbox>
            </v:rect>
            <v:rect id="_x0000_s1104" style="position:absolute;left:570;top:4740;width:270;height:465;mso-wrap-style:none" filled="f" stroked="f">
              <v:textbox style="mso-next-textbox:#_x0000_s1104;mso-fit-shape-to-text:t" inset="0,0,0,0">
                <w:txbxContent>
                  <w:p w:rsidR="003C1D13" w:rsidRDefault="003C1D13" w:rsidP="003C1D13"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  <w:lang w:val="en-US"/>
                      </w:rPr>
                      <w:t>0,0</w:t>
                    </w:r>
                  </w:p>
                </w:txbxContent>
              </v:textbox>
            </v:rect>
            <v:rect id="_x0000_s1105" style="position:absolute;left:360;top:4035;width:480;height:465;mso-wrap-style:none" filled="f" stroked="f">
              <v:textbox style="mso-next-textbox:#_x0000_s1105;mso-fit-shape-to-text:t" inset="0,0,0,0">
                <w:txbxContent>
                  <w:p w:rsidR="003C1D13" w:rsidRDefault="003C1D13" w:rsidP="003C1D13"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  <w:lang w:val="en-US"/>
                      </w:rPr>
                      <w:t>200,0</w:t>
                    </w:r>
                  </w:p>
                </w:txbxContent>
              </v:textbox>
            </v:rect>
            <v:rect id="_x0000_s1106" style="position:absolute;left:360;top:3330;width:480;height:465;mso-wrap-style:none" filled="f" stroked="f">
              <v:textbox style="mso-next-textbox:#_x0000_s1106;mso-fit-shape-to-text:t" inset="0,0,0,0">
                <w:txbxContent>
                  <w:p w:rsidR="003C1D13" w:rsidRDefault="003C1D13" w:rsidP="003C1D13"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  <w:lang w:val="en-US"/>
                      </w:rPr>
                      <w:t>400,0</w:t>
                    </w:r>
                  </w:p>
                </w:txbxContent>
              </v:textbox>
            </v:rect>
            <v:rect id="_x0000_s1107" style="position:absolute;left:360;top:2625;width:480;height:465;mso-wrap-style:none" filled="f" stroked="f">
              <v:textbox style="mso-next-textbox:#_x0000_s1107;mso-fit-shape-to-text:t" inset="0,0,0,0">
                <w:txbxContent>
                  <w:p w:rsidR="003C1D13" w:rsidRDefault="003C1D13" w:rsidP="003C1D13"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  <w:lang w:val="en-US"/>
                      </w:rPr>
                      <w:t>600,0</w:t>
                    </w:r>
                  </w:p>
                </w:txbxContent>
              </v:textbox>
            </v:rect>
            <v:rect id="_x0000_s1108" style="position:absolute;left:360;top:1920;width:480;height:465;mso-wrap-style:none" filled="f" stroked="f">
              <v:textbox style="mso-next-textbox:#_x0000_s1108;mso-fit-shape-to-text:t" inset="0,0,0,0">
                <w:txbxContent>
                  <w:p w:rsidR="003C1D13" w:rsidRDefault="003C1D13" w:rsidP="003C1D13"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  <w:lang w:val="en-US"/>
                      </w:rPr>
                      <w:t>800,0</w:t>
                    </w:r>
                  </w:p>
                </w:txbxContent>
              </v:textbox>
            </v:rect>
            <v:rect id="_x0000_s1109" style="position:absolute;left:255;top:1215;width:585;height:465;mso-wrap-style:none" filled="f" stroked="f">
              <v:textbox style="mso-next-textbox:#_x0000_s1109;mso-fit-shape-to-text:t" inset="0,0,0,0">
                <w:txbxContent>
                  <w:p w:rsidR="003C1D13" w:rsidRDefault="003C1D13" w:rsidP="003C1D13"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  <w:lang w:val="en-US"/>
                      </w:rPr>
                      <w:t>1000,0</w:t>
                    </w:r>
                  </w:p>
                </w:txbxContent>
              </v:textbox>
            </v:rect>
            <v:rect id="_x0000_s1110" style="position:absolute;left:255;top:510;width:585;height:465;mso-wrap-style:none" filled="f" stroked="f">
              <v:textbox style="mso-next-textbox:#_x0000_s1110;mso-fit-shape-to-text:t" inset="0,0,0,0">
                <w:txbxContent>
                  <w:p w:rsidR="003C1D13" w:rsidRDefault="003C1D13" w:rsidP="003C1D13"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  <w:lang w:val="en-US"/>
                      </w:rPr>
                      <w:t>1200,0</w:t>
                    </w:r>
                  </w:p>
                </w:txbxContent>
              </v:textbox>
            </v:rect>
            <v:rect id="_x0000_s1111" style="position:absolute;left:1290;top:5025;width:420;height:465;mso-wrap-style:none" filled="f" stroked="f">
              <v:textbox style="mso-next-textbox:#_x0000_s1111;mso-fit-shape-to-text:t" inset="0,0,0,0">
                <w:txbxContent>
                  <w:p w:rsidR="003C1D13" w:rsidRPr="00576281" w:rsidRDefault="003C1D13" w:rsidP="003C1D13"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  <w:lang w:val="en-US"/>
                      </w:rPr>
                      <w:t>200</w:t>
                    </w:r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8</w:t>
                    </w:r>
                  </w:p>
                </w:txbxContent>
              </v:textbox>
            </v:rect>
            <v:rect id="_x0000_s1112" style="position:absolute;left:2295;top:5025;width:420;height:465;mso-wrap-style:none" filled="f" stroked="f">
              <v:textbox style="mso-next-textbox:#_x0000_s1112;mso-fit-shape-to-text:t" inset="0,0,0,0">
                <w:txbxContent>
                  <w:p w:rsidR="003C1D13" w:rsidRPr="00576281" w:rsidRDefault="003C1D13" w:rsidP="003C1D13"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  <w:lang w:val="en-US"/>
                      </w:rPr>
                      <w:t>200</w:t>
                    </w:r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9</w:t>
                    </w:r>
                  </w:p>
                </w:txbxContent>
              </v:textbox>
            </v:rect>
            <v:rect id="_x0000_s1113" style="position:absolute;left:3300;top:5025;width:420;height:465;mso-wrap-style:none" filled="f" stroked="f">
              <v:textbox style="mso-next-textbox:#_x0000_s1113;mso-fit-shape-to-text:t" inset="0,0,0,0">
                <w:txbxContent>
                  <w:p w:rsidR="003C1D13" w:rsidRPr="00576281" w:rsidRDefault="003C1D13" w:rsidP="003C1D13"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  <w:lang w:val="en-US"/>
                      </w:rPr>
                      <w:t>20</w:t>
                    </w:r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10</w:t>
                    </w:r>
                  </w:p>
                </w:txbxContent>
              </v:textbox>
            </v:rect>
            <v:rect id="_x0000_s1114" style="position:absolute;left:4305;top:5025;width:420;height:465;mso-wrap-style:none" filled="f" stroked="f">
              <v:textbox style="mso-next-textbox:#_x0000_s1114;mso-fit-shape-to-text:t" inset="0,0,0,0">
                <w:txbxContent>
                  <w:p w:rsidR="003C1D13" w:rsidRDefault="003C1D13" w:rsidP="003C1D13"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  <w:lang w:val="en-US"/>
                      </w:rPr>
                      <w:t>20</w:t>
                    </w:r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11</w:t>
                    </w:r>
                  </w:p>
                </w:txbxContent>
              </v:textbox>
            </v:rect>
            <v:rect id="_x0000_s1115" style="position:absolute;left:5325;top:5025;width:420;height:465;mso-wrap-style:none" filled="f" stroked="f">
              <v:textbox style="mso-next-textbox:#_x0000_s1115;mso-fit-shape-to-text:t" inset="0,0,0,0">
                <w:txbxContent>
                  <w:p w:rsidR="003C1D13" w:rsidRPr="00576281" w:rsidRDefault="003C1D13" w:rsidP="003C1D13"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  <w:lang w:val="en-US"/>
                      </w:rPr>
                      <w:t>201</w:t>
                    </w:r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rect>
            <v:rect id="_x0000_s1116" style="position:absolute;left:6330;top:5025;width:420;height:465;mso-wrap-style:none" filled="f" stroked="f">
              <v:textbox style="mso-next-textbox:#_x0000_s1116;mso-fit-shape-to-text:t" inset="0,0,0,0">
                <w:txbxContent>
                  <w:p w:rsidR="003C1D13" w:rsidRPr="00576281" w:rsidRDefault="003C1D13" w:rsidP="003C1D13"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  <w:lang w:val="en-US"/>
                      </w:rPr>
                      <w:t>201</w:t>
                    </w:r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rect>
            <v:rect id="_x0000_s1117" style="position:absolute;left:7335;top:5025;width:420;height:465;mso-wrap-style:none" filled="f" stroked="f">
              <v:textbox style="mso-next-textbox:#_x0000_s1117;mso-fit-shape-to-text:t" inset="0,0,0,0">
                <w:txbxContent>
                  <w:p w:rsidR="003C1D13" w:rsidRPr="00576281" w:rsidRDefault="003C1D13" w:rsidP="003C1D13"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  <w:lang w:val="en-US"/>
                      </w:rPr>
                      <w:t>201</w:t>
                    </w:r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</v:rect>
            <v:rect id="_x0000_s1118" style="position:absolute;left:8340;top:5025;width:420;height:465;mso-wrap-style:none" filled="f" stroked="f">
              <v:textbox style="mso-next-textbox:#_x0000_s1118;mso-fit-shape-to-text:t" inset="0,0,0,0">
                <w:txbxContent>
                  <w:p w:rsidR="003C1D13" w:rsidRPr="00576281" w:rsidRDefault="003C1D13" w:rsidP="003C1D13"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  <w:lang w:val="en-US"/>
                      </w:rPr>
                      <w:t>201</w:t>
                    </w:r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</v:rect>
            <v:rect id="_x0000_s1119" style="position:absolute;left:450;top:150;width:975;height:465;mso-wrap-style:none" filled="f" stroked="f">
              <v:textbox style="mso-next-textbox:#_x0000_s1119;mso-fit-shape-to-text:t" inset="0,0,0,0">
                <w:txbxContent>
                  <w:p w:rsidR="003C1D13" w:rsidRDefault="003C1D13" w:rsidP="003C1D13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тыс. Евро</w:t>
                    </w:r>
                  </w:p>
                </w:txbxContent>
              </v:textbox>
            </v:rect>
            <v:rect id="_x0000_s1120" style="position:absolute;left:256;top:5340;width:8970;height:330" stroked="f"/>
            <v:line id="_x0000_s1121" style="position:absolute" from="210,5520" to="630,5521" strokecolor="green" strokeweight="83e-5mm"/>
            <v:oval id="_x0000_s1122" style="position:absolute;left:360;top:5460;width:105;height:105" fillcolor="#396" strokecolor="aqua" strokeweight="42e-5mm"/>
            <v:rect id="_x0000_s1123" style="position:absolute;left:675;top:5385;width:3495;height:450;mso-wrap-style:none" filled="f" stroked="f">
              <v:textbox style="mso-next-textbox:#_x0000_s1123;mso-fit-shape-to-text:t" inset="0,0,0,0">
                <w:txbxContent>
                  <w:p w:rsidR="003C1D13" w:rsidRPr="00576281" w:rsidRDefault="003C1D13" w:rsidP="003C1D13">
                    <w:pPr>
                      <w:rPr>
                        <w:rFonts w:ascii="Times New Roman" w:hAnsi="Times New Roman"/>
                      </w:rPr>
                    </w:pPr>
                    <w:r w:rsidRPr="00576281"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  <w:lang w:val="en-US"/>
                      </w:rPr>
                      <w:t>Чистая прибыль без реализации проекта</w:t>
                    </w:r>
                  </w:p>
                </w:txbxContent>
              </v:textbox>
            </v:rect>
            <v:line id="_x0000_s1124" style="position:absolute" from="4425,5520" to="4845,5521" strokecolor="#936" strokeweight="83e-5mm"/>
            <v:shape id="_x0000_s1125" style="position:absolute;left:4575;top:5460;width:120;height:120" coordsize="120,120" path="m60,r60,60l60,120,,60,60,xe" fillcolor="#ef5611" strokecolor="#fc0" strokeweight="42e-5mm">
              <v:path arrowok="t"/>
            </v:shape>
            <v:rect id="_x0000_s1126" style="position:absolute;left:4890;top:5385;width:3975;height:450;mso-wrap-style:none" filled="f" stroked="f">
              <v:textbox style="mso-next-textbox:#_x0000_s1126;mso-fit-shape-to-text:t" inset="0,0,0,0">
                <w:txbxContent>
                  <w:p w:rsidR="003C1D13" w:rsidRPr="00576281" w:rsidRDefault="003C1D13" w:rsidP="003C1D13">
                    <w:pPr>
                      <w:rPr>
                        <w:rFonts w:ascii="Times New Roman" w:hAnsi="Times New Roman"/>
                      </w:rPr>
                    </w:pPr>
                    <w:r w:rsidRPr="00576281"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>Чистая прибыль с учетом реализации проекта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3C1D13" w:rsidRPr="00D81C9C" w:rsidRDefault="003C1D13" w:rsidP="00444C29">
      <w:pPr>
        <w:tabs>
          <w:tab w:val="left" w:pos="9639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Рисунок 1</w:t>
      </w:r>
      <w:r w:rsidRPr="00D81C9C">
        <w:rPr>
          <w:rFonts w:ascii="Times New Roman" w:hAnsi="Times New Roman"/>
          <w:b/>
          <w:sz w:val="28"/>
          <w:szCs w:val="28"/>
        </w:rPr>
        <w:t xml:space="preserve"> – Динамика чистой прибыли предприятия.</w:t>
      </w:r>
    </w:p>
    <w:p w:rsidR="003C1D13" w:rsidRDefault="003C1D13" w:rsidP="00444C29">
      <w:pPr>
        <w:tabs>
          <w:tab w:val="left" w:pos="963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1D13" w:rsidRDefault="003C1D13" w:rsidP="00444C29">
      <w:pPr>
        <w:tabs>
          <w:tab w:val="left" w:pos="963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рисунка видно, что чистая прибыль с учетом реализации проекта значительно превышает этот же показатель без реализации проекта. Так  в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/>
            <w:sz w:val="28"/>
            <w:szCs w:val="28"/>
          </w:rPr>
          <w:t>2009 г</w:t>
        </w:r>
      </w:smartTag>
      <w:r>
        <w:rPr>
          <w:rFonts w:ascii="Times New Roman" w:hAnsi="Times New Roman"/>
          <w:sz w:val="28"/>
          <w:szCs w:val="28"/>
        </w:rPr>
        <w:t>. чистая прибыль с учетом реализации проекта составляет 763,7 у.е., а без реализации – 443,1 у.е.</w:t>
      </w:r>
    </w:p>
    <w:p w:rsidR="003C1D13" w:rsidRDefault="003C1D13" w:rsidP="00444C29">
      <w:pPr>
        <w:tabs>
          <w:tab w:val="left" w:pos="963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прибыли произведем в табличной форме (таблица 2).</w:t>
      </w:r>
    </w:p>
    <w:p w:rsidR="003C1D13" w:rsidRDefault="003C1D13" w:rsidP="00444C2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2 - Расчет чистой прибыли, тыс. у.е.</w:t>
      </w:r>
    </w:p>
    <w:p w:rsidR="003C1D13" w:rsidRDefault="003C1D13" w:rsidP="00444C2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4895"/>
        <w:gridCol w:w="276"/>
        <w:gridCol w:w="1355"/>
        <w:gridCol w:w="1559"/>
        <w:gridCol w:w="1559"/>
      </w:tblGrid>
      <w:tr w:rsidR="003C1D13" w:rsidRPr="00444C29">
        <w:trPr>
          <w:trHeight w:val="285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Доходы и расходы по видам деятельности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444C29">
                <w:rPr>
                  <w:rFonts w:ascii="Times New Roman" w:hAnsi="Times New Roman"/>
                  <w:sz w:val="20"/>
                  <w:szCs w:val="20"/>
                </w:rPr>
                <w:t>2008 г</w:t>
              </w:r>
            </w:smartTag>
            <w:r w:rsidRPr="00444C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444C29">
                <w:rPr>
                  <w:rFonts w:ascii="Times New Roman" w:hAnsi="Times New Roman"/>
                  <w:sz w:val="20"/>
                  <w:szCs w:val="20"/>
                </w:rPr>
                <w:t>2009 г</w:t>
              </w:r>
            </w:smartTag>
            <w:r w:rsidRPr="00444C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444C29">
                <w:rPr>
                  <w:rFonts w:ascii="Times New Roman" w:hAnsi="Times New Roman"/>
                  <w:sz w:val="20"/>
                  <w:szCs w:val="20"/>
                </w:rPr>
                <w:t>2010 г</w:t>
              </w:r>
            </w:smartTag>
            <w:r w:rsidRPr="00444C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3C1D13" w:rsidRPr="00444C29">
        <w:trPr>
          <w:trHeight w:val="285"/>
        </w:trPr>
        <w:tc>
          <w:tcPr>
            <w:tcW w:w="4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C1D13" w:rsidRPr="00444C29">
        <w:trPr>
          <w:trHeight w:val="285"/>
        </w:trPr>
        <w:tc>
          <w:tcPr>
            <w:tcW w:w="4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Выручка от реализации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11 476,7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13 804,8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15 398,8</w:t>
            </w:r>
          </w:p>
        </w:tc>
      </w:tr>
      <w:tr w:rsidR="003C1D13" w:rsidRPr="00444C29">
        <w:trPr>
          <w:trHeight w:val="285"/>
        </w:trPr>
        <w:tc>
          <w:tcPr>
            <w:tcW w:w="4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 xml:space="preserve">Налоги, включаемые в выручку </w:t>
            </w:r>
          </w:p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от реализации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537,1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699,5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767,5</w:t>
            </w:r>
          </w:p>
        </w:tc>
      </w:tr>
      <w:tr w:rsidR="003C1D13" w:rsidRPr="00444C29">
        <w:trPr>
          <w:trHeight w:val="285"/>
        </w:trPr>
        <w:tc>
          <w:tcPr>
            <w:tcW w:w="4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 xml:space="preserve">Выручка от реализации за минусом </w:t>
            </w:r>
          </w:p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косвенных налогов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10 939,6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13 105,3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14 631,2</w:t>
            </w:r>
          </w:p>
        </w:tc>
      </w:tr>
      <w:tr w:rsidR="003C1D13" w:rsidRPr="00444C29">
        <w:trPr>
          <w:trHeight w:val="570"/>
        </w:trPr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 xml:space="preserve">в том числе бюджетные субсидии </w:t>
            </w:r>
          </w:p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на покрытие разницы в ценах и тарифах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1D13" w:rsidRPr="00444C29">
        <w:trPr>
          <w:trHeight w:val="285"/>
        </w:trPr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Условно-переменные издержки</w:t>
            </w:r>
          </w:p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8698,4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10 040,0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11 169,0</w:t>
            </w:r>
          </w:p>
        </w:tc>
      </w:tr>
      <w:tr w:rsidR="003C1D13" w:rsidRPr="00444C29">
        <w:trPr>
          <w:trHeight w:val="285"/>
        </w:trPr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Маржинальная (переменная) прибыль</w:t>
            </w:r>
          </w:p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2241,2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3065,3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3462,2</w:t>
            </w:r>
          </w:p>
        </w:tc>
      </w:tr>
      <w:tr w:rsidR="003C1D13" w:rsidRPr="00444C29">
        <w:trPr>
          <w:trHeight w:val="285"/>
        </w:trPr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Условно-постоянные издержки</w:t>
            </w:r>
          </w:p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1794,2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2126,1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2385,0</w:t>
            </w:r>
          </w:p>
        </w:tc>
      </w:tr>
      <w:tr w:rsidR="003C1D13" w:rsidRPr="00444C29">
        <w:trPr>
          <w:trHeight w:val="300"/>
        </w:trPr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Прибыль (убыток) от реализации</w:t>
            </w:r>
          </w:p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447,0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939,2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1077,3</w:t>
            </w:r>
          </w:p>
        </w:tc>
      </w:tr>
      <w:tr w:rsidR="003C1D13" w:rsidRPr="00444C29">
        <w:trPr>
          <w:trHeight w:val="600"/>
        </w:trPr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 xml:space="preserve">Прибыль (убыток) от операционных </w:t>
            </w:r>
          </w:p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доходов и расходов</w:t>
            </w:r>
          </w:p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1D13" w:rsidRPr="00444C29">
        <w:trPr>
          <w:trHeight w:val="600"/>
        </w:trPr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 xml:space="preserve">Прибыль (убыток) от </w:t>
            </w:r>
          </w:p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 xml:space="preserve"> внереализационных доходов и расходов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</w:tr>
      <w:tr w:rsidR="003C1D13" w:rsidRPr="00444C29">
        <w:trPr>
          <w:trHeight w:val="300"/>
        </w:trPr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 xml:space="preserve">ПРИБЫЛЬ (УБЫТОК) </w:t>
            </w:r>
          </w:p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ЗА ОТЧЕТНЫЙ ПЕРИОД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449,4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946,2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1084,3</w:t>
            </w:r>
          </w:p>
        </w:tc>
      </w:tr>
      <w:tr w:rsidR="003C1D13" w:rsidRPr="00444C29">
        <w:trPr>
          <w:trHeight w:val="285"/>
        </w:trPr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Налоги, сборы, платежи из прибыли</w:t>
            </w:r>
          </w:p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148,0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271,9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320,6</w:t>
            </w:r>
          </w:p>
        </w:tc>
      </w:tr>
      <w:tr w:rsidR="003C1D13" w:rsidRPr="00444C29">
        <w:trPr>
          <w:trHeight w:val="285"/>
        </w:trPr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Сумма льготы по налогу на прибыль</w:t>
            </w:r>
          </w:p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C1D13" w:rsidRPr="00444C29">
        <w:trPr>
          <w:trHeight w:val="300"/>
        </w:trPr>
        <w:tc>
          <w:tcPr>
            <w:tcW w:w="4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 xml:space="preserve">ПРИБЫЛЬ (УБЫТОК) </w:t>
            </w:r>
          </w:p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К РАСПРЕДЕЛЕНИЮ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301,4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674,3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763,7</w:t>
            </w:r>
          </w:p>
        </w:tc>
      </w:tr>
      <w:tr w:rsidR="003C1D13" w:rsidRPr="00444C29">
        <w:trPr>
          <w:trHeight w:val="285"/>
        </w:trPr>
        <w:tc>
          <w:tcPr>
            <w:tcW w:w="4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в том числе по направлениям использования: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1D13" w:rsidRPr="00444C29">
        <w:trPr>
          <w:trHeight w:val="285"/>
        </w:trPr>
        <w:tc>
          <w:tcPr>
            <w:tcW w:w="4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на цели потребления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</w:tr>
      <w:tr w:rsidR="003C1D13" w:rsidRPr="00444C29">
        <w:trPr>
          <w:trHeight w:val="285"/>
        </w:trPr>
        <w:tc>
          <w:tcPr>
            <w:tcW w:w="4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на цели накопления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618,0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701,7</w:t>
            </w:r>
          </w:p>
        </w:tc>
      </w:tr>
      <w:tr w:rsidR="003C1D13" w:rsidRPr="00444C29">
        <w:trPr>
          <w:trHeight w:val="300"/>
        </w:trPr>
        <w:tc>
          <w:tcPr>
            <w:tcW w:w="4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ЧИСТЫЙ ДОХОД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441,3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842,2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1055,6</w:t>
            </w:r>
          </w:p>
        </w:tc>
      </w:tr>
      <w:tr w:rsidR="003C1D13" w:rsidRPr="00444C29">
        <w:trPr>
          <w:trHeight w:val="285"/>
        </w:trPr>
        <w:tc>
          <w:tcPr>
            <w:tcW w:w="4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погашение задолженности по кредитам, займам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144,4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1D13" w:rsidRPr="00444C29" w:rsidRDefault="003C1D13" w:rsidP="00444C29">
            <w:pPr>
              <w:rPr>
                <w:rFonts w:ascii="Times New Roman" w:hAnsi="Times New Roman"/>
                <w:sz w:val="20"/>
                <w:szCs w:val="20"/>
              </w:rPr>
            </w:pPr>
            <w:r w:rsidRPr="00444C29">
              <w:rPr>
                <w:rFonts w:ascii="Times New Roman" w:hAnsi="Times New Roman"/>
                <w:sz w:val="20"/>
                <w:szCs w:val="20"/>
              </w:rPr>
              <w:t>833,9</w:t>
            </w:r>
          </w:p>
        </w:tc>
      </w:tr>
    </w:tbl>
    <w:p w:rsidR="003C1D13" w:rsidRPr="00AF5629" w:rsidRDefault="003C1D13" w:rsidP="00444C2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3C1D13" w:rsidRPr="00AF5629" w:rsidRDefault="003C1D13" w:rsidP="00444C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5629">
        <w:rPr>
          <w:rFonts w:ascii="Times New Roman" w:hAnsi="Times New Roman"/>
          <w:sz w:val="28"/>
          <w:szCs w:val="28"/>
        </w:rPr>
        <w:t>Как видно из таблицы</w:t>
      </w:r>
      <w:r>
        <w:rPr>
          <w:rFonts w:ascii="Times New Roman" w:hAnsi="Times New Roman"/>
          <w:sz w:val="28"/>
          <w:szCs w:val="28"/>
        </w:rPr>
        <w:t xml:space="preserve"> 2, чистый доход предприятия уже в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/>
            <w:sz w:val="28"/>
            <w:szCs w:val="28"/>
          </w:rPr>
          <w:t>2009 г</w:t>
        </w:r>
      </w:smartTag>
      <w:r>
        <w:rPr>
          <w:rFonts w:ascii="Times New Roman" w:hAnsi="Times New Roman"/>
          <w:sz w:val="28"/>
          <w:szCs w:val="28"/>
        </w:rPr>
        <w:t xml:space="preserve">. по сравнению с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/>
            <w:sz w:val="28"/>
            <w:szCs w:val="28"/>
          </w:rPr>
          <w:t>2008 г</w:t>
        </w:r>
      </w:smartTag>
      <w:r>
        <w:rPr>
          <w:rFonts w:ascii="Times New Roman" w:hAnsi="Times New Roman"/>
          <w:sz w:val="28"/>
          <w:szCs w:val="28"/>
        </w:rPr>
        <w:t xml:space="preserve">. Увеличиться на 400,9 у.е.  Разница суммы погашения задолженности по кредитам в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/>
            <w:sz w:val="28"/>
            <w:szCs w:val="28"/>
          </w:rPr>
          <w:t>2010 г</w:t>
        </w:r>
      </w:smartTag>
      <w:r>
        <w:rPr>
          <w:rFonts w:ascii="Times New Roman" w:hAnsi="Times New Roman"/>
          <w:sz w:val="28"/>
          <w:szCs w:val="28"/>
        </w:rPr>
        <w:t xml:space="preserve">. по сравнению с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/>
            <w:sz w:val="28"/>
            <w:szCs w:val="28"/>
          </w:rPr>
          <w:t>2009 г</w:t>
        </w:r>
      </w:smartTag>
      <w:r>
        <w:rPr>
          <w:rFonts w:ascii="Times New Roman" w:hAnsi="Times New Roman"/>
          <w:sz w:val="28"/>
          <w:szCs w:val="28"/>
        </w:rPr>
        <w:t>. составит  689,5 у.е.</w:t>
      </w:r>
    </w:p>
    <w:p w:rsidR="003C1D13" w:rsidRPr="00AD3AB2" w:rsidRDefault="003C1D13" w:rsidP="00444C29">
      <w:pPr>
        <w:keepLines/>
        <w:tabs>
          <w:tab w:val="left" w:pos="720"/>
          <w:tab w:val="left" w:pos="963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3AB2">
        <w:rPr>
          <w:rFonts w:ascii="Times New Roman" w:hAnsi="Times New Roman"/>
          <w:sz w:val="28"/>
          <w:szCs w:val="28"/>
        </w:rPr>
        <w:t>В приток денежных средств включены обороты от реализации продукции и заемные средства. В оттоке денежных средств учтены затраты на производство и сбыт, налог на добавленную стоимость (подлежащий зачету и уплате в бюджет), еже</w:t>
      </w:r>
      <w:r>
        <w:rPr>
          <w:rFonts w:ascii="Times New Roman" w:hAnsi="Times New Roman"/>
          <w:sz w:val="28"/>
          <w:szCs w:val="28"/>
        </w:rPr>
        <w:t>год</w:t>
      </w:r>
      <w:r w:rsidRPr="00AD3AB2">
        <w:rPr>
          <w:rFonts w:ascii="Times New Roman" w:hAnsi="Times New Roman"/>
          <w:sz w:val="28"/>
          <w:szCs w:val="28"/>
        </w:rPr>
        <w:t>ные суммы погашения основного долга и процентов по полученным кредитам, а также другие планируемые издержки.</w:t>
      </w:r>
    </w:p>
    <w:p w:rsidR="003C1D13" w:rsidRPr="00AD3AB2" w:rsidRDefault="003C1D13" w:rsidP="00444C29">
      <w:pPr>
        <w:tabs>
          <w:tab w:val="left" w:pos="963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3AB2">
        <w:rPr>
          <w:rFonts w:ascii="Times New Roman" w:hAnsi="Times New Roman"/>
          <w:sz w:val="28"/>
          <w:szCs w:val="28"/>
        </w:rPr>
        <w:t>Чистый оборотный капитал представляет собой разность текущих активов и текущих пассивов. Его расчет осуществляется исходя из планируемых издержек производства, отгрузки и нормы запасов по статьям затрат текущих активов и краткосрочных обязательств. Финансирование прироста потребности в чистом оборотном капитале планируется осуществлять за счет собственных средств.</w:t>
      </w:r>
    </w:p>
    <w:p w:rsidR="003C1D13" w:rsidRPr="00E9505E" w:rsidRDefault="003C1D13" w:rsidP="00444C29">
      <w:pPr>
        <w:keepLines/>
        <w:tabs>
          <w:tab w:val="left" w:pos="720"/>
          <w:tab w:val="left" w:pos="963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05E">
        <w:rPr>
          <w:rFonts w:ascii="Times New Roman" w:hAnsi="Times New Roman"/>
          <w:sz w:val="28"/>
          <w:szCs w:val="28"/>
        </w:rPr>
        <w:t>Оценка инвестиций базируется на сопоставлении ожидаемого чистого дохода от реализации проекта с инвестированным в проект капиталом.</w:t>
      </w:r>
    </w:p>
    <w:p w:rsidR="003C1D13" w:rsidRPr="00E9505E" w:rsidRDefault="003C1D13" w:rsidP="00444C29">
      <w:pPr>
        <w:keepLines/>
        <w:tabs>
          <w:tab w:val="left" w:pos="720"/>
          <w:tab w:val="left" w:pos="963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05E">
        <w:rPr>
          <w:rFonts w:ascii="Times New Roman" w:hAnsi="Times New Roman"/>
          <w:sz w:val="28"/>
          <w:szCs w:val="28"/>
        </w:rPr>
        <w:t>Приведение будущих потоков и оттоков денежных средств к моменту осуществления инвестиций произведено методом дисконтирования.</w:t>
      </w:r>
    </w:p>
    <w:p w:rsidR="003C1D13" w:rsidRPr="00E9505E" w:rsidRDefault="003C1D13" w:rsidP="00444C29">
      <w:pPr>
        <w:tabs>
          <w:tab w:val="left" w:pos="963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05E">
        <w:rPr>
          <w:rFonts w:ascii="Times New Roman" w:hAnsi="Times New Roman"/>
          <w:sz w:val="28"/>
          <w:szCs w:val="28"/>
        </w:rPr>
        <w:t xml:space="preserve">Для расчета интегральных показателей эффективности проекта принята ставка дисконтирования на уровне 11%. </w:t>
      </w:r>
    </w:p>
    <w:p w:rsidR="003C1D13" w:rsidRPr="00E9505E" w:rsidRDefault="003C1D13" w:rsidP="00444C29">
      <w:pPr>
        <w:pStyle w:val="21"/>
        <w:keepLines/>
        <w:tabs>
          <w:tab w:val="left" w:pos="9639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E9505E">
        <w:rPr>
          <w:sz w:val="28"/>
          <w:szCs w:val="28"/>
        </w:rPr>
        <w:t>Величина чистого потока наличности от реализации</w:t>
      </w:r>
      <w:r>
        <w:rPr>
          <w:sz w:val="28"/>
          <w:szCs w:val="28"/>
        </w:rPr>
        <w:t xml:space="preserve"> проекта представлена на рисунке 2.</w:t>
      </w:r>
      <w:r w:rsidRPr="00E9505E">
        <w:rPr>
          <w:sz w:val="28"/>
          <w:szCs w:val="28"/>
        </w:rPr>
        <w:t xml:space="preserve"> </w:t>
      </w:r>
    </w:p>
    <w:p w:rsidR="003C1D13" w:rsidRPr="00E9505E" w:rsidRDefault="003C1D13" w:rsidP="00444C29">
      <w:pPr>
        <w:pStyle w:val="21"/>
        <w:keepLines/>
        <w:tabs>
          <w:tab w:val="left" w:pos="-3420"/>
          <w:tab w:val="left" w:pos="9639"/>
        </w:tabs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3C1D13" w:rsidRPr="00E9505E" w:rsidRDefault="00B06102" w:rsidP="00444C29">
      <w:pPr>
        <w:pStyle w:val="21"/>
        <w:keepLines/>
        <w:tabs>
          <w:tab w:val="left" w:pos="-3240"/>
          <w:tab w:val="left" w:pos="9639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9" o:spid="_x0000_i1026" type="#_x0000_t75" style="width:419.25pt;height:218.25pt;visibility:visible">
            <v:imagedata r:id="rId6" o:title=""/>
          </v:shape>
        </w:pict>
      </w:r>
    </w:p>
    <w:p w:rsidR="003C1D13" w:rsidRPr="00AF5629" w:rsidRDefault="003C1D13" w:rsidP="00444C29">
      <w:pPr>
        <w:pStyle w:val="21"/>
        <w:keepLines/>
        <w:tabs>
          <w:tab w:val="left" w:pos="-3240"/>
          <w:tab w:val="left" w:pos="9639"/>
        </w:tabs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AF5629">
        <w:rPr>
          <w:b/>
          <w:sz w:val="24"/>
          <w:szCs w:val="24"/>
        </w:rPr>
        <w:t>Рисунок 2</w:t>
      </w:r>
      <w:r w:rsidRPr="00AF5629">
        <w:rPr>
          <w:b/>
          <w:sz w:val="28"/>
          <w:szCs w:val="28"/>
        </w:rPr>
        <w:t xml:space="preserve"> – Динамика чистого потока наличности</w:t>
      </w:r>
    </w:p>
    <w:p w:rsidR="003C1D13" w:rsidRPr="00E9505E" w:rsidRDefault="003C1D13" w:rsidP="00444C29">
      <w:pPr>
        <w:pStyle w:val="21"/>
        <w:keepLines/>
        <w:tabs>
          <w:tab w:val="left" w:pos="720"/>
          <w:tab w:val="left" w:pos="9639"/>
        </w:tabs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3C1D13" w:rsidRPr="00AD3AB2" w:rsidRDefault="003C1D13" w:rsidP="00444C29">
      <w:pPr>
        <w:pStyle w:val="21"/>
        <w:keepLines/>
        <w:tabs>
          <w:tab w:val="left" w:pos="720"/>
          <w:tab w:val="left" w:pos="9639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AD3AB2">
        <w:rPr>
          <w:sz w:val="28"/>
          <w:szCs w:val="28"/>
        </w:rPr>
        <w:t>Простой срок окупаемости проекта – это период времени, по окончании которого чистый объем поступлений (доходов) перекрывает объем инвестиций (расходов) в проект. Простой срок окупаемости ввода цеха и технологической линии:</w:t>
      </w:r>
    </w:p>
    <w:p w:rsidR="003C1D13" w:rsidRPr="00AD3AB2" w:rsidRDefault="003C1D13" w:rsidP="00444C29">
      <w:pPr>
        <w:pStyle w:val="21"/>
        <w:keepLines/>
        <w:numPr>
          <w:ilvl w:val="0"/>
          <w:numId w:val="2"/>
        </w:numPr>
        <w:tabs>
          <w:tab w:val="left" w:pos="-342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AD3AB2">
        <w:rPr>
          <w:sz w:val="28"/>
          <w:szCs w:val="28"/>
        </w:rPr>
        <w:t xml:space="preserve">с момента ввода оборудования – 3 </w:t>
      </w:r>
      <w:r>
        <w:rPr>
          <w:sz w:val="28"/>
          <w:szCs w:val="28"/>
        </w:rPr>
        <w:t>года</w:t>
      </w:r>
      <w:r w:rsidRPr="00AD3AB2">
        <w:rPr>
          <w:sz w:val="28"/>
          <w:szCs w:val="28"/>
        </w:rPr>
        <w:t xml:space="preserve"> 9 месяцев;</w:t>
      </w:r>
    </w:p>
    <w:p w:rsidR="003C1D13" w:rsidRPr="00AD3AB2" w:rsidRDefault="003C1D13" w:rsidP="00444C29">
      <w:pPr>
        <w:pStyle w:val="21"/>
        <w:keepLines/>
        <w:numPr>
          <w:ilvl w:val="0"/>
          <w:numId w:val="2"/>
        </w:numPr>
        <w:tabs>
          <w:tab w:val="left" w:pos="-342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AD3AB2">
        <w:rPr>
          <w:sz w:val="28"/>
          <w:szCs w:val="28"/>
        </w:rPr>
        <w:t>с момента осуществления инвестиций – 5 лет 3 месяца.</w:t>
      </w:r>
    </w:p>
    <w:p w:rsidR="003C1D13" w:rsidRPr="00AD3AB2" w:rsidRDefault="003C1D13" w:rsidP="00444C29">
      <w:pPr>
        <w:pStyle w:val="21"/>
        <w:keepLines/>
        <w:tabs>
          <w:tab w:val="left" w:pos="720"/>
          <w:tab w:val="left" w:pos="9639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AD3AB2">
        <w:rPr>
          <w:sz w:val="28"/>
          <w:szCs w:val="28"/>
        </w:rPr>
        <w:t>Расчет динамического срока окупаемости проекта осуществляется по накопительному дисконтированному чистому потоку наличности. Для рассматриваемого проекта динамический срок окупаемости инвестиций:</w:t>
      </w:r>
    </w:p>
    <w:p w:rsidR="003C1D13" w:rsidRPr="00AD3AB2" w:rsidRDefault="003C1D13" w:rsidP="00444C29">
      <w:pPr>
        <w:pStyle w:val="21"/>
        <w:keepLines/>
        <w:numPr>
          <w:ilvl w:val="0"/>
          <w:numId w:val="8"/>
        </w:numPr>
        <w:tabs>
          <w:tab w:val="left" w:pos="-342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AD3AB2">
        <w:rPr>
          <w:sz w:val="28"/>
          <w:szCs w:val="28"/>
        </w:rPr>
        <w:t>с момента ввода оборудования – 5 лет 3 месяца;</w:t>
      </w:r>
    </w:p>
    <w:p w:rsidR="003C1D13" w:rsidRPr="00AD3AB2" w:rsidRDefault="003C1D13" w:rsidP="00444C29">
      <w:pPr>
        <w:pStyle w:val="21"/>
        <w:keepLines/>
        <w:numPr>
          <w:ilvl w:val="0"/>
          <w:numId w:val="8"/>
        </w:numPr>
        <w:tabs>
          <w:tab w:val="left" w:pos="-342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AD3AB2">
        <w:rPr>
          <w:sz w:val="28"/>
          <w:szCs w:val="28"/>
        </w:rPr>
        <w:t>с момента осуществления инвестиций – 6 лет 7 месяцев.</w:t>
      </w:r>
    </w:p>
    <w:p w:rsidR="003C1D13" w:rsidRPr="00AD3AB2" w:rsidRDefault="003C1D13" w:rsidP="00444C29">
      <w:pPr>
        <w:pStyle w:val="21"/>
        <w:keepLines/>
        <w:tabs>
          <w:tab w:val="left" w:pos="720"/>
          <w:tab w:val="left" w:pos="9639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AD3AB2">
        <w:rPr>
          <w:sz w:val="28"/>
          <w:szCs w:val="28"/>
        </w:rPr>
        <w:t xml:space="preserve">Чистый дисконтированный доход показывает абсолютную величину чистого дохода, приведенного к началу реализации проекта. Чистый дисконтированный доход за период реализации проекта с 2008 по 2014 </w:t>
      </w:r>
      <w:r>
        <w:rPr>
          <w:sz w:val="28"/>
          <w:szCs w:val="28"/>
        </w:rPr>
        <w:t>гг.</w:t>
      </w:r>
      <w:r w:rsidRPr="00AD3AB2">
        <w:rPr>
          <w:sz w:val="28"/>
          <w:szCs w:val="28"/>
        </w:rPr>
        <w:t xml:space="preserve"> составит 106,5 </w:t>
      </w:r>
      <w:r>
        <w:rPr>
          <w:sz w:val="28"/>
          <w:szCs w:val="28"/>
        </w:rPr>
        <w:t>у.е.</w:t>
      </w:r>
    </w:p>
    <w:p w:rsidR="003C1D13" w:rsidRPr="00AD3AB2" w:rsidRDefault="003C1D13" w:rsidP="00444C29">
      <w:pPr>
        <w:pStyle w:val="21"/>
        <w:keepLines/>
        <w:tabs>
          <w:tab w:val="left" w:pos="720"/>
          <w:tab w:val="left" w:pos="9639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AD3AB2">
        <w:rPr>
          <w:sz w:val="28"/>
          <w:szCs w:val="28"/>
        </w:rPr>
        <w:t>В отличие от чистого дисконтированного дохода, индекс рентабельности является относительным показателем, что делает его удобным в планировании при выборе одного проекта из нескольких альтернативных. Индекс рентабельности (доходности) по данному проекту равен 1,03.</w:t>
      </w:r>
    </w:p>
    <w:p w:rsidR="003C1D13" w:rsidRPr="00AD3AB2" w:rsidRDefault="003C1D13" w:rsidP="00444C29">
      <w:pPr>
        <w:pStyle w:val="a3"/>
        <w:spacing w:line="360" w:lineRule="auto"/>
        <w:ind w:firstLine="709"/>
        <w:rPr>
          <w:b w:val="0"/>
          <w:szCs w:val="28"/>
        </w:rPr>
      </w:pPr>
      <w:r w:rsidRPr="00AD3AB2">
        <w:rPr>
          <w:b w:val="0"/>
          <w:szCs w:val="28"/>
        </w:rPr>
        <w:t>Анализ показателей эффективности инвестиций настоящего предложения позволяет сделать вывод, что при прогнозируемых объемах производства, капитальных вложениях, ценах на готовую продукцию и производственных издержках проект является надежным и рентабельным.</w:t>
      </w:r>
    </w:p>
    <w:p w:rsidR="003C1D13" w:rsidRDefault="003C1D13" w:rsidP="00444C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3AB2">
        <w:rPr>
          <w:rFonts w:ascii="Times New Roman" w:hAnsi="Times New Roman"/>
          <w:sz w:val="28"/>
          <w:szCs w:val="28"/>
        </w:rPr>
        <w:t>Успешная реализация настоящего проекта создает благоприятные перспективы для упрочения позиций предприятия на рынке по основным показателям, получения и увеличения в дальнейшем объемов чистой прибыли по основной деятельности, сохранения и повышения социально-экономического благополучия коллектива предприятия.</w:t>
      </w:r>
    </w:p>
    <w:p w:rsidR="003C1D13" w:rsidRDefault="003C1D13" w:rsidP="00444C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1D13" w:rsidRPr="003C1D13" w:rsidRDefault="003C1D13" w:rsidP="00444C29">
      <w:pPr>
        <w:pStyle w:val="2"/>
        <w:tabs>
          <w:tab w:val="num" w:pos="927"/>
        </w:tabs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3C1D13">
        <w:rPr>
          <w:b/>
          <w:sz w:val="28"/>
          <w:szCs w:val="28"/>
        </w:rPr>
        <w:t>Ресурсосбережение на ОАО «Любанский сыродельный завод»</w:t>
      </w:r>
    </w:p>
    <w:p w:rsidR="003C1D13" w:rsidRPr="003C1D13" w:rsidRDefault="003C1D13" w:rsidP="00444C29">
      <w:pPr>
        <w:pStyle w:val="2"/>
        <w:tabs>
          <w:tab w:val="num" w:pos="927"/>
        </w:tabs>
        <w:spacing w:line="360" w:lineRule="auto"/>
        <w:ind w:firstLine="709"/>
        <w:jc w:val="center"/>
        <w:rPr>
          <w:sz w:val="28"/>
          <w:szCs w:val="28"/>
        </w:rPr>
      </w:pPr>
    </w:p>
    <w:p w:rsidR="003C1D13" w:rsidRPr="003C1D13" w:rsidRDefault="003C1D13" w:rsidP="00444C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1D13">
        <w:rPr>
          <w:rFonts w:ascii="Times New Roman" w:hAnsi="Times New Roman"/>
          <w:sz w:val="28"/>
          <w:szCs w:val="28"/>
        </w:rPr>
        <w:t>Молочная продукция характеризуется высокой материалоемкостью. В структуре себестоимости молочное сырье занимает 62-85%, доля энергозатрат составляет 4-15%. К наиболее материалоемкой продукции относятся  технический казеин, масло, твердые сыры, к наиболее  энергоемкой – сухое обезжиренное молоко (энергозатраты более 15%).</w:t>
      </w:r>
    </w:p>
    <w:p w:rsidR="003C1D13" w:rsidRPr="003C1D13" w:rsidRDefault="003C1D13" w:rsidP="00444C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1D13">
        <w:rPr>
          <w:rFonts w:ascii="Times New Roman" w:hAnsi="Times New Roman"/>
          <w:sz w:val="28"/>
          <w:szCs w:val="28"/>
        </w:rPr>
        <w:t>Высокой энергоемкостью характеризуются процессы пастеризации молока, сливок, их сепарация, сгущение смеси в вакуум-аппаратах, сушка в  сушильной установке.</w:t>
      </w:r>
    </w:p>
    <w:p w:rsidR="003C1D13" w:rsidRPr="003C1D13" w:rsidRDefault="003C1D13" w:rsidP="00444C29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D13">
        <w:rPr>
          <w:rFonts w:ascii="Times New Roman" w:hAnsi="Times New Roman"/>
          <w:sz w:val="28"/>
          <w:szCs w:val="28"/>
        </w:rPr>
        <w:t>К энергоемким вспомогательным производствам относится получение холода на холодильно-компрессорной станции. К основному энергопотребляющему оборудованию относится также насосное оборудование, включая технологические насосы, насосы охладителей, насосы водозабора, охлаждения оборудования и др.</w:t>
      </w:r>
    </w:p>
    <w:p w:rsidR="003C1D13" w:rsidRPr="003C1D13" w:rsidRDefault="003C1D13" w:rsidP="00444C29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D13">
        <w:rPr>
          <w:rFonts w:ascii="Times New Roman" w:hAnsi="Times New Roman"/>
          <w:sz w:val="28"/>
          <w:szCs w:val="28"/>
        </w:rPr>
        <w:t>Анализ динамики удельных норм расхода электрической и тепловой энергии на выпуск продукции по основным группам за последние гг. показывает тенденцию к снижению фактического удельного потребления ТЭР, что обусловлено проводимой на предприятии работой по внедрению энергосберегающих мероприятий.</w:t>
      </w:r>
    </w:p>
    <w:p w:rsidR="003C1D13" w:rsidRPr="003C1D13" w:rsidRDefault="003C1D13" w:rsidP="00444C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1D13">
        <w:rPr>
          <w:rFonts w:ascii="Times New Roman" w:hAnsi="Times New Roman"/>
          <w:sz w:val="28"/>
          <w:szCs w:val="28"/>
        </w:rPr>
        <w:t xml:space="preserve">С целью снижения энергозатрат на заводе целенаправленно внедряется энергоэффективное  холодильное оборудование, работающее на азонобезопасном фреоне, в настоящее время технологический холод вырабатывают 15 локальных фреоновых установок, в </w:t>
      </w:r>
      <w:smartTag w:uri="urn:schemas-microsoft-com:office:smarttags" w:element="metricconverter">
        <w:smartTagPr>
          <w:attr w:name="ProductID" w:val="2008 г"/>
        </w:smartTagPr>
        <w:r w:rsidRPr="003C1D13">
          <w:rPr>
            <w:rFonts w:ascii="Times New Roman" w:hAnsi="Times New Roman"/>
            <w:sz w:val="28"/>
            <w:szCs w:val="28"/>
          </w:rPr>
          <w:t>2008 г</w:t>
        </w:r>
      </w:smartTag>
      <w:r w:rsidRPr="003C1D13">
        <w:rPr>
          <w:rFonts w:ascii="Times New Roman" w:hAnsi="Times New Roman"/>
          <w:sz w:val="28"/>
          <w:szCs w:val="28"/>
        </w:rPr>
        <w:t>. планируется вести в эксплуатацию фреоновые холодильные агрегаты в камере созревания сыра.</w:t>
      </w:r>
    </w:p>
    <w:p w:rsidR="003C1D13" w:rsidRPr="003C1D13" w:rsidRDefault="003C1D13" w:rsidP="00444C29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D13">
        <w:rPr>
          <w:rFonts w:ascii="Times New Roman" w:hAnsi="Times New Roman"/>
          <w:sz w:val="28"/>
          <w:szCs w:val="28"/>
        </w:rPr>
        <w:t>Водозабор на предприятии осуществляется из трех собственных артезианских скважин, расположенных на его территории. Центробежными погружными насосами вода подается в резервуары и водонапорные башни, откуда распределяется на технологические и собственные нужды. Основные потребители воды: все производственные цеха, компрессорная, котельная, хозяйственно-бытовые потребители (умывальники, душевые, столовая).</w:t>
      </w:r>
    </w:p>
    <w:p w:rsidR="003C1D13" w:rsidRPr="003C1D13" w:rsidRDefault="003C1D13" w:rsidP="00444C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1D13">
        <w:rPr>
          <w:rFonts w:ascii="Times New Roman" w:hAnsi="Times New Roman"/>
          <w:sz w:val="28"/>
          <w:szCs w:val="28"/>
        </w:rPr>
        <w:t>Расход горячей воды на производственные нужды составляет 30-37% от общего расхода, график потребления относительно равномерен по месяцам. На нужды котельной потребляется 63-70% воды, причем в летний период потребление воды больше, что обусловлено большим количеством сырья (молока), а соответственно, большей потребностью в паре на нужды сушки.</w:t>
      </w:r>
    </w:p>
    <w:p w:rsidR="003C1D13" w:rsidRPr="003C1D13" w:rsidRDefault="003C1D13" w:rsidP="00444C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1D13">
        <w:rPr>
          <w:rFonts w:ascii="Times New Roman" w:hAnsi="Times New Roman"/>
          <w:sz w:val="28"/>
          <w:szCs w:val="28"/>
        </w:rPr>
        <w:t xml:space="preserve">Мероприятиями по энергосбережению на </w:t>
      </w:r>
      <w:smartTag w:uri="urn:schemas-microsoft-com:office:smarttags" w:element="metricconverter">
        <w:smartTagPr>
          <w:attr w:name="ProductID" w:val="2008 г"/>
        </w:smartTagPr>
        <w:r w:rsidRPr="003C1D13">
          <w:rPr>
            <w:rFonts w:ascii="Times New Roman" w:hAnsi="Times New Roman"/>
            <w:sz w:val="28"/>
            <w:szCs w:val="28"/>
          </w:rPr>
          <w:t>2008 г</w:t>
        </w:r>
      </w:smartTag>
      <w:r w:rsidRPr="003C1D13">
        <w:rPr>
          <w:rFonts w:ascii="Times New Roman" w:hAnsi="Times New Roman"/>
          <w:sz w:val="28"/>
          <w:szCs w:val="28"/>
        </w:rPr>
        <w:t>. предусматривается замена энергоемкого питающего и сетевого насосного оборудования с выводом установленной электрической мощности  59 кВт.</w:t>
      </w:r>
    </w:p>
    <w:p w:rsidR="003C1D13" w:rsidRPr="003C1D13" w:rsidRDefault="003C1D13" w:rsidP="00444C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1D13">
        <w:rPr>
          <w:rFonts w:ascii="Times New Roman" w:hAnsi="Times New Roman"/>
          <w:sz w:val="28"/>
          <w:szCs w:val="28"/>
        </w:rPr>
        <w:t xml:space="preserve">Реализация запланированных на </w:t>
      </w:r>
      <w:smartTag w:uri="urn:schemas-microsoft-com:office:smarttags" w:element="metricconverter">
        <w:smartTagPr>
          <w:attr w:name="ProductID" w:val="2008 г"/>
        </w:smartTagPr>
        <w:r w:rsidRPr="003C1D13">
          <w:rPr>
            <w:rFonts w:ascii="Times New Roman" w:hAnsi="Times New Roman"/>
            <w:sz w:val="28"/>
            <w:szCs w:val="28"/>
          </w:rPr>
          <w:t>2008 г</w:t>
        </w:r>
      </w:smartTag>
      <w:r w:rsidRPr="003C1D13">
        <w:rPr>
          <w:rFonts w:ascii="Times New Roman" w:hAnsi="Times New Roman"/>
          <w:sz w:val="28"/>
          <w:szCs w:val="28"/>
        </w:rPr>
        <w:t>. энергосберегающих мероприятий обеспечивает экономию энергоресурсов в пересчете на условное топливо в объеме 231,6 тут.</w:t>
      </w:r>
    </w:p>
    <w:p w:rsidR="003C1D13" w:rsidRPr="003C1D13" w:rsidRDefault="003C1D13" w:rsidP="00444C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1D13">
        <w:rPr>
          <w:rFonts w:ascii="Times New Roman" w:hAnsi="Times New Roman"/>
          <w:sz w:val="28"/>
          <w:szCs w:val="28"/>
        </w:rPr>
        <w:t>Экономии материально-сырьевых ресурсов планируется достичь последовательной работой по вовлечению в производство вторичных ресурсов, совершенствованием структуры переработки сырья, трудовые затраты будут снижены в результате ввода в эксплуатацию новой технологической линии по производству сыров, где за счет автоматизации ожидается уменьшение численности обслуживающего персонал с 27 до 10 человек.</w:t>
      </w:r>
    </w:p>
    <w:p w:rsidR="003C1D13" w:rsidRDefault="003C1D13" w:rsidP="00444C2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3C1D13">
        <w:rPr>
          <w:rFonts w:ascii="Times New Roman" w:hAnsi="Times New Roman"/>
          <w:b/>
          <w:sz w:val="28"/>
          <w:szCs w:val="28"/>
        </w:rPr>
        <w:t>ЛИТЕРАТУРА</w:t>
      </w:r>
    </w:p>
    <w:p w:rsidR="00444C29" w:rsidRDefault="00444C29" w:rsidP="00444C2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C1D13" w:rsidRPr="003C1D13" w:rsidRDefault="003C1D13" w:rsidP="00444C29">
      <w:pPr>
        <w:pStyle w:val="210"/>
        <w:widowControl w:val="0"/>
        <w:numPr>
          <w:ilvl w:val="0"/>
          <w:numId w:val="9"/>
        </w:numPr>
        <w:tabs>
          <w:tab w:val="clear" w:pos="1021"/>
          <w:tab w:val="num" w:pos="993"/>
        </w:tabs>
        <w:spacing w:line="360" w:lineRule="auto"/>
        <w:ind w:firstLine="709"/>
        <w:rPr>
          <w:sz w:val="28"/>
          <w:szCs w:val="28"/>
        </w:rPr>
      </w:pPr>
      <w:r w:rsidRPr="003C1D13">
        <w:rPr>
          <w:sz w:val="28"/>
          <w:szCs w:val="28"/>
        </w:rPr>
        <w:t>Баканов, М. И. Анализ хозяйственной деятельности в торговле / М. И. Баканов. – М. : Экономика, 1999.</w:t>
      </w:r>
    </w:p>
    <w:p w:rsidR="003C1D13" w:rsidRPr="003C1D13" w:rsidRDefault="003C1D13" w:rsidP="00444C29">
      <w:pPr>
        <w:pStyle w:val="a7"/>
        <w:numPr>
          <w:ilvl w:val="0"/>
          <w:numId w:val="9"/>
        </w:numPr>
        <w:tabs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C1D13">
        <w:rPr>
          <w:rFonts w:ascii="Times New Roman" w:hAnsi="Times New Roman"/>
          <w:bCs/>
          <w:sz w:val="28"/>
          <w:szCs w:val="28"/>
        </w:rPr>
        <w:t>Барсегян, Л. М. Анализ хозяйственной деятельности</w:t>
      </w:r>
      <w:r w:rsidRPr="003C1D13">
        <w:rPr>
          <w:rFonts w:ascii="Times New Roman" w:hAnsi="Times New Roman"/>
          <w:sz w:val="28"/>
          <w:szCs w:val="28"/>
        </w:rPr>
        <w:t xml:space="preserve">: Курс лекций. В 2 ч. / Л. М. Баргесян, В. И. Герасимова, Т. Г. Струк Часть 1. – Минск : Академия управления при Президенте Республики Беларусь, 2004. – 238 с.; Ч. 1/ Л. М. Баргесян [и др.],  2004, - 221 с. </w:t>
      </w:r>
    </w:p>
    <w:p w:rsidR="003C1D13" w:rsidRPr="003C1D13" w:rsidRDefault="003C1D13" w:rsidP="00444C29">
      <w:pPr>
        <w:pStyle w:val="a7"/>
        <w:numPr>
          <w:ilvl w:val="0"/>
          <w:numId w:val="9"/>
        </w:numPr>
        <w:tabs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C1D13">
        <w:rPr>
          <w:rFonts w:ascii="Times New Roman" w:hAnsi="Times New Roman"/>
          <w:sz w:val="28"/>
          <w:szCs w:val="28"/>
        </w:rPr>
        <w:t>Басовский, Л. Е. Управление качеством: учебник / Л. Е. Басовский, В. Б. Протасьева. -  М. : Инфра – М, 200</w:t>
      </w:r>
      <w:r>
        <w:rPr>
          <w:rFonts w:ascii="Times New Roman" w:hAnsi="Times New Roman"/>
          <w:sz w:val="28"/>
          <w:szCs w:val="28"/>
        </w:rPr>
        <w:t>5</w:t>
      </w:r>
      <w:r w:rsidRPr="003C1D13">
        <w:rPr>
          <w:rFonts w:ascii="Times New Roman" w:hAnsi="Times New Roman"/>
          <w:sz w:val="28"/>
          <w:szCs w:val="28"/>
        </w:rPr>
        <w:t>. – 301 с.</w:t>
      </w:r>
    </w:p>
    <w:p w:rsidR="003C1D13" w:rsidRPr="003C1D13" w:rsidRDefault="003C1D13" w:rsidP="00444C29">
      <w:pPr>
        <w:pStyle w:val="a7"/>
        <w:numPr>
          <w:ilvl w:val="0"/>
          <w:numId w:val="9"/>
        </w:numPr>
        <w:tabs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kern w:val="20"/>
          <w:sz w:val="28"/>
          <w:szCs w:val="28"/>
        </w:rPr>
      </w:pPr>
      <w:r w:rsidRPr="003C1D13">
        <w:rPr>
          <w:rFonts w:ascii="Times New Roman" w:hAnsi="Times New Roman"/>
          <w:bCs/>
          <w:sz w:val="28"/>
          <w:szCs w:val="28"/>
        </w:rPr>
        <w:t>Телешук, Г.Я. Бизнес-планирование: Курс лекций  / Г. Я. Телешук. –</w:t>
      </w:r>
      <w:r w:rsidRPr="003C1D13">
        <w:rPr>
          <w:rFonts w:ascii="Times New Roman" w:hAnsi="Times New Roman"/>
          <w:bCs/>
          <w:kern w:val="20"/>
          <w:sz w:val="28"/>
          <w:szCs w:val="28"/>
        </w:rPr>
        <w:t xml:space="preserve"> Минск : Академия управления при Президенте Республики Беларусь, 2005. – 435 с. </w:t>
      </w:r>
    </w:p>
    <w:p w:rsidR="003C1D13" w:rsidRPr="003C1D13" w:rsidRDefault="003C1D13" w:rsidP="00444C29">
      <w:pPr>
        <w:numPr>
          <w:ilvl w:val="0"/>
          <w:numId w:val="9"/>
        </w:numPr>
        <w:tabs>
          <w:tab w:val="num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1D13">
        <w:rPr>
          <w:rFonts w:ascii="Times New Roman" w:hAnsi="Times New Roman"/>
          <w:sz w:val="28"/>
          <w:szCs w:val="28"/>
        </w:rPr>
        <w:t xml:space="preserve">Зудина, Л. Н. Организация управленческого труда  / Л. Н. Зудина. - М. : Инфра-М,  </w:t>
      </w:r>
      <w:r>
        <w:rPr>
          <w:rFonts w:ascii="Times New Roman" w:hAnsi="Times New Roman"/>
          <w:sz w:val="28"/>
          <w:szCs w:val="28"/>
        </w:rPr>
        <w:t>200</w:t>
      </w:r>
      <w:r w:rsidRPr="003C1D13">
        <w:rPr>
          <w:rFonts w:ascii="Times New Roman" w:hAnsi="Times New Roman"/>
          <w:sz w:val="28"/>
          <w:szCs w:val="28"/>
        </w:rPr>
        <w:t>7. – 335 с.</w:t>
      </w:r>
    </w:p>
    <w:p w:rsidR="003C1D13" w:rsidRPr="003C1D13" w:rsidRDefault="003C1D13" w:rsidP="00444C2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3C1D13" w:rsidRPr="003C1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26052"/>
    <w:multiLevelType w:val="hybridMultilevel"/>
    <w:tmpl w:val="4D62362E"/>
    <w:lvl w:ilvl="0" w:tplc="95E61A78">
      <w:start w:val="1"/>
      <w:numFmt w:val="decimal"/>
      <w:lvlText w:val="%1."/>
      <w:lvlJc w:val="left"/>
      <w:pPr>
        <w:tabs>
          <w:tab w:val="num" w:pos="1021"/>
        </w:tabs>
        <w:ind w:firstLine="851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D6C34ED"/>
    <w:multiLevelType w:val="hybridMultilevel"/>
    <w:tmpl w:val="2B1C3C32"/>
    <w:lvl w:ilvl="0" w:tplc="FFFFFFFF">
      <w:start w:val="4"/>
      <w:numFmt w:val="bullet"/>
      <w:lvlText w:val="-"/>
      <w:lvlJc w:val="left"/>
      <w:pPr>
        <w:ind w:left="1287" w:hanging="360"/>
      </w:pPr>
      <w:rPr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14A6754"/>
    <w:multiLevelType w:val="hybridMultilevel"/>
    <w:tmpl w:val="B1582B58"/>
    <w:lvl w:ilvl="0" w:tplc="FFFFFFFF">
      <w:start w:val="4"/>
      <w:numFmt w:val="bullet"/>
      <w:lvlText w:val="-"/>
      <w:lvlJc w:val="left"/>
      <w:pPr>
        <w:ind w:left="786" w:hanging="360"/>
      </w:pPr>
      <w:rPr>
        <w:rFonts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44AD5970"/>
    <w:multiLevelType w:val="hybridMultilevel"/>
    <w:tmpl w:val="B7885A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B31076"/>
    <w:multiLevelType w:val="hybridMultilevel"/>
    <w:tmpl w:val="4E6CFC66"/>
    <w:lvl w:ilvl="0" w:tplc="792AB3A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7AD4931"/>
    <w:multiLevelType w:val="hybridMultilevel"/>
    <w:tmpl w:val="FBAA63B8"/>
    <w:lvl w:ilvl="0" w:tplc="FFFFFFFF">
      <w:start w:val="4"/>
      <w:numFmt w:val="bullet"/>
      <w:lvlText w:val="-"/>
      <w:lvlJc w:val="left"/>
      <w:pPr>
        <w:ind w:left="1854" w:hanging="360"/>
      </w:pPr>
      <w:rPr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BA04998"/>
    <w:multiLevelType w:val="hybridMultilevel"/>
    <w:tmpl w:val="3864E460"/>
    <w:lvl w:ilvl="0" w:tplc="FFFFFFFF">
      <w:start w:val="4"/>
      <w:numFmt w:val="bullet"/>
      <w:lvlText w:val="-"/>
      <w:lvlJc w:val="left"/>
      <w:pPr>
        <w:ind w:left="1287" w:hanging="360"/>
      </w:pPr>
      <w:rPr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7DF252E"/>
    <w:multiLevelType w:val="hybridMultilevel"/>
    <w:tmpl w:val="887C609E"/>
    <w:lvl w:ilvl="0" w:tplc="FFFFFFFF">
      <w:start w:val="4"/>
      <w:numFmt w:val="bullet"/>
      <w:lvlText w:val="-"/>
      <w:lvlJc w:val="left"/>
      <w:pPr>
        <w:ind w:left="1287" w:hanging="360"/>
      </w:pPr>
      <w:rPr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BD16FB8"/>
    <w:multiLevelType w:val="hybridMultilevel"/>
    <w:tmpl w:val="C450D300"/>
    <w:lvl w:ilvl="0" w:tplc="792AB3A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1D13"/>
    <w:rsid w:val="001B7C67"/>
    <w:rsid w:val="00274151"/>
    <w:rsid w:val="002B222F"/>
    <w:rsid w:val="003C1D13"/>
    <w:rsid w:val="00444C29"/>
    <w:rsid w:val="004967EB"/>
    <w:rsid w:val="004A4222"/>
    <w:rsid w:val="00576281"/>
    <w:rsid w:val="005B4592"/>
    <w:rsid w:val="00717A10"/>
    <w:rsid w:val="00725100"/>
    <w:rsid w:val="007B7732"/>
    <w:rsid w:val="00862A0E"/>
    <w:rsid w:val="0088667D"/>
    <w:rsid w:val="008D462B"/>
    <w:rsid w:val="00AC2DE3"/>
    <w:rsid w:val="00AD3AB2"/>
    <w:rsid w:val="00AF5629"/>
    <w:rsid w:val="00B06102"/>
    <w:rsid w:val="00BF0467"/>
    <w:rsid w:val="00D605F8"/>
    <w:rsid w:val="00D81C9C"/>
    <w:rsid w:val="00DF166A"/>
    <w:rsid w:val="00E24D4F"/>
    <w:rsid w:val="00E9505E"/>
    <w:rsid w:val="00F247F3"/>
    <w:rsid w:val="00FC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29"/>
    <o:shapelayout v:ext="edit">
      <o:idmap v:ext="edit" data="1"/>
    </o:shapelayout>
  </w:shapeDefaults>
  <w:decimalSymbol w:val=","/>
  <w:listSeparator w:val=";"/>
  <w14:defaultImageDpi w14:val="0"/>
  <w15:chartTrackingRefBased/>
  <w15:docId w15:val="{127E7EC0-5F52-4FFE-AF8C-2B279F83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D13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3C1D13"/>
    <w:pPr>
      <w:spacing w:after="0" w:line="26" w:lineRule="atLeast"/>
      <w:ind w:firstLine="720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ий текст 2 Знак"/>
    <w:link w:val="2"/>
    <w:uiPriority w:val="99"/>
    <w:locked/>
    <w:rsid w:val="003C1D13"/>
    <w:rPr>
      <w:rFonts w:cs="Times New Roman"/>
      <w:sz w:val="24"/>
      <w:lang w:val="ru-RU" w:eastAsia="ru-RU" w:bidi="ar-SA"/>
    </w:rPr>
  </w:style>
  <w:style w:type="paragraph" w:styleId="a3">
    <w:name w:val="Body Text Indent"/>
    <w:basedOn w:val="a"/>
    <w:link w:val="a4"/>
    <w:uiPriority w:val="99"/>
    <w:rsid w:val="003C1D13"/>
    <w:pPr>
      <w:spacing w:after="0" w:line="288" w:lineRule="auto"/>
      <w:ind w:firstLine="720"/>
      <w:jc w:val="both"/>
    </w:pPr>
    <w:rPr>
      <w:rFonts w:ascii="Times New Roman" w:hAnsi="Times New Roman"/>
      <w:b/>
      <w:sz w:val="28"/>
      <w:szCs w:val="20"/>
    </w:rPr>
  </w:style>
  <w:style w:type="character" w:customStyle="1" w:styleId="a4">
    <w:name w:val="Основний текст з відступом Знак"/>
    <w:link w:val="a3"/>
    <w:uiPriority w:val="99"/>
    <w:locked/>
    <w:rsid w:val="003C1D13"/>
    <w:rPr>
      <w:rFonts w:cs="Times New Roman"/>
      <w:b/>
      <w:sz w:val="28"/>
      <w:lang w:val="ru-RU" w:eastAsia="ru-RU" w:bidi="ar-SA"/>
    </w:rPr>
  </w:style>
  <w:style w:type="paragraph" w:styleId="a5">
    <w:name w:val="Body Text"/>
    <w:basedOn w:val="a"/>
    <w:link w:val="a6"/>
    <w:uiPriority w:val="99"/>
    <w:rsid w:val="003C1D13"/>
    <w:pPr>
      <w:spacing w:after="0" w:line="240" w:lineRule="auto"/>
      <w:jc w:val="both"/>
    </w:pPr>
    <w:rPr>
      <w:rFonts w:ascii="Times New Roman" w:hAnsi="Times New Roman"/>
      <w:b/>
      <w:sz w:val="28"/>
      <w:szCs w:val="20"/>
    </w:rPr>
  </w:style>
  <w:style w:type="character" w:customStyle="1" w:styleId="a6">
    <w:name w:val="Основний текст Знак"/>
    <w:link w:val="a5"/>
    <w:uiPriority w:val="99"/>
    <w:locked/>
    <w:rsid w:val="003C1D13"/>
    <w:rPr>
      <w:rFonts w:cs="Times New Roman"/>
      <w:b/>
      <w:sz w:val="28"/>
      <w:lang w:val="ru-RU" w:eastAsia="ru-RU" w:bidi="ar-SA"/>
    </w:rPr>
  </w:style>
  <w:style w:type="paragraph" w:styleId="21">
    <w:name w:val="Body Text Indent 2"/>
    <w:basedOn w:val="a"/>
    <w:link w:val="22"/>
    <w:uiPriority w:val="99"/>
    <w:rsid w:val="003C1D13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2">
    <w:name w:val="Основний текст з відступом 2 Знак"/>
    <w:link w:val="21"/>
    <w:uiPriority w:val="99"/>
    <w:locked/>
    <w:rsid w:val="003C1D13"/>
    <w:rPr>
      <w:rFonts w:cs="Times New Roman"/>
      <w:lang w:val="ru-RU" w:eastAsia="ru-RU" w:bidi="ar-SA"/>
    </w:rPr>
  </w:style>
  <w:style w:type="paragraph" w:styleId="a7">
    <w:name w:val="List Paragraph"/>
    <w:basedOn w:val="a"/>
    <w:uiPriority w:val="34"/>
    <w:qFormat/>
    <w:rsid w:val="003C1D13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3C1D13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link w:val="3"/>
    <w:uiPriority w:val="99"/>
    <w:semiHidden/>
    <w:rPr>
      <w:rFonts w:ascii="Calibri" w:hAnsi="Calibri"/>
      <w:sz w:val="16"/>
      <w:szCs w:val="16"/>
    </w:rPr>
  </w:style>
  <w:style w:type="paragraph" w:customStyle="1" w:styleId="210">
    <w:name w:val="Основной текст 21"/>
    <w:basedOn w:val="a"/>
    <w:rsid w:val="003C1D13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2420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БЕЛОРУССКИЙ ГОСУДАРСТВЕННЫЙ УНИВЕРСИТЕТ ИНФОРМАТИКИ И РАДИОЭЛЕКТРОНИКИ</vt:lpstr>
    </vt:vector>
  </TitlesOfParts>
  <Company>Company</Company>
  <LinksUpToDate>false</LinksUpToDate>
  <CharactersWithSpaces>16188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БЕЛОРУССКИЙ ГОСУДАРСТВЕННЫЙ УНИВЕРСИТЕТ ИНФОРМАТИКИ И РАДИОЭЛЕКТРОНИКИ</dc:title>
  <dc:subject/>
  <dc:creator>User</dc:creator>
  <cp:keywords/>
  <dc:description/>
  <cp:lastModifiedBy>Irina</cp:lastModifiedBy>
  <cp:revision>2</cp:revision>
  <dcterms:created xsi:type="dcterms:W3CDTF">2014-08-15T08:54:00Z</dcterms:created>
  <dcterms:modified xsi:type="dcterms:W3CDTF">2014-08-15T08:54:00Z</dcterms:modified>
</cp:coreProperties>
</file>