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31E" w:rsidRDefault="00EA031E" w:rsidP="00C87BE5">
      <w:pPr>
        <w:rPr>
          <w:rFonts w:ascii="Verdana" w:hAnsi="Verdana"/>
          <w:color w:val="000000"/>
          <w:sz w:val="18"/>
          <w:szCs w:val="18"/>
        </w:rPr>
      </w:pPr>
    </w:p>
    <w:p w:rsidR="00C87BE5" w:rsidRDefault="00C87BE5" w:rsidP="00C87BE5">
      <w:pPr>
        <w:rPr>
          <w:rFonts w:ascii="Verdana" w:hAnsi="Verdana"/>
          <w:color w:val="000000"/>
          <w:sz w:val="18"/>
          <w:szCs w:val="18"/>
        </w:rPr>
      </w:pPr>
      <w:r>
        <w:rPr>
          <w:rFonts w:ascii="Verdana" w:hAnsi="Verdana"/>
          <w:color w:val="000000"/>
          <w:sz w:val="18"/>
          <w:szCs w:val="18"/>
        </w:rPr>
        <w:br/>
      </w:r>
      <w:r>
        <w:rPr>
          <w:rStyle w:val="a3"/>
          <w:rFonts w:ascii="Verdana" w:hAnsi="Verdana"/>
          <w:sz w:val="18"/>
          <w:szCs w:val="18"/>
        </w:rPr>
        <w:t>Налоги в Испании</w:t>
      </w:r>
      <w:r>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rPr>
        <w:br/>
        <w:t xml:space="preserve">В соответствии с действующим законодательством хозяйственные общества обязаны платить следующие налоги: </w:t>
      </w:r>
    </w:p>
    <w:p w:rsidR="00C87BE5" w:rsidRDefault="00C87BE5" w:rsidP="00C87BE5">
      <w:pPr>
        <w:numPr>
          <w:ilvl w:val="0"/>
          <w:numId w:val="1"/>
        </w:numPr>
        <w:spacing w:before="150"/>
        <w:ind w:left="150" w:right="300"/>
        <w:rPr>
          <w:rFonts w:ascii="Verdana" w:hAnsi="Verdana"/>
          <w:color w:val="000000"/>
          <w:sz w:val="18"/>
          <w:szCs w:val="18"/>
        </w:rPr>
      </w:pPr>
      <w:r>
        <w:rPr>
          <w:rFonts w:ascii="Verdana" w:hAnsi="Verdana"/>
          <w:color w:val="000000"/>
          <w:sz w:val="18"/>
          <w:szCs w:val="18"/>
        </w:rPr>
        <w:t xml:space="preserve">Налог на прибыль (Налог с предприятий и организаций — IS) в размере 35%. </w:t>
      </w:r>
    </w:p>
    <w:p w:rsidR="00C87BE5" w:rsidRDefault="00C87BE5" w:rsidP="00C87BE5">
      <w:pPr>
        <w:numPr>
          <w:ilvl w:val="1"/>
          <w:numId w:val="1"/>
        </w:numPr>
        <w:spacing w:before="150"/>
        <w:ind w:left="300" w:right="600"/>
        <w:rPr>
          <w:rFonts w:ascii="Verdana" w:hAnsi="Verdana"/>
          <w:color w:val="000000"/>
          <w:sz w:val="18"/>
          <w:szCs w:val="18"/>
        </w:rPr>
      </w:pPr>
      <w:r>
        <w:rPr>
          <w:rFonts w:ascii="Verdana" w:hAnsi="Verdana"/>
          <w:color w:val="000000"/>
          <w:sz w:val="18"/>
          <w:szCs w:val="18"/>
        </w:rPr>
        <w:t xml:space="preserve">Малые предприятия с доходом менее 250 миллионов Песет в год могут применять ставку в размере 30 % в отношении части налогооблагаемой базы, составляющей от 0 до 15 миллионов Песет, к оставшейся части применяется — 35%. </w:t>
      </w:r>
      <w:r>
        <w:rPr>
          <w:rFonts w:ascii="Verdana" w:hAnsi="Verdana"/>
          <w:color w:val="000000"/>
          <w:sz w:val="18"/>
          <w:szCs w:val="18"/>
        </w:rPr>
        <w:br/>
        <w:t xml:space="preserve">Льготы для недавно созданных предприятий не предусмотрены. </w:t>
      </w:r>
    </w:p>
    <w:p w:rsidR="00C87BE5" w:rsidRDefault="00C87BE5" w:rsidP="00C87BE5">
      <w:pPr>
        <w:numPr>
          <w:ilvl w:val="0"/>
          <w:numId w:val="1"/>
        </w:numPr>
        <w:spacing w:before="150"/>
        <w:ind w:left="150" w:right="300"/>
        <w:rPr>
          <w:rFonts w:ascii="Verdana" w:hAnsi="Verdana"/>
          <w:color w:val="000000"/>
          <w:sz w:val="18"/>
          <w:szCs w:val="18"/>
        </w:rPr>
      </w:pPr>
      <w:r>
        <w:rPr>
          <w:rFonts w:ascii="Verdana" w:hAnsi="Verdana"/>
          <w:color w:val="000000"/>
          <w:sz w:val="18"/>
          <w:szCs w:val="18"/>
        </w:rPr>
        <w:t xml:space="preserve">Налог на добавленную стоимость (IVA) в размере 16 % </w:t>
      </w:r>
    </w:p>
    <w:p w:rsidR="00C87BE5" w:rsidRDefault="00C87BE5" w:rsidP="00C87BE5">
      <w:pPr>
        <w:numPr>
          <w:ilvl w:val="1"/>
          <w:numId w:val="1"/>
        </w:numPr>
        <w:spacing w:before="150"/>
        <w:ind w:left="300" w:right="600"/>
        <w:rPr>
          <w:rFonts w:ascii="Verdana" w:hAnsi="Verdana"/>
          <w:color w:val="000000"/>
          <w:sz w:val="18"/>
          <w:szCs w:val="18"/>
        </w:rPr>
      </w:pPr>
      <w:r>
        <w:rPr>
          <w:rFonts w:ascii="Verdana" w:hAnsi="Verdana"/>
          <w:color w:val="000000"/>
          <w:sz w:val="18"/>
          <w:szCs w:val="18"/>
        </w:rPr>
        <w:t xml:space="preserve">взимается с продаж всех видов движимых вещей, а также за предоставление услуг как внутри страны, так и за рубежом, и случае их использования на территории Испании. </w:t>
      </w:r>
    </w:p>
    <w:p w:rsidR="00C87BE5" w:rsidRDefault="00C87BE5" w:rsidP="00C87BE5">
      <w:pPr>
        <w:numPr>
          <w:ilvl w:val="0"/>
          <w:numId w:val="1"/>
        </w:numPr>
        <w:spacing w:before="150"/>
        <w:ind w:left="150" w:right="300"/>
        <w:rPr>
          <w:rFonts w:ascii="Verdana" w:hAnsi="Verdana"/>
          <w:color w:val="000000"/>
          <w:sz w:val="18"/>
          <w:szCs w:val="18"/>
        </w:rPr>
      </w:pPr>
      <w:r>
        <w:rPr>
          <w:rFonts w:ascii="Verdana" w:hAnsi="Verdana"/>
          <w:color w:val="000000"/>
          <w:sz w:val="18"/>
          <w:szCs w:val="18"/>
        </w:rPr>
        <w:t xml:space="preserve">Налог на недвижимое имущество (IBI) </w:t>
      </w:r>
    </w:p>
    <w:p w:rsidR="00C87BE5" w:rsidRDefault="00C87BE5" w:rsidP="00C87BE5">
      <w:pPr>
        <w:numPr>
          <w:ilvl w:val="1"/>
          <w:numId w:val="1"/>
        </w:numPr>
        <w:spacing w:before="150"/>
        <w:ind w:left="300" w:right="600"/>
        <w:rPr>
          <w:rFonts w:ascii="Verdana" w:hAnsi="Verdana"/>
          <w:color w:val="000000"/>
          <w:sz w:val="18"/>
          <w:szCs w:val="18"/>
        </w:rPr>
      </w:pPr>
      <w:r>
        <w:rPr>
          <w:rFonts w:ascii="Verdana" w:hAnsi="Verdana"/>
          <w:color w:val="000000"/>
          <w:sz w:val="18"/>
          <w:szCs w:val="18"/>
        </w:rPr>
        <w:t xml:space="preserve">взимается ежегодно с собственников имущества, а так же с лиц, обладающих вещными правами в отношении объектов данного вида имущества, в размере 0,3 % — 0,4 % от стоимости (в соответствии с Кадастром) недвижимого имущества. </w:t>
      </w:r>
    </w:p>
    <w:p w:rsidR="00C87BE5" w:rsidRDefault="00C87BE5" w:rsidP="00C87BE5">
      <w:pPr>
        <w:numPr>
          <w:ilvl w:val="0"/>
          <w:numId w:val="1"/>
        </w:numPr>
        <w:spacing w:before="150"/>
        <w:ind w:left="150" w:right="300"/>
        <w:rPr>
          <w:rFonts w:ascii="Verdana" w:hAnsi="Verdana"/>
          <w:color w:val="000000"/>
          <w:sz w:val="18"/>
          <w:szCs w:val="18"/>
        </w:rPr>
      </w:pPr>
      <w:r>
        <w:rPr>
          <w:rFonts w:ascii="Verdana" w:hAnsi="Verdana"/>
          <w:color w:val="000000"/>
          <w:sz w:val="18"/>
          <w:szCs w:val="18"/>
        </w:rPr>
        <w:t xml:space="preserve">Налог на экономическую деятельность (IAE) </w:t>
      </w:r>
    </w:p>
    <w:p w:rsidR="00C87BE5" w:rsidRDefault="00C87BE5" w:rsidP="00C87BE5">
      <w:pPr>
        <w:numPr>
          <w:ilvl w:val="1"/>
          <w:numId w:val="1"/>
        </w:numPr>
        <w:spacing w:before="150"/>
        <w:ind w:left="300" w:right="600"/>
        <w:rPr>
          <w:rFonts w:ascii="Verdana" w:hAnsi="Verdana"/>
          <w:color w:val="000000"/>
          <w:sz w:val="18"/>
          <w:szCs w:val="18"/>
        </w:rPr>
      </w:pPr>
      <w:r>
        <w:rPr>
          <w:rFonts w:ascii="Verdana" w:hAnsi="Verdana"/>
          <w:color w:val="000000"/>
          <w:sz w:val="18"/>
          <w:szCs w:val="18"/>
        </w:rPr>
        <w:t xml:space="preserve">взимается ежегодно в зависимости от вида профессиональной деятельности. </w:t>
      </w:r>
    </w:p>
    <w:p w:rsidR="00C87BE5" w:rsidRDefault="00C87BE5" w:rsidP="00C87BE5">
      <w:pPr>
        <w:numPr>
          <w:ilvl w:val="0"/>
          <w:numId w:val="1"/>
        </w:numPr>
        <w:spacing w:before="150"/>
        <w:ind w:left="150" w:right="300"/>
        <w:rPr>
          <w:rFonts w:ascii="Verdana" w:hAnsi="Verdana"/>
          <w:color w:val="000000"/>
          <w:sz w:val="18"/>
          <w:szCs w:val="18"/>
        </w:rPr>
      </w:pPr>
      <w:r>
        <w:rPr>
          <w:rFonts w:ascii="Verdana" w:hAnsi="Verdana"/>
          <w:color w:val="000000"/>
          <w:sz w:val="18"/>
          <w:szCs w:val="18"/>
        </w:rPr>
        <w:t xml:space="preserve">Налог с продаж ценного имущества и правового оформления документов. </w:t>
      </w:r>
    </w:p>
    <w:p w:rsidR="00C87BE5" w:rsidRDefault="00C87BE5" w:rsidP="00C87BE5">
      <w:pPr>
        <w:numPr>
          <w:ilvl w:val="1"/>
          <w:numId w:val="1"/>
        </w:numPr>
        <w:spacing w:before="150"/>
        <w:ind w:left="300" w:right="600"/>
        <w:rPr>
          <w:rFonts w:ascii="Verdana" w:hAnsi="Verdana"/>
          <w:color w:val="000000"/>
          <w:sz w:val="18"/>
          <w:szCs w:val="18"/>
        </w:rPr>
      </w:pPr>
      <w:r>
        <w:rPr>
          <w:rFonts w:ascii="Verdana" w:hAnsi="Verdana"/>
          <w:color w:val="000000"/>
          <w:sz w:val="18"/>
          <w:szCs w:val="18"/>
        </w:rPr>
        <w:t xml:space="preserve">Продажа недвижимого имущества облагается в размере 7 % от его стоимости; движимого имущества в размере 4 %. Операции связанные с учредительными и иными документами в размере 1 %. </w:t>
      </w:r>
    </w:p>
    <w:p w:rsidR="00C87BE5" w:rsidRDefault="00C87BE5" w:rsidP="00C87BE5">
      <w:pPr>
        <w:numPr>
          <w:ilvl w:val="0"/>
          <w:numId w:val="1"/>
        </w:numPr>
        <w:spacing w:before="150"/>
        <w:ind w:left="150" w:right="300"/>
        <w:rPr>
          <w:rFonts w:ascii="Verdana" w:hAnsi="Verdana"/>
          <w:color w:val="000000"/>
          <w:sz w:val="18"/>
          <w:szCs w:val="18"/>
        </w:rPr>
      </w:pPr>
      <w:r>
        <w:rPr>
          <w:rFonts w:ascii="Verdana" w:hAnsi="Verdana"/>
          <w:color w:val="000000"/>
          <w:sz w:val="18"/>
          <w:szCs w:val="18"/>
        </w:rPr>
        <w:t xml:space="preserve">Подоходный налог с физических лиц (IRPF). </w:t>
      </w:r>
    </w:p>
    <w:p w:rsidR="00C87BE5" w:rsidRDefault="00C87BE5" w:rsidP="00C87BE5">
      <w:pPr>
        <w:numPr>
          <w:ilvl w:val="1"/>
          <w:numId w:val="1"/>
        </w:numPr>
        <w:spacing w:before="150"/>
        <w:ind w:left="300" w:right="600"/>
        <w:rPr>
          <w:rFonts w:ascii="Verdana" w:hAnsi="Verdana"/>
          <w:color w:val="000000"/>
          <w:sz w:val="18"/>
          <w:szCs w:val="18"/>
        </w:rPr>
      </w:pPr>
      <w:r>
        <w:rPr>
          <w:rFonts w:ascii="Verdana" w:hAnsi="Verdana"/>
          <w:color w:val="000000"/>
          <w:sz w:val="18"/>
          <w:szCs w:val="18"/>
        </w:rPr>
        <w:t xml:space="preserve">Уплачивается у источника выплаты по ставке от 18 % до 48 % в зависимости от размера получаемых доходов. </w:t>
      </w:r>
    </w:p>
    <w:p w:rsidR="00C87BE5" w:rsidRDefault="00C87BE5" w:rsidP="00C87BE5">
      <w:pPr>
        <w:rPr>
          <w:rFonts w:ascii="Verdana" w:hAnsi="Verdana"/>
          <w:color w:val="000000"/>
          <w:sz w:val="18"/>
          <w:szCs w:val="18"/>
        </w:rPr>
      </w:pPr>
      <w:r>
        <w:rPr>
          <w:rFonts w:ascii="Verdana" w:hAnsi="Verdana"/>
          <w:color w:val="000000"/>
          <w:sz w:val="18"/>
          <w:szCs w:val="18"/>
        </w:rPr>
        <w:br/>
      </w:r>
      <w:r>
        <w:rPr>
          <w:rStyle w:val="a3"/>
          <w:rFonts w:ascii="Verdana" w:hAnsi="Verdana"/>
          <w:sz w:val="18"/>
          <w:szCs w:val="18"/>
        </w:rPr>
        <w:t>Налоговые льготы</w:t>
      </w:r>
      <w:r>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rPr>
        <w:br/>
        <w:t xml:space="preserve">Хозяйствующим субъектам предоставляется возможность уменьшить размер суммы, взыскиваемой в форме налога на прибыль, в целях стимуляции деятельности в следующих областях: </w:t>
      </w:r>
    </w:p>
    <w:p w:rsidR="00C87BE5" w:rsidRDefault="00C87BE5" w:rsidP="00C87BE5">
      <w:pPr>
        <w:numPr>
          <w:ilvl w:val="0"/>
          <w:numId w:val="2"/>
        </w:numPr>
        <w:spacing w:before="150"/>
        <w:ind w:left="150" w:right="300"/>
        <w:rPr>
          <w:rFonts w:ascii="Verdana" w:hAnsi="Verdana"/>
          <w:color w:val="000000"/>
          <w:sz w:val="18"/>
          <w:szCs w:val="18"/>
        </w:rPr>
      </w:pPr>
      <w:r>
        <w:rPr>
          <w:rFonts w:ascii="Verdana" w:hAnsi="Verdana"/>
          <w:color w:val="000000"/>
          <w:sz w:val="18"/>
          <w:szCs w:val="18"/>
        </w:rPr>
        <w:t xml:space="preserve">исследований и развития (20 %-40 %); </w:t>
      </w:r>
    </w:p>
    <w:p w:rsidR="00C87BE5" w:rsidRDefault="00C87BE5" w:rsidP="00C87BE5">
      <w:pPr>
        <w:numPr>
          <w:ilvl w:val="0"/>
          <w:numId w:val="2"/>
        </w:numPr>
        <w:spacing w:before="150"/>
        <w:ind w:left="150" w:right="300"/>
        <w:rPr>
          <w:rFonts w:ascii="Verdana" w:hAnsi="Verdana"/>
          <w:color w:val="000000"/>
          <w:sz w:val="18"/>
          <w:szCs w:val="18"/>
        </w:rPr>
      </w:pPr>
      <w:r>
        <w:rPr>
          <w:rFonts w:ascii="Verdana" w:hAnsi="Verdana"/>
          <w:color w:val="000000"/>
          <w:sz w:val="18"/>
          <w:szCs w:val="18"/>
        </w:rPr>
        <w:t xml:space="preserve">экспорта (25 %); </w:t>
      </w:r>
    </w:p>
    <w:p w:rsidR="00C87BE5" w:rsidRDefault="00C87BE5" w:rsidP="00C87BE5">
      <w:pPr>
        <w:numPr>
          <w:ilvl w:val="0"/>
          <w:numId w:val="2"/>
        </w:numPr>
        <w:spacing w:before="150"/>
        <w:ind w:left="150" w:right="300"/>
        <w:rPr>
          <w:rFonts w:ascii="Verdana" w:hAnsi="Verdana"/>
          <w:color w:val="000000"/>
          <w:sz w:val="18"/>
          <w:szCs w:val="18"/>
        </w:rPr>
      </w:pPr>
      <w:r>
        <w:rPr>
          <w:rFonts w:ascii="Verdana" w:hAnsi="Verdana"/>
          <w:color w:val="000000"/>
          <w:sz w:val="18"/>
          <w:szCs w:val="18"/>
        </w:rPr>
        <w:t xml:space="preserve">инвестиций в культуру, кинематограф и издательство книг (20 %-5 %); </w:t>
      </w:r>
    </w:p>
    <w:p w:rsidR="00C87BE5" w:rsidRDefault="00C87BE5" w:rsidP="00C87BE5">
      <w:pPr>
        <w:numPr>
          <w:ilvl w:val="0"/>
          <w:numId w:val="2"/>
        </w:numPr>
        <w:spacing w:before="150"/>
        <w:ind w:left="150" w:right="300"/>
        <w:rPr>
          <w:rFonts w:ascii="Verdana" w:hAnsi="Verdana"/>
          <w:color w:val="000000"/>
          <w:sz w:val="18"/>
          <w:szCs w:val="18"/>
        </w:rPr>
      </w:pPr>
      <w:r>
        <w:rPr>
          <w:rFonts w:ascii="Verdana" w:hAnsi="Verdana"/>
          <w:color w:val="000000"/>
          <w:sz w:val="18"/>
          <w:szCs w:val="18"/>
        </w:rPr>
        <w:t xml:space="preserve">инвестиций в основные средства в целях защиты окружающей среды (10 %); </w:t>
      </w:r>
    </w:p>
    <w:p w:rsidR="00C87BE5" w:rsidRDefault="00C87BE5" w:rsidP="00C87BE5">
      <w:pPr>
        <w:numPr>
          <w:ilvl w:val="0"/>
          <w:numId w:val="2"/>
        </w:numPr>
        <w:spacing w:before="150"/>
        <w:ind w:left="150" w:right="300"/>
        <w:rPr>
          <w:rFonts w:ascii="Verdana" w:hAnsi="Verdana"/>
          <w:color w:val="000000"/>
          <w:sz w:val="18"/>
          <w:szCs w:val="18"/>
        </w:rPr>
      </w:pPr>
      <w:r>
        <w:rPr>
          <w:rFonts w:ascii="Verdana" w:hAnsi="Verdana"/>
          <w:color w:val="000000"/>
          <w:sz w:val="18"/>
          <w:szCs w:val="18"/>
        </w:rPr>
        <w:t xml:space="preserve">профессионального образования (5 %-10 %); </w:t>
      </w:r>
    </w:p>
    <w:p w:rsidR="00C87BE5" w:rsidRDefault="00C87BE5" w:rsidP="00C87BE5">
      <w:pPr>
        <w:numPr>
          <w:ilvl w:val="0"/>
          <w:numId w:val="2"/>
        </w:numPr>
        <w:spacing w:before="150"/>
        <w:ind w:left="150" w:right="300"/>
        <w:rPr>
          <w:rFonts w:ascii="Verdana" w:hAnsi="Verdana"/>
          <w:color w:val="000000"/>
          <w:sz w:val="18"/>
          <w:szCs w:val="18"/>
        </w:rPr>
      </w:pPr>
      <w:r>
        <w:rPr>
          <w:rFonts w:ascii="Verdana" w:hAnsi="Verdana"/>
          <w:color w:val="000000"/>
          <w:sz w:val="18"/>
          <w:szCs w:val="18"/>
        </w:rPr>
        <w:t xml:space="preserve">занятости инвалидов (800 тысяч Песет в год на человека); </w:t>
      </w:r>
    </w:p>
    <w:p w:rsidR="00C87BE5" w:rsidRDefault="00C87BE5" w:rsidP="00C87BE5">
      <w:pPr>
        <w:rPr>
          <w:rFonts w:ascii="Verdana" w:hAnsi="Verdana"/>
          <w:color w:val="000000"/>
          <w:sz w:val="18"/>
          <w:szCs w:val="18"/>
        </w:rPr>
      </w:pPr>
      <w:r>
        <w:rPr>
          <w:rFonts w:ascii="Verdana" w:hAnsi="Verdana"/>
          <w:color w:val="000000"/>
          <w:sz w:val="18"/>
          <w:szCs w:val="18"/>
        </w:rPr>
        <w:t xml:space="preserve">Общая сумма применяемых льгот не может превышать 35 %. </w:t>
      </w:r>
      <w:r>
        <w:rPr>
          <w:rFonts w:ascii="Verdana" w:hAnsi="Verdana"/>
          <w:color w:val="000000"/>
          <w:sz w:val="18"/>
          <w:szCs w:val="18"/>
        </w:rPr>
        <w:br/>
      </w:r>
      <w:r>
        <w:rPr>
          <w:rFonts w:ascii="Verdana" w:hAnsi="Verdana"/>
          <w:color w:val="000000"/>
          <w:sz w:val="18"/>
          <w:szCs w:val="18"/>
        </w:rPr>
        <w:br/>
        <w:t xml:space="preserve">Льготы в связи с двойным налогообложением, в случае если доходы организации включают поступления от деятельности за пределами Испании, облагаемые налогом в месте их получения, заключается в возможности вычесть из суммы, удерживаемой в виде налога с организаций и предприятий, меньшую из следующих: </w:t>
      </w:r>
    </w:p>
    <w:p w:rsidR="00C87BE5" w:rsidRDefault="00C87BE5" w:rsidP="00C87BE5">
      <w:pPr>
        <w:numPr>
          <w:ilvl w:val="0"/>
          <w:numId w:val="3"/>
        </w:numPr>
        <w:spacing w:before="150"/>
        <w:ind w:left="150" w:right="300"/>
        <w:rPr>
          <w:rFonts w:ascii="Verdana" w:hAnsi="Verdana"/>
          <w:color w:val="000000"/>
          <w:sz w:val="18"/>
          <w:szCs w:val="18"/>
        </w:rPr>
      </w:pPr>
      <w:r>
        <w:rPr>
          <w:rFonts w:ascii="Verdana" w:hAnsi="Verdana"/>
          <w:color w:val="000000"/>
          <w:sz w:val="18"/>
          <w:szCs w:val="18"/>
        </w:rPr>
        <w:t xml:space="preserve">сумма уплаченного налога того же вида за пределами Испании; </w:t>
      </w:r>
    </w:p>
    <w:p w:rsidR="00C87BE5" w:rsidRDefault="00C87BE5" w:rsidP="00C87BE5">
      <w:pPr>
        <w:numPr>
          <w:ilvl w:val="0"/>
          <w:numId w:val="3"/>
        </w:numPr>
        <w:spacing w:before="150"/>
        <w:ind w:left="150" w:right="300"/>
        <w:rPr>
          <w:rFonts w:ascii="Verdana" w:hAnsi="Verdana"/>
          <w:color w:val="000000"/>
          <w:sz w:val="18"/>
          <w:szCs w:val="18"/>
        </w:rPr>
      </w:pPr>
      <w:r>
        <w:rPr>
          <w:rFonts w:ascii="Verdana" w:hAnsi="Verdana"/>
          <w:color w:val="000000"/>
          <w:sz w:val="18"/>
          <w:szCs w:val="18"/>
        </w:rPr>
        <w:t xml:space="preserve">сумма, которая была бы выплачена, если бы доходы поступили на территории Испании. </w:t>
      </w:r>
    </w:p>
    <w:p w:rsidR="00C87BE5" w:rsidRDefault="00C87BE5" w:rsidP="00C87BE5">
      <w:pPr>
        <w:rPr>
          <w:rFonts w:ascii="Verdana" w:hAnsi="Verdana"/>
          <w:color w:val="000000"/>
          <w:sz w:val="18"/>
          <w:szCs w:val="18"/>
          <w:lang w:val="en-US"/>
        </w:rPr>
      </w:pPr>
      <w:r>
        <w:rPr>
          <w:rFonts w:ascii="Verdana" w:hAnsi="Verdana"/>
          <w:color w:val="000000"/>
          <w:sz w:val="18"/>
          <w:szCs w:val="18"/>
        </w:rPr>
        <w:t xml:space="preserve">В случае если организация получает доходы от нескольких типов деятельности, льготы применяется к общей сумме доходов, полученных на территории одной страны, в свою очередь доходы от деятельности филиалов исчисляются по отдельности. </w:t>
      </w:r>
      <w:r>
        <w:rPr>
          <w:rFonts w:ascii="Verdana" w:hAnsi="Verdana"/>
          <w:color w:val="000000"/>
          <w:sz w:val="18"/>
          <w:szCs w:val="18"/>
        </w:rPr>
        <w:br/>
      </w:r>
      <w:r>
        <w:rPr>
          <w:rFonts w:ascii="Verdana" w:hAnsi="Verdana"/>
          <w:color w:val="000000"/>
          <w:sz w:val="18"/>
          <w:szCs w:val="18"/>
        </w:rPr>
        <w:br/>
        <w:t xml:space="preserve">Порядок налогообложения доходов организаций нерезидентов Испании может быть изменен применением норм международных соглашений и конвенций. Если предприятие является резидентом страны участницы Конвенции об избежании двойного налогообложения и получает доходы на территории Испании, следует учитывать нормы Конвенции в целях корректного налогообложения последнего.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Style w:val="a3"/>
          <w:rFonts w:ascii="Verdana" w:hAnsi="Verdana"/>
          <w:sz w:val="18"/>
          <w:szCs w:val="18"/>
        </w:rPr>
        <w:t>О ратификации Конвенции между Правительством Российской Федерации и Правительством Королевства Испания «Об избежании двойного налогообложения и предотвращении уклонения от уплаты налогов в отношении налогов на доходы и капитал».</w:t>
      </w:r>
      <w:r>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rPr>
        <w:br/>
        <w:t xml:space="preserve">Конвенции между Правительством Российской Федерации и Правительством Королевства Испания об избежании двойного налогообложения и предотвращении уклонения от уплаты налогов в отношении налогов на доходы и капитал была подписана в г.Мадриде 16 декабря 1998 года. Она заменила собой Конвенцию между Правительством СССР и Правительством Королевства Испания об избежании двойного налогообложения доходов и имущества от 1 марта 1985 года. </w:t>
      </w:r>
      <w:r>
        <w:rPr>
          <w:rFonts w:ascii="Verdana" w:hAnsi="Verdana"/>
          <w:color w:val="000000"/>
          <w:sz w:val="18"/>
          <w:szCs w:val="18"/>
        </w:rPr>
        <w:br/>
      </w:r>
      <w:r>
        <w:rPr>
          <w:rFonts w:ascii="Verdana" w:hAnsi="Verdana"/>
          <w:color w:val="000000"/>
          <w:sz w:val="18"/>
          <w:szCs w:val="18"/>
        </w:rPr>
        <w:br/>
        <w:t xml:space="preserve">Необходимость пересмотра ранее действовавшей Конвенции была вызвана изменившимися условиями хозяйствования в Российской Федерации, переходом к рыночным принципам в экономике, а также введением принципиально новой системы налогов в России и изменениями налогового законодательства в Испании. </w:t>
      </w:r>
      <w:r>
        <w:rPr>
          <w:rFonts w:ascii="Verdana" w:hAnsi="Verdana"/>
          <w:color w:val="000000"/>
          <w:sz w:val="18"/>
          <w:szCs w:val="18"/>
        </w:rPr>
        <w:br/>
      </w:r>
      <w:r>
        <w:rPr>
          <w:rFonts w:ascii="Verdana" w:hAnsi="Verdana"/>
          <w:color w:val="000000"/>
          <w:sz w:val="18"/>
          <w:szCs w:val="18"/>
        </w:rPr>
        <w:br/>
        <w:t xml:space="preserve">Целью вышеуказанной Конвенции является обеспечение условий, при которых юридические и физические лица каждого из договаривающихся государств не будут дважды уплачивать налоги с одного и того же вида дохода или капитала в своей стране и стране-партнере. </w:t>
      </w:r>
      <w:r>
        <w:rPr>
          <w:rFonts w:ascii="Verdana" w:hAnsi="Verdana"/>
          <w:color w:val="000000"/>
          <w:sz w:val="18"/>
          <w:szCs w:val="18"/>
        </w:rPr>
        <w:br/>
      </w:r>
      <w:r>
        <w:rPr>
          <w:rFonts w:ascii="Verdana" w:hAnsi="Verdana"/>
          <w:color w:val="000000"/>
          <w:sz w:val="18"/>
          <w:szCs w:val="18"/>
        </w:rPr>
        <w:br/>
        <w:t xml:space="preserve">Решение этого вопроса позволяет на взаимовыгодных началах привлечь в каждое из договаривающихся государств иностранные инвестиции и обеспечить условия для устранения двойного налогообложения предприятий, организаций и граждан. </w:t>
      </w:r>
      <w:r>
        <w:rPr>
          <w:rFonts w:ascii="Verdana" w:hAnsi="Verdana"/>
          <w:color w:val="000000"/>
          <w:sz w:val="18"/>
          <w:szCs w:val="18"/>
        </w:rPr>
        <w:br/>
      </w:r>
      <w:r>
        <w:rPr>
          <w:rFonts w:ascii="Verdana" w:hAnsi="Verdana"/>
          <w:color w:val="000000"/>
          <w:sz w:val="18"/>
          <w:szCs w:val="18"/>
        </w:rPr>
        <w:br/>
        <w:t xml:space="preserve">Конвенция распространяется на налоги, доходы и капитал юридических и физических лиц, имеющих постоянное местопребывание или постоянное место жительства в Российской Федерации или Испании. </w:t>
      </w:r>
      <w:r>
        <w:rPr>
          <w:rFonts w:ascii="Verdana" w:hAnsi="Verdana"/>
          <w:color w:val="000000"/>
          <w:sz w:val="18"/>
          <w:szCs w:val="18"/>
        </w:rPr>
        <w:br/>
      </w:r>
      <w:r>
        <w:rPr>
          <w:rFonts w:ascii="Verdana" w:hAnsi="Verdana"/>
          <w:color w:val="000000"/>
          <w:sz w:val="18"/>
          <w:szCs w:val="18"/>
        </w:rPr>
        <w:br/>
        <w:t xml:space="preserve">Конвенция предусматривает, что «налогообложение доходов (прибыли) от предпринимательской деятельности лица одного договаривающегося государства в другом договаривающемся государстве производится, если такое лицо осуществляет деятельность в этом другом государстве через постоянное представительство». При этом в отношении строительно-монтажных работ установлено, что получаемая от этой деятельности прибыль будет облагаться налогом, если продолжительность таких работ превышает 12 месяцев. </w:t>
      </w:r>
      <w:r>
        <w:rPr>
          <w:rFonts w:ascii="Verdana" w:hAnsi="Verdana"/>
          <w:color w:val="000000"/>
          <w:sz w:val="18"/>
          <w:szCs w:val="18"/>
        </w:rPr>
        <w:br/>
      </w:r>
      <w:r>
        <w:rPr>
          <w:rFonts w:ascii="Verdana" w:hAnsi="Verdana"/>
          <w:color w:val="000000"/>
          <w:sz w:val="18"/>
          <w:szCs w:val="18"/>
        </w:rPr>
        <w:br/>
        <w:t xml:space="preserve">Доходы от использования имущества и само имущество облагаются налогами в том государстве, где такое имущество фактически находится. </w:t>
      </w:r>
      <w:r>
        <w:rPr>
          <w:rFonts w:ascii="Verdana" w:hAnsi="Verdana"/>
          <w:color w:val="000000"/>
          <w:sz w:val="18"/>
          <w:szCs w:val="18"/>
        </w:rPr>
        <w:br/>
      </w:r>
      <w:r>
        <w:rPr>
          <w:rFonts w:ascii="Verdana" w:hAnsi="Verdana"/>
          <w:color w:val="000000"/>
          <w:sz w:val="18"/>
          <w:szCs w:val="18"/>
        </w:rPr>
        <w:br/>
        <w:t xml:space="preserve">Исключение сделано в отношении морских и воздушных судов, эксплуатируемых в международных перевозках. </w:t>
      </w:r>
      <w:r>
        <w:rPr>
          <w:rFonts w:ascii="Verdana" w:hAnsi="Verdana"/>
          <w:color w:val="000000"/>
          <w:sz w:val="18"/>
          <w:szCs w:val="18"/>
        </w:rPr>
        <w:br/>
      </w:r>
      <w:r>
        <w:rPr>
          <w:rFonts w:ascii="Verdana" w:hAnsi="Verdana"/>
          <w:color w:val="000000"/>
          <w:sz w:val="18"/>
          <w:szCs w:val="18"/>
        </w:rPr>
        <w:br/>
        <w:t xml:space="preserve">Доходы от отчуждения таких транспортных средств, полученные предприятием договаривающегося государства, подлежат налогообложению в этом государстве. </w:t>
      </w:r>
      <w:r>
        <w:rPr>
          <w:rFonts w:ascii="Verdana" w:hAnsi="Verdana"/>
          <w:color w:val="000000"/>
          <w:sz w:val="18"/>
          <w:szCs w:val="18"/>
        </w:rPr>
        <w:br/>
      </w:r>
      <w:r>
        <w:rPr>
          <w:rFonts w:ascii="Verdana" w:hAnsi="Verdana"/>
          <w:color w:val="000000"/>
          <w:sz w:val="18"/>
          <w:szCs w:val="18"/>
        </w:rPr>
        <w:br/>
        <w:t xml:space="preserve">Конвенция предусматривает режим налогообложения доходов физических лиц аналогичный принятому в международной практике. Физическое лицо уплачивает налоги со всех своих доходов в той стране, в которой оно находится свыше 183 дней в течение соответствующего календарного года. </w:t>
      </w:r>
      <w:r>
        <w:rPr>
          <w:rFonts w:ascii="Verdana" w:hAnsi="Verdana"/>
          <w:color w:val="000000"/>
          <w:sz w:val="18"/>
          <w:szCs w:val="18"/>
        </w:rPr>
        <w:br/>
      </w:r>
      <w:r>
        <w:rPr>
          <w:rFonts w:ascii="Verdana" w:hAnsi="Verdana"/>
          <w:color w:val="000000"/>
          <w:sz w:val="18"/>
          <w:szCs w:val="18"/>
        </w:rPr>
        <w:br/>
        <w:t xml:space="preserve">Исключение с учетом международной практики сделано для членов экипажей транспортных средств, артистов, спортсменов, государственных служащих, пенсионеров, студентов, стажеров. </w:t>
      </w:r>
      <w:r>
        <w:rPr>
          <w:rFonts w:ascii="Verdana" w:hAnsi="Verdana"/>
          <w:color w:val="000000"/>
          <w:sz w:val="18"/>
          <w:szCs w:val="18"/>
        </w:rPr>
        <w:br/>
      </w:r>
      <w:r>
        <w:rPr>
          <w:rFonts w:ascii="Verdana" w:hAnsi="Verdana"/>
          <w:color w:val="000000"/>
          <w:sz w:val="18"/>
          <w:szCs w:val="18"/>
        </w:rPr>
        <w:br/>
        <w:t xml:space="preserve">Конвенция гарантирует недопущение налоговой дискриминации, регулирует процедуру рассмотрения обращений (заявлений) налогоплательщиков и разрешения споров, а также вопросы обмена информацией между компетентными органами договаривающихся государств, определяет методы устранения двойного налогообложения. </w:t>
      </w:r>
      <w:r>
        <w:rPr>
          <w:rFonts w:ascii="Verdana" w:hAnsi="Verdana"/>
          <w:color w:val="000000"/>
          <w:sz w:val="18"/>
          <w:szCs w:val="18"/>
        </w:rPr>
        <w:br/>
      </w:r>
      <w:r>
        <w:rPr>
          <w:rFonts w:ascii="Verdana" w:hAnsi="Verdana"/>
          <w:color w:val="000000"/>
          <w:sz w:val="18"/>
          <w:szCs w:val="18"/>
        </w:rPr>
        <w:br/>
        <w:t xml:space="preserve">В соответствии с Федеральным законом «О международных договорах Российской Федерации» Конвенция подлежит ратификации и вступает в силу с даты последнего из уведомлений о выполнении необходимых в связи с этим процедур,Положения Конвенции применяются до тех пор, пока одно из договаривающихся государств не прекратит ее действия, направив по дипломатическим каналам уведомление по крайний мере за шесть месяцев до окончания любого календарного года после истечения пяти лет с даты вступления Конвенции в силу. </w:t>
      </w:r>
      <w:r>
        <w:rPr>
          <w:rFonts w:ascii="Verdana" w:hAnsi="Verdana"/>
          <w:color w:val="000000"/>
          <w:sz w:val="18"/>
          <w:szCs w:val="18"/>
        </w:rPr>
        <w:br/>
      </w:r>
      <w:r>
        <w:rPr>
          <w:rFonts w:ascii="Verdana" w:hAnsi="Verdana"/>
          <w:color w:val="000000"/>
          <w:sz w:val="18"/>
          <w:szCs w:val="18"/>
        </w:rPr>
        <w:br/>
        <w:t xml:space="preserve">Конвенция способствует развитию торгового, культурного и научно-технического сотрудничества между Россией и Испанией, а также привлечению взаимных инвестиций. </w:t>
      </w:r>
      <w:r>
        <w:rPr>
          <w:rFonts w:ascii="Verdana" w:hAnsi="Verdana"/>
          <w:color w:val="000000"/>
          <w:sz w:val="18"/>
          <w:szCs w:val="18"/>
        </w:rPr>
        <w:br/>
      </w:r>
      <w:r>
        <w:rPr>
          <w:rFonts w:ascii="Verdana" w:hAnsi="Verdana"/>
          <w:color w:val="000000"/>
          <w:sz w:val="18"/>
          <w:szCs w:val="18"/>
        </w:rPr>
        <w:br/>
        <w:t xml:space="preserve">Доходная база российских бюджетов не сузится, т.к. некоторое уменьшение налогового бремени для испанских юридических и физических лиц в Российской Федерации будет компенсировано за счет аналогичного его увеличения в отношении прибыли и доходов, полученных российскими организациями и гражданами на территории Испании, Вместе с тем, наличие такой Конвенции позволит российским налоговым органам контролировать своевременность и полноту налоговых поступлений с доходов, полученных российскими юридическими и физическими лицами от деятельности на территории Испании. </w:t>
      </w:r>
      <w:r>
        <w:rPr>
          <w:rFonts w:ascii="Verdana" w:hAnsi="Verdana"/>
          <w:color w:val="000000"/>
          <w:sz w:val="18"/>
          <w:szCs w:val="18"/>
        </w:rPr>
        <w:br/>
      </w:r>
      <w:r>
        <w:rPr>
          <w:rFonts w:ascii="Verdana" w:hAnsi="Verdana"/>
          <w:color w:val="000000"/>
          <w:sz w:val="18"/>
          <w:szCs w:val="18"/>
        </w:rPr>
        <w:br/>
        <w:t>Получение возможности для налоговых органов обеих стран обмениваться необходимой итоговой информацией приведет к выявлению дополнительных источников поступлений в соответствующие бюджеты</w:t>
      </w:r>
    </w:p>
    <w:p w:rsidR="00680035" w:rsidRDefault="00680035" w:rsidP="00C87BE5">
      <w:pPr>
        <w:rPr>
          <w:rFonts w:ascii="Verdana" w:hAnsi="Verdana"/>
          <w:color w:val="000000"/>
          <w:sz w:val="18"/>
          <w:szCs w:val="18"/>
          <w:lang w:val="en-US"/>
        </w:rPr>
      </w:pPr>
    </w:p>
    <w:p w:rsidR="00680035" w:rsidRDefault="00680035" w:rsidP="00C87BE5">
      <w:pPr>
        <w:rPr>
          <w:rFonts w:ascii="Verdana" w:hAnsi="Verdana"/>
          <w:color w:val="000000"/>
          <w:sz w:val="18"/>
          <w:szCs w:val="18"/>
          <w:lang w:val="en-US"/>
        </w:rPr>
      </w:pPr>
    </w:p>
    <w:p w:rsidR="00680035" w:rsidRDefault="00680035" w:rsidP="00C87BE5">
      <w:pPr>
        <w:rPr>
          <w:rFonts w:ascii="Verdana" w:hAnsi="Verdana"/>
          <w:color w:val="000000"/>
          <w:sz w:val="18"/>
          <w:szCs w:val="18"/>
          <w:lang w:val="en-US"/>
        </w:rPr>
      </w:pPr>
    </w:p>
    <w:p w:rsidR="00680035" w:rsidRDefault="00680035" w:rsidP="00C87BE5">
      <w:pPr>
        <w:rPr>
          <w:rFonts w:ascii="Verdana" w:hAnsi="Verdana"/>
          <w:color w:val="000000"/>
          <w:sz w:val="18"/>
          <w:szCs w:val="18"/>
          <w:lang w:val="en-US"/>
        </w:rPr>
      </w:pPr>
    </w:p>
    <w:p w:rsidR="00680035" w:rsidRDefault="00680035" w:rsidP="00680035">
      <w:pPr>
        <w:numPr>
          <w:ilvl w:val="2"/>
          <w:numId w:val="4"/>
        </w:numPr>
        <w:rPr>
          <w:sz w:val="28"/>
        </w:rPr>
      </w:pPr>
      <w:r>
        <w:rPr>
          <w:sz w:val="28"/>
        </w:rPr>
        <w:t>Налоговая система Испании</w:t>
      </w:r>
    </w:p>
    <w:p w:rsidR="00680035" w:rsidRDefault="00680035" w:rsidP="00680035">
      <w:pPr>
        <w:rPr>
          <w:sz w:val="28"/>
        </w:rPr>
      </w:pPr>
    </w:p>
    <w:p w:rsidR="00680035" w:rsidRDefault="00680035" w:rsidP="00680035">
      <w:pPr>
        <w:pStyle w:val="a4"/>
        <w:spacing w:line="240" w:lineRule="auto"/>
      </w:pPr>
      <w:r>
        <w:t>Налоговая система Испании характеризуется следующим:</w:t>
      </w:r>
    </w:p>
    <w:p w:rsidR="00680035" w:rsidRDefault="00680035" w:rsidP="00680035">
      <w:pPr>
        <w:numPr>
          <w:ilvl w:val="0"/>
          <w:numId w:val="5"/>
        </w:numPr>
        <w:rPr>
          <w:sz w:val="28"/>
        </w:rPr>
      </w:pPr>
      <w:r>
        <w:rPr>
          <w:sz w:val="28"/>
        </w:rPr>
        <w:t>схожесть с государственным устройством России (федеральный уровень – автономные территории и провинции – местный уровень);</w:t>
      </w:r>
    </w:p>
    <w:p w:rsidR="00680035" w:rsidRDefault="00680035" w:rsidP="00680035">
      <w:pPr>
        <w:numPr>
          <w:ilvl w:val="0"/>
          <w:numId w:val="5"/>
        </w:numPr>
        <w:rPr>
          <w:sz w:val="28"/>
        </w:rPr>
      </w:pPr>
      <w:r>
        <w:rPr>
          <w:sz w:val="28"/>
        </w:rPr>
        <w:t>сопоставимость (в определенной степени) макроэкономических условий ее функционирования с российскими.</w:t>
      </w:r>
    </w:p>
    <w:p w:rsidR="00680035" w:rsidRDefault="00680035" w:rsidP="00680035">
      <w:pPr>
        <w:pStyle w:val="a4"/>
        <w:spacing w:line="240" w:lineRule="auto"/>
      </w:pPr>
      <w:r>
        <w:t>С точки зрения реализации экономической (регулирующей) функции, рассматриваемая налоговая система характеризуется следующими существенными особенностями.</w:t>
      </w:r>
    </w:p>
    <w:p w:rsidR="00680035" w:rsidRDefault="00680035" w:rsidP="00680035">
      <w:pPr>
        <w:ind w:firstLine="851"/>
        <w:rPr>
          <w:sz w:val="28"/>
        </w:rPr>
      </w:pPr>
      <w:r>
        <w:rPr>
          <w:sz w:val="28"/>
        </w:rPr>
        <w:t>Инвестиционный потенциал системы налогообложения Испании определяется предусмотренными в ней льготами за создание новых рабочих мест в виде фиксированной суммы, вычитаемой из общего объема рассчитанных в общем порядке налоговых платежей, а также поощрением инвестиций путем снижения на 5% ставки налога на прибыль. К этому следует добавить возможность применения норм ускоренной амортизации.</w:t>
      </w:r>
    </w:p>
    <w:p w:rsidR="00680035" w:rsidRDefault="00680035" w:rsidP="00680035">
      <w:pPr>
        <w:ind w:firstLine="851"/>
        <w:rPr>
          <w:sz w:val="28"/>
        </w:rPr>
      </w:pPr>
      <w:r>
        <w:rPr>
          <w:sz w:val="28"/>
        </w:rPr>
        <w:t>Региональный потенциал налоговой системы Испании следует признать достаточно высоким, поскольку она адекватно учитывает отмеченную выше специфику государственного устройства страны и обеспечивает возможность применения различных налоговых режимов для конкретных автономных территорий вплоть до права вводить собственные виды налогов и в определенных пределах регулировать размеры налоговых ставок (в первую очередь это относится к экономически слаборазвитым автономиям). Такой гибкий подход к региональному развитию налоговой системы позволяет на практике обеспечить выравнивание экономического уровня субъектов государства, не используя административно-централизованные инструменты перераспределения доходов.</w:t>
      </w:r>
    </w:p>
    <w:p w:rsidR="00680035" w:rsidRDefault="00680035" w:rsidP="00680035">
      <w:pPr>
        <w:ind w:firstLine="851"/>
        <w:rPr>
          <w:sz w:val="28"/>
        </w:rPr>
      </w:pPr>
      <w:r>
        <w:rPr>
          <w:sz w:val="28"/>
        </w:rPr>
        <w:t>Отраслевой потенциал данной налоговой системы не представляется существенным, поскольку он ограничен отдельными льготами (например, в кинопроизводстве) и санкциями (например, в игорном бизнесе) в части налога на прибыль и, таким образом, не затрагивает регулирования развития базовых отраслей экономики.</w:t>
      </w:r>
    </w:p>
    <w:p w:rsidR="00680035" w:rsidRDefault="00680035" w:rsidP="00680035">
      <w:pPr>
        <w:ind w:firstLine="851"/>
        <w:rPr>
          <w:sz w:val="28"/>
        </w:rPr>
      </w:pPr>
      <w:r>
        <w:rPr>
          <w:sz w:val="28"/>
        </w:rPr>
        <w:t>Конкурентный потенциал системы налогообложения Испании практически не представлен сколько-нибудь существенными элементами.</w:t>
      </w:r>
    </w:p>
    <w:p w:rsidR="00680035" w:rsidRDefault="00680035" w:rsidP="00680035">
      <w:pPr>
        <w:ind w:firstLine="851"/>
        <w:rPr>
          <w:sz w:val="28"/>
        </w:rPr>
      </w:pPr>
      <w:r>
        <w:rPr>
          <w:sz w:val="28"/>
        </w:rPr>
        <w:t>Реализация фискальной функции налоговой системы Испании сосредоточена в основном на двух направлениях: налогообложение доходов физических  лиц и акцизные налоги.</w:t>
      </w:r>
    </w:p>
    <w:p w:rsidR="00680035" w:rsidRDefault="00680035" w:rsidP="00680035">
      <w:pPr>
        <w:ind w:firstLine="851"/>
        <w:rPr>
          <w:sz w:val="28"/>
        </w:rPr>
      </w:pPr>
      <w:r>
        <w:rPr>
          <w:sz w:val="28"/>
        </w:rPr>
        <w:t>Население Испании обеспечивает около 40% государственных доходов через подоходный налог; причем в налогооблагаемую базу включаются не только заработная плата, доходы от предпринимательской и профессиональной деятельности и доходы от капитала, но и такие выплаты, как пособия по безработице и пенсии. При этом применяется прогрессивная шкала,  имеющая 16 размеров ставки, а вычеты из налогооблагаемой базы весьма ограничены.</w:t>
      </w:r>
    </w:p>
    <w:p w:rsidR="00680035" w:rsidRDefault="00680035" w:rsidP="00680035">
      <w:pPr>
        <w:ind w:firstLine="851"/>
        <w:rPr>
          <w:sz w:val="28"/>
        </w:rPr>
      </w:pPr>
      <w:r>
        <w:rPr>
          <w:sz w:val="28"/>
        </w:rPr>
        <w:t>Налогообложение юридических лиц в рамках данной системы позволяет сформировать около 8% государственных доходов за счет налога на прибыль, взимаемого по фиксированной ставке 35%, и налога на экономическую деятельность (аналог применяемого в Германии промыслового налога).</w:t>
      </w:r>
    </w:p>
    <w:p w:rsidR="00680035" w:rsidRDefault="00680035" w:rsidP="00680035">
      <w:pPr>
        <w:ind w:firstLine="851"/>
        <w:rPr>
          <w:sz w:val="28"/>
        </w:rPr>
      </w:pPr>
      <w:r>
        <w:rPr>
          <w:sz w:val="28"/>
        </w:rPr>
        <w:t>Налоги на собственность в рассматриваемой системе в целом находятся на среднем уровне, а их особенностью является применение налога на передачу имущества, в том числе в порядке продажи и аренды, и высокая ставка прогрессивного налога на имущество, переходящее в порядке дарения и наследования, - до 34% стоимости.</w:t>
      </w:r>
    </w:p>
    <w:p w:rsidR="00680035" w:rsidRPr="00E1608E" w:rsidRDefault="00680035" w:rsidP="00680035">
      <w:pPr>
        <w:ind w:firstLine="851"/>
        <w:rPr>
          <w:sz w:val="28"/>
        </w:rPr>
      </w:pPr>
      <w:r>
        <w:rPr>
          <w:sz w:val="28"/>
        </w:rPr>
        <w:t>Высокое значение для формирования государственных бюджетных доходов в системе налогообложения Испании имеют акцизные налоги, при этом НДС составляет приблизительно 25% поступлений, а акцизы на отдельные виды товаров и услуг – более 13%.</w:t>
      </w:r>
    </w:p>
    <w:p w:rsidR="00680035" w:rsidRPr="00680035" w:rsidRDefault="00680035" w:rsidP="00C87BE5">
      <w:bookmarkStart w:id="0" w:name="_GoBack"/>
      <w:bookmarkEnd w:id="0"/>
    </w:p>
    <w:sectPr w:rsidR="00680035" w:rsidRPr="00680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016A7725"/>
    <w:multiLevelType w:val="multilevel"/>
    <w:tmpl w:val="4E72C92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21804"/>
    <w:multiLevelType w:val="multilevel"/>
    <w:tmpl w:val="FC420A8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C2BED"/>
    <w:multiLevelType w:val="multilevel"/>
    <w:tmpl w:val="DB3C455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130"/>
        </w:tabs>
        <w:ind w:left="1130" w:hanging="705"/>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3">
    <w:nsid w:val="6A7318E0"/>
    <w:multiLevelType w:val="multilevel"/>
    <w:tmpl w:val="2306DFF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2E13F3"/>
    <w:multiLevelType w:val="singleLevel"/>
    <w:tmpl w:val="19B80516"/>
    <w:lvl w:ilvl="0">
      <w:start w:val="1"/>
      <w:numFmt w:val="decimal"/>
      <w:lvlText w:val="%1)"/>
      <w:lvlJc w:val="left"/>
      <w:pPr>
        <w:tabs>
          <w:tab w:val="num" w:pos="1211"/>
        </w:tabs>
        <w:ind w:left="1211" w:hanging="36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BE5"/>
    <w:rsid w:val="0000016A"/>
    <w:rsid w:val="00680035"/>
    <w:rsid w:val="00AB739C"/>
    <w:rsid w:val="00C87BE5"/>
    <w:rsid w:val="00DF4D5A"/>
    <w:rsid w:val="00EA0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4531CA4-0830-4463-BF01-E8F6C16D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87BE5"/>
    <w:rPr>
      <w:b/>
      <w:bCs/>
      <w:color w:val="000000"/>
    </w:rPr>
  </w:style>
  <w:style w:type="paragraph" w:styleId="a4">
    <w:name w:val="Body Text Indent"/>
    <w:basedOn w:val="a"/>
    <w:rsid w:val="00680035"/>
    <w:pPr>
      <w:spacing w:line="360" w:lineRule="auto"/>
      <w:ind w:firstLine="851"/>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10257">
      <w:bodyDiv w:val="1"/>
      <w:marLeft w:val="0"/>
      <w:marRight w:val="0"/>
      <w:marTop w:val="0"/>
      <w:marBottom w:val="0"/>
      <w:divBdr>
        <w:top w:val="none" w:sz="0" w:space="0" w:color="auto"/>
        <w:left w:val="none" w:sz="0" w:space="0" w:color="auto"/>
        <w:bottom w:val="none" w:sz="0" w:space="0" w:color="auto"/>
        <w:right w:val="none" w:sz="0" w:space="0" w:color="auto"/>
      </w:divBdr>
      <w:divsChild>
        <w:div w:id="202355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2014-05-19T15:42:00Z</dcterms:created>
  <dcterms:modified xsi:type="dcterms:W3CDTF">2014-05-19T15:42:00Z</dcterms:modified>
</cp:coreProperties>
</file>