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B8F" w:rsidRDefault="00344B02">
      <w:pPr>
        <w:pStyle w:val="10"/>
        <w:widowControl/>
        <w:jc w:val="center"/>
        <w:rPr>
          <w:rFonts w:ascii="a_Timer" w:hAnsi="a_Timer"/>
          <w:b/>
          <w:i/>
          <w:spacing w:val="2"/>
        </w:rPr>
      </w:pPr>
      <w:r>
        <w:rPr>
          <w:rFonts w:ascii="a_Timer" w:hAnsi="a_Timer"/>
          <w:b/>
          <w:i/>
          <w:noProof/>
          <w:snapToGrid/>
          <w:spacing w:val="2"/>
        </w:rPr>
        <w:pict>
          <v:rect id="_x0000_s2051" style="position:absolute;left:0;text-align:left;margin-left:0;margin-top:-22pt;width:388.55pt;height:21.6pt;z-index:251657216;mso-position-horizontal:absolute;mso-position-horizontal-relative:text;mso-position-vertical:absolute;mso-position-vertical-relative:text" o:allowincell="f" strokecolor="white"/>
        </w:pict>
      </w:r>
      <w:r>
        <w:rPr>
          <w:rFonts w:ascii="a_Timer" w:hAnsi="a_Timer"/>
          <w:b/>
          <w:i/>
          <w:noProof/>
          <w:snapToGrid/>
          <w:spacing w:val="2"/>
        </w:rPr>
        <w:pict>
          <v:line id="_x0000_s2053" style="position:absolute;left:0;text-align:left;z-index:251658240;mso-position-horizontal:absolute;mso-position-horizontal-relative:text;mso-position-vertical:absolute;mso-position-vertical-relative:text" from=".65pt,-7.6pt" to="396.65pt,-7.6pt" o:allowincell="f" strokeweight="3pt">
            <v:stroke dashstyle="1 1" linestyle="thinThin"/>
          </v:line>
        </w:pict>
      </w:r>
    </w:p>
    <w:p w:rsidR="00AE4B8F" w:rsidRDefault="00E62C60">
      <w:pPr>
        <w:pStyle w:val="ad"/>
        <w:ind w:right="715"/>
        <w:jc w:val="left"/>
        <w:rPr>
          <w:b/>
          <w:i/>
          <w:sz w:val="24"/>
          <w:u w:val="single"/>
        </w:rPr>
      </w:pPr>
      <w:r>
        <w:rPr>
          <w:b/>
          <w:i/>
          <w:sz w:val="24"/>
          <w:u w:val="single"/>
        </w:rPr>
        <w:t>Вадим ЦИРЕНЩИКОВ</w:t>
      </w:r>
    </w:p>
    <w:p w:rsidR="00AE4B8F" w:rsidRDefault="00AE4B8F">
      <w:pPr>
        <w:pStyle w:val="ad"/>
        <w:ind w:right="715"/>
        <w:rPr>
          <w:b/>
          <w:lang w:val="en-US"/>
        </w:rPr>
      </w:pPr>
    </w:p>
    <w:p w:rsidR="00AE4B8F" w:rsidRDefault="00AE4B8F">
      <w:pPr>
        <w:pStyle w:val="ad"/>
        <w:ind w:right="715"/>
        <w:rPr>
          <w:b/>
          <w:lang w:val="en-US"/>
        </w:rPr>
      </w:pPr>
    </w:p>
    <w:p w:rsidR="00AE4B8F" w:rsidRDefault="00AE4B8F">
      <w:pPr>
        <w:pStyle w:val="ad"/>
        <w:ind w:right="715"/>
        <w:rPr>
          <w:b/>
          <w:lang w:val="en-US"/>
        </w:rPr>
      </w:pPr>
    </w:p>
    <w:p w:rsidR="00AE4B8F" w:rsidRDefault="00AE4B8F">
      <w:pPr>
        <w:pStyle w:val="ad"/>
        <w:ind w:right="715"/>
        <w:rPr>
          <w:b/>
        </w:rPr>
      </w:pPr>
    </w:p>
    <w:p w:rsidR="00AE4B8F" w:rsidRDefault="00AE4B8F">
      <w:pPr>
        <w:pStyle w:val="ad"/>
        <w:ind w:right="715"/>
        <w:rPr>
          <w:b/>
        </w:rPr>
      </w:pPr>
    </w:p>
    <w:p w:rsidR="00AE4B8F" w:rsidRDefault="00E62C60">
      <w:pPr>
        <w:pStyle w:val="ad"/>
        <w:rPr>
          <w:b/>
          <w:caps/>
        </w:rPr>
      </w:pPr>
      <w:r>
        <w:rPr>
          <w:b/>
          <w:caps/>
        </w:rPr>
        <w:t xml:space="preserve">Тенденции инновационного </w:t>
      </w:r>
    </w:p>
    <w:p w:rsidR="00AE4B8F" w:rsidRDefault="00E62C60">
      <w:pPr>
        <w:pStyle w:val="ad"/>
        <w:spacing w:before="120"/>
        <w:rPr>
          <w:b/>
          <w:caps/>
        </w:rPr>
      </w:pPr>
      <w:r>
        <w:rPr>
          <w:b/>
          <w:caps/>
        </w:rPr>
        <w:t>развития Европы</w:t>
      </w:r>
    </w:p>
    <w:p w:rsidR="00AE4B8F" w:rsidRDefault="00AE4B8F">
      <w:pPr>
        <w:spacing w:line="360" w:lineRule="auto"/>
        <w:ind w:firstLine="851"/>
        <w:jc w:val="center"/>
        <w:rPr>
          <w:b/>
          <w:sz w:val="28"/>
        </w:rPr>
      </w:pPr>
    </w:p>
    <w:p w:rsidR="00AE4B8F" w:rsidRDefault="00E62C60">
      <w:pPr>
        <w:spacing w:line="260" w:lineRule="exact"/>
        <w:ind w:firstLine="340"/>
        <w:jc w:val="both"/>
        <w:rPr>
          <w:rFonts w:ascii="Times New Roman" w:hAnsi="Times New Roman"/>
          <w:sz w:val="23"/>
        </w:rPr>
      </w:pPr>
      <w:r>
        <w:rPr>
          <w:rFonts w:ascii="Times New Roman" w:hAnsi="Times New Roman"/>
          <w:sz w:val="23"/>
        </w:rPr>
        <w:t xml:space="preserve">Как и весь развитой мир, Европа, и прежде всего ЕС, оставила в прошлом, на рубеже веков, эпоху индустриализации и устремилась в постиндустриальное будущее. </w:t>
      </w:r>
    </w:p>
    <w:p w:rsidR="00AE4B8F" w:rsidRDefault="00E62C60">
      <w:pPr>
        <w:pStyle w:val="5"/>
        <w:spacing w:before="120" w:after="120" w:line="260" w:lineRule="exact"/>
        <w:rPr>
          <w:rFonts w:ascii="Times New Roman" w:hAnsi="Times New Roman"/>
        </w:rPr>
      </w:pPr>
      <w:r>
        <w:rPr>
          <w:rFonts w:ascii="Times New Roman" w:hAnsi="Times New Roman"/>
        </w:rPr>
        <w:t>О теории и понятиях</w:t>
      </w:r>
    </w:p>
    <w:p w:rsidR="00AE4B8F" w:rsidRDefault="00E62C60">
      <w:pPr>
        <w:spacing w:line="260" w:lineRule="exact"/>
        <w:ind w:firstLine="340"/>
        <w:jc w:val="both"/>
        <w:rPr>
          <w:rFonts w:ascii="Times New Roman" w:hAnsi="Times New Roman"/>
          <w:sz w:val="23"/>
          <w:lang w:val="en-US"/>
        </w:rPr>
      </w:pPr>
      <w:r>
        <w:rPr>
          <w:rFonts w:ascii="Times New Roman" w:hAnsi="Times New Roman"/>
          <w:sz w:val="23"/>
        </w:rPr>
        <w:t xml:space="preserve">Попытки объяснения наблюдаемого сегодня формирования в развитых странах нового типа экономического развития повлекли за собой введение в научный оборот целой серии понятий: инновационное развитие, новая экономика, инновационная система. Причём авторы научных и публицистических работ как у нас, так и на Западе нередко вкладывают в них разное содержание. Следствием этого являются различия в оценках хозяйственной ситуации, а порой и ошибочное представление о сути происходящего. Попробуем разобраться в том, откуда </w:t>
      </w:r>
      <w:r>
        <w:rPr>
          <w:rFonts w:ascii="Times New Roman" w:hAnsi="Times New Roman"/>
          <w:sz w:val="23"/>
          <w:lang w:val="en-US"/>
        </w:rPr>
        <w:t>“</w:t>
      </w:r>
      <w:r>
        <w:rPr>
          <w:rFonts w:ascii="Times New Roman" w:hAnsi="Times New Roman"/>
          <w:sz w:val="23"/>
        </w:rPr>
        <w:t>растут ноги</w:t>
      </w:r>
      <w:r>
        <w:rPr>
          <w:rFonts w:ascii="Times New Roman" w:hAnsi="Times New Roman"/>
          <w:sz w:val="23"/>
          <w:lang w:val="en-US"/>
        </w:rPr>
        <w:t>”</w:t>
      </w:r>
      <w:r>
        <w:rPr>
          <w:rFonts w:ascii="Times New Roman" w:hAnsi="Times New Roman"/>
          <w:sz w:val="23"/>
        </w:rPr>
        <w:t xml:space="preserve"> этих терминологических новаций.</w:t>
      </w:r>
    </w:p>
    <w:p w:rsidR="00AE4B8F" w:rsidRDefault="00E62C60">
      <w:pPr>
        <w:spacing w:line="260" w:lineRule="exact"/>
        <w:ind w:firstLine="340"/>
        <w:jc w:val="both"/>
        <w:rPr>
          <w:rFonts w:ascii="Times New Roman" w:hAnsi="Times New Roman"/>
          <w:sz w:val="23"/>
        </w:rPr>
      </w:pPr>
      <w:r>
        <w:rPr>
          <w:rFonts w:ascii="Times New Roman" w:hAnsi="Times New Roman"/>
          <w:sz w:val="23"/>
        </w:rPr>
        <w:t xml:space="preserve">Ускорение темпов НТП в последнее десятилетие сопровождается резким сокращением и модификацией инновационного цикла под воздействием кардинальных прорывов в науке и технике. Время появления и освоения на рынке нововведения, с одной стороны, существенно сокращается, а с другой – повышаются возможности вывода на рынок всё более новых продуктов. Складывается ситуация, когда новый продукт, не успев даже занять свою нишу на рынке, вытесняется очередным товаром. Этот процесс нарастает лавинообразно и имеет практически непрерывный характер, не оставляя места эволюционным формам НТП. </w:t>
      </w:r>
    </w:p>
    <w:p w:rsidR="00AE4B8F" w:rsidRDefault="00E62C60">
      <w:pPr>
        <w:spacing w:line="260" w:lineRule="exact"/>
        <w:ind w:firstLine="340"/>
        <w:jc w:val="both"/>
        <w:rPr>
          <w:rFonts w:ascii="Times New Roman" w:hAnsi="Times New Roman"/>
          <w:sz w:val="23"/>
        </w:rPr>
      </w:pPr>
      <w:r>
        <w:rPr>
          <w:rFonts w:ascii="Times New Roman" w:hAnsi="Times New Roman"/>
          <w:sz w:val="23"/>
        </w:rPr>
        <w:t xml:space="preserve">Именно характеристике нового технико-экономического уклада, формирующегося сегодня в ходе развертывания очередного, пятого длинного цикла, по Н.Д. Кондратьеву, который начался в середине – конце 90-х годов прошлого века, и призвано, по нашему мнению, служить отмеченное выше разнообразие терминов. </w:t>
      </w:r>
    </w:p>
    <w:p w:rsidR="00AE4B8F" w:rsidRDefault="00E62C60">
      <w:pPr>
        <w:spacing w:line="260" w:lineRule="exact"/>
        <w:ind w:right="-81"/>
        <w:jc w:val="both"/>
        <w:rPr>
          <w:rFonts w:ascii="Times New Roman" w:hAnsi="Times New Roman"/>
          <w:b/>
          <w:sz w:val="23"/>
        </w:rPr>
      </w:pPr>
      <w:r>
        <w:rPr>
          <w:rFonts w:ascii="Times New Roman" w:hAnsi="Times New Roman"/>
          <w:b/>
          <w:sz w:val="23"/>
        </w:rPr>
        <w:t>___________________________________________________________</w:t>
      </w:r>
    </w:p>
    <w:p w:rsidR="00AE4B8F" w:rsidRDefault="00E62C60">
      <w:pPr>
        <w:spacing w:line="260" w:lineRule="exact"/>
        <w:ind w:left="3459" w:hanging="3459"/>
        <w:jc w:val="both"/>
        <w:rPr>
          <w:rFonts w:ascii="Times New Roman" w:hAnsi="Times New Roman"/>
          <w:sz w:val="22"/>
        </w:rPr>
      </w:pPr>
      <w:r>
        <w:rPr>
          <w:rFonts w:ascii="Times New Roman" w:hAnsi="Times New Roman"/>
          <w:b/>
          <w:sz w:val="22"/>
        </w:rPr>
        <w:t xml:space="preserve">© </w:t>
      </w:r>
      <w:r>
        <w:rPr>
          <w:rFonts w:ascii="Times New Roman" w:hAnsi="Times New Roman"/>
          <w:b/>
          <w:i/>
          <w:sz w:val="22"/>
        </w:rPr>
        <w:t>Циренщиков Вадим Сергеевич</w:t>
      </w:r>
      <w:r>
        <w:rPr>
          <w:rFonts w:ascii="Times New Roman" w:hAnsi="Times New Roman"/>
          <w:b/>
          <w:sz w:val="22"/>
        </w:rPr>
        <w:t xml:space="preserve"> –</w:t>
      </w:r>
      <w:r>
        <w:rPr>
          <w:rFonts w:ascii="Times New Roman" w:hAnsi="Times New Roman"/>
          <w:sz w:val="22"/>
        </w:rPr>
        <w:t xml:space="preserve"> доктор экономических наук, главный научный сотрудник Института Европы РАН.</w:t>
      </w:r>
    </w:p>
    <w:p w:rsidR="00AE4B8F" w:rsidRDefault="00E62C60">
      <w:pPr>
        <w:spacing w:line="264" w:lineRule="exact"/>
        <w:ind w:firstLine="340"/>
        <w:jc w:val="both"/>
        <w:rPr>
          <w:rFonts w:ascii="Times New Roman" w:hAnsi="Times New Roman"/>
          <w:sz w:val="23"/>
        </w:rPr>
      </w:pPr>
      <w:r>
        <w:rPr>
          <w:rFonts w:ascii="Times New Roman" w:hAnsi="Times New Roman"/>
          <w:sz w:val="23"/>
        </w:rPr>
        <w:t xml:space="preserve">Используемые для характеристики в принципе одного и того же явления – процессов формирования нового уклада, они, однако, имеют разные источники своего появления. Термин </w:t>
      </w:r>
      <w:r>
        <w:rPr>
          <w:rFonts w:ascii="Times New Roman" w:hAnsi="Times New Roman"/>
          <w:sz w:val="23"/>
          <w:lang w:val="en-US"/>
        </w:rPr>
        <w:t>“</w:t>
      </w:r>
      <w:r>
        <w:rPr>
          <w:rFonts w:ascii="Times New Roman" w:hAnsi="Times New Roman"/>
          <w:sz w:val="23"/>
        </w:rPr>
        <w:t>новая экономика</w:t>
      </w:r>
      <w:r>
        <w:rPr>
          <w:rFonts w:ascii="Times New Roman" w:hAnsi="Times New Roman"/>
          <w:sz w:val="23"/>
          <w:lang w:val="en-US"/>
        </w:rPr>
        <w:t>”</w:t>
      </w:r>
      <w:r>
        <w:rPr>
          <w:rFonts w:ascii="Times New Roman" w:hAnsi="Times New Roman"/>
          <w:sz w:val="23"/>
        </w:rPr>
        <w:t xml:space="preserve"> можно отнести, на наш взгляд, скорее к журналистско-экономическому жаргону, применявшемуся поначалу для  толкования проявившихся в 90-е годы различных новых трудно объяснимых явлений экономического развития, прежде всего в США, которые не получили к тому времени достаточного научного обоснования</w:t>
      </w:r>
      <w:r>
        <w:rPr>
          <w:rStyle w:val="a6"/>
          <w:rFonts w:ascii="Times New Roman" w:hAnsi="Times New Roman"/>
          <w:sz w:val="23"/>
        </w:rPr>
        <w:footnoteReference w:id="1"/>
      </w:r>
      <w:r>
        <w:rPr>
          <w:rFonts w:ascii="Times New Roman" w:hAnsi="Times New Roman"/>
          <w:sz w:val="23"/>
        </w:rPr>
        <w:t xml:space="preserve">. Напротив, другие из приведённых терминов – это главным образом продукт серьёзных теоретических </w:t>
      </w:r>
      <w:r>
        <w:rPr>
          <w:rFonts w:ascii="Times New Roman" w:hAnsi="Times New Roman"/>
          <w:spacing w:val="2"/>
          <w:sz w:val="23"/>
        </w:rPr>
        <w:t>разработок таких выдающихся экономистов, как Н. Кондратьев, Й. Шумпетер, Б.</w:t>
      </w:r>
      <w:r>
        <w:rPr>
          <w:rFonts w:ascii="Times New Roman" w:hAnsi="Times New Roman"/>
          <w:sz w:val="23"/>
        </w:rPr>
        <w:t xml:space="preserve"> Лундвал, Р. Нельсон, К. Фримен, Ф. Хайек, Р. Коуз, Д. Норту, труды которых привели к созданию современных концепций инновационного развития</w:t>
      </w:r>
      <w:r>
        <w:rPr>
          <w:rStyle w:val="a6"/>
          <w:rFonts w:ascii="Times New Roman" w:hAnsi="Times New Roman"/>
          <w:sz w:val="23"/>
        </w:rPr>
        <w:footnoteReference w:id="2"/>
      </w:r>
      <w:r>
        <w:rPr>
          <w:rFonts w:ascii="Times New Roman" w:hAnsi="Times New Roman"/>
          <w:sz w:val="23"/>
        </w:rPr>
        <w:t xml:space="preserve">. В дальнейшем, однако, журналистский термин </w:t>
      </w:r>
      <w:r>
        <w:rPr>
          <w:rFonts w:ascii="Times New Roman" w:hAnsi="Times New Roman"/>
          <w:sz w:val="23"/>
          <w:lang w:val="en-US"/>
        </w:rPr>
        <w:t>“</w:t>
      </w:r>
      <w:r>
        <w:rPr>
          <w:rFonts w:ascii="Times New Roman" w:hAnsi="Times New Roman"/>
          <w:sz w:val="23"/>
        </w:rPr>
        <w:t>новая экономика</w:t>
      </w:r>
      <w:r>
        <w:rPr>
          <w:rFonts w:ascii="Times New Roman" w:hAnsi="Times New Roman"/>
          <w:sz w:val="23"/>
          <w:lang w:val="en-US"/>
        </w:rPr>
        <w:t>”</w:t>
      </w:r>
      <w:r>
        <w:rPr>
          <w:rFonts w:ascii="Times New Roman" w:hAnsi="Times New Roman"/>
          <w:sz w:val="23"/>
        </w:rPr>
        <w:t xml:space="preserve"> стал всё чаще отождествляться с концептуальными понятиями </w:t>
      </w:r>
      <w:r>
        <w:rPr>
          <w:rFonts w:ascii="Times New Roman" w:hAnsi="Times New Roman"/>
          <w:sz w:val="23"/>
          <w:lang w:val="en-US"/>
        </w:rPr>
        <w:t>“</w:t>
      </w:r>
      <w:r>
        <w:rPr>
          <w:rFonts w:ascii="Times New Roman" w:hAnsi="Times New Roman"/>
          <w:sz w:val="23"/>
        </w:rPr>
        <w:t>экономика, основанная на знаниях</w:t>
      </w:r>
      <w:r>
        <w:rPr>
          <w:rFonts w:ascii="Times New Roman" w:hAnsi="Times New Roman"/>
          <w:sz w:val="23"/>
          <w:lang w:val="en-US"/>
        </w:rPr>
        <w:t>”</w:t>
      </w:r>
      <w:r>
        <w:rPr>
          <w:rFonts w:ascii="Times New Roman" w:hAnsi="Times New Roman"/>
          <w:sz w:val="23"/>
        </w:rPr>
        <w:t xml:space="preserve">, </w:t>
      </w:r>
      <w:r>
        <w:rPr>
          <w:rFonts w:ascii="Times New Roman" w:hAnsi="Times New Roman"/>
          <w:sz w:val="23"/>
          <w:lang w:val="en-US"/>
        </w:rPr>
        <w:t>“</w:t>
      </w:r>
      <w:r>
        <w:rPr>
          <w:rFonts w:ascii="Times New Roman" w:hAnsi="Times New Roman"/>
          <w:sz w:val="23"/>
        </w:rPr>
        <w:t>инновационная экономика</w:t>
      </w:r>
      <w:r>
        <w:rPr>
          <w:rFonts w:ascii="Times New Roman" w:hAnsi="Times New Roman"/>
          <w:sz w:val="23"/>
          <w:lang w:val="en-US"/>
        </w:rPr>
        <w:t>”</w:t>
      </w:r>
      <w:r>
        <w:rPr>
          <w:rFonts w:ascii="Times New Roman" w:hAnsi="Times New Roman"/>
          <w:sz w:val="23"/>
        </w:rPr>
        <w:t xml:space="preserve">. В результате он прочно вошёл в экономический обиход и теперь считается общепринятым. </w:t>
      </w:r>
    </w:p>
    <w:p w:rsidR="00AE4B8F" w:rsidRDefault="00E62C60">
      <w:pPr>
        <w:spacing w:line="264" w:lineRule="exact"/>
        <w:ind w:firstLine="340"/>
        <w:jc w:val="both"/>
        <w:rPr>
          <w:rFonts w:ascii="Times New Roman" w:hAnsi="Times New Roman"/>
          <w:spacing w:val="2"/>
          <w:sz w:val="23"/>
        </w:rPr>
      </w:pPr>
      <w:r>
        <w:rPr>
          <w:rFonts w:ascii="Times New Roman" w:hAnsi="Times New Roman"/>
          <w:sz w:val="23"/>
        </w:rPr>
        <w:t xml:space="preserve">Тем не менее следует отдавать себе отчет в том, что в реальности, в статике ни новой экономики, ни экономики, основанной на знаниях, ни  инновационной экономики пока не существует. Эти понятия сегодня имеют лишь динамическое измерение. Они характеризуют  процесс формирования нового уклада, доминирование которого следует ожидать не ранее чем фаза расширения пройдёт </w:t>
      </w:r>
      <w:r>
        <w:rPr>
          <w:rFonts w:ascii="Times New Roman" w:hAnsi="Times New Roman"/>
          <w:spacing w:val="-2"/>
          <w:sz w:val="23"/>
        </w:rPr>
        <w:t xml:space="preserve">длинный цикл. По самым оптимистичным оценкам, на это потребуется, с учётом </w:t>
      </w:r>
      <w:r>
        <w:rPr>
          <w:rFonts w:ascii="Times New Roman" w:hAnsi="Times New Roman"/>
          <w:spacing w:val="2"/>
          <w:sz w:val="23"/>
        </w:rPr>
        <w:t>усиления тенденции к сокращению длинного цикла, ещё минимум 15–25 лет.</w:t>
      </w:r>
    </w:p>
    <w:p w:rsidR="00AE4B8F" w:rsidRDefault="00E62C60">
      <w:pPr>
        <w:spacing w:line="264" w:lineRule="exact"/>
        <w:ind w:firstLine="340"/>
        <w:jc w:val="both"/>
        <w:rPr>
          <w:rFonts w:ascii="Times New Roman" w:hAnsi="Times New Roman"/>
          <w:spacing w:val="-2"/>
          <w:sz w:val="23"/>
        </w:rPr>
      </w:pPr>
      <w:r>
        <w:rPr>
          <w:rFonts w:ascii="Times New Roman" w:hAnsi="Times New Roman"/>
          <w:sz w:val="23"/>
        </w:rPr>
        <w:t xml:space="preserve">Появление понятия </w:t>
      </w:r>
      <w:r>
        <w:rPr>
          <w:rFonts w:ascii="Times New Roman" w:hAnsi="Times New Roman"/>
          <w:sz w:val="23"/>
          <w:lang w:val="en-US"/>
        </w:rPr>
        <w:t>“</w:t>
      </w:r>
      <w:r>
        <w:rPr>
          <w:rFonts w:ascii="Times New Roman" w:hAnsi="Times New Roman"/>
          <w:sz w:val="23"/>
        </w:rPr>
        <w:t>инновационное развитие</w:t>
      </w:r>
      <w:r>
        <w:rPr>
          <w:rFonts w:ascii="Times New Roman" w:hAnsi="Times New Roman"/>
          <w:sz w:val="23"/>
          <w:lang w:val="en-US"/>
        </w:rPr>
        <w:t>”</w:t>
      </w:r>
      <w:r>
        <w:rPr>
          <w:rFonts w:ascii="Times New Roman" w:hAnsi="Times New Roman"/>
          <w:sz w:val="23"/>
        </w:rPr>
        <w:t xml:space="preserve"> и связанного с ним представления о национальных и региональных инновационных системах обусловлено разработкой упомянутыми авторами многих теоретических направлений вне рамок неоклассической концепции, рассматривающей научно-технический прогресс в качестве экзогенного (имеющего внешние причины) фактора экономического роста. В новой экономической парадигме, переход к которой совершает европейская экономика, научно-технический прогресс, а в широкой трактовке  и знания в целом выступают в качестве главных факторов её роста. Именно их производство, распределение и использование, а не освоение традиционных материальных ресурсов составляет основу инновационной экономики. Вильям Боумол, профессор Принстонского университета, например, полагает, что инновации даже заместили ценовую конкуренцию, по крайней мере в олигополистических высоко технологичных отраслях промышленности, в качестве ключевого фактора роста</w:t>
      </w:r>
      <w:r>
        <w:rPr>
          <w:rStyle w:val="a6"/>
          <w:rFonts w:ascii="Times New Roman" w:hAnsi="Times New Roman"/>
          <w:sz w:val="23"/>
        </w:rPr>
        <w:footnoteReference w:id="3"/>
      </w:r>
      <w:r>
        <w:rPr>
          <w:rFonts w:ascii="Times New Roman" w:hAnsi="Times New Roman"/>
          <w:sz w:val="23"/>
        </w:rPr>
        <w:t xml:space="preserve">. Таким образом, теперь главным приоритетом хозяйственной практики </w:t>
      </w:r>
      <w:r>
        <w:rPr>
          <w:rFonts w:ascii="Times New Roman" w:hAnsi="Times New Roman"/>
          <w:spacing w:val="-2"/>
          <w:sz w:val="23"/>
        </w:rPr>
        <w:t xml:space="preserve">становится ускоренное развитие нематериальной сферы и нематериальной среды. </w:t>
      </w:r>
    </w:p>
    <w:p w:rsidR="00AE4B8F" w:rsidRDefault="00E62C60">
      <w:pPr>
        <w:spacing w:line="260" w:lineRule="exact"/>
        <w:ind w:firstLine="340"/>
        <w:jc w:val="both"/>
        <w:rPr>
          <w:rFonts w:ascii="Times New Roman" w:hAnsi="Times New Roman"/>
          <w:sz w:val="23"/>
        </w:rPr>
      </w:pPr>
      <w:r>
        <w:rPr>
          <w:rFonts w:ascii="Times New Roman" w:hAnsi="Times New Roman"/>
          <w:sz w:val="23"/>
        </w:rPr>
        <w:t>Воспроизводство накапливаемых знаний происходит в рамках складывающейся инновационной системы, представляющей собой совокупность взаимосвязанных институциональных структур. Её можно представить в виде ядра с оболочкой. Первое состоит из субъектов инновационной деятельности – всевозможных организаций, институтов, фирм частного и государственного секторов, которые, собственно, и генерируют знания для инновационного развития. Вторая (оболочка) включает в себя комплекс институтов правового, финансового, социального и прочего обеспечения этой деятельности. Концепция такой системы разрабатывалась для национального уровня. Однако и</w:t>
      </w:r>
      <w:r>
        <w:rPr>
          <w:rFonts w:ascii="Times New Roman" w:hAnsi="Times New Roman"/>
          <w:color w:val="000000"/>
          <w:spacing w:val="5"/>
          <w:sz w:val="23"/>
        </w:rPr>
        <w:t>нтеграционные процессы в Европе</w:t>
      </w:r>
      <w:r>
        <w:rPr>
          <w:rFonts w:ascii="Times New Roman" w:hAnsi="Times New Roman"/>
          <w:color w:val="000000"/>
          <w:spacing w:val="8"/>
          <w:sz w:val="23"/>
        </w:rPr>
        <w:t xml:space="preserve"> трансформируют начавшие формироваться национальные инновационные образования в единую европейскую инновационную систему. Эта трансформация</w:t>
      </w:r>
      <w:r>
        <w:rPr>
          <w:rFonts w:ascii="Times New Roman" w:hAnsi="Times New Roman"/>
          <w:color w:val="000000"/>
          <w:spacing w:val="1"/>
          <w:sz w:val="23"/>
        </w:rPr>
        <w:t xml:space="preserve"> базируется на ряде </w:t>
      </w:r>
      <w:r>
        <w:rPr>
          <w:rFonts w:ascii="Times New Roman" w:hAnsi="Times New Roman"/>
          <w:color w:val="000000"/>
          <w:spacing w:val="-1"/>
          <w:sz w:val="23"/>
        </w:rPr>
        <w:t xml:space="preserve">концептуальных документов ЕС, разработанных в последние годы. Наиболее значимыми среди них являются доклад Комиссии ЕС </w:t>
      </w:r>
      <w:r>
        <w:rPr>
          <w:rFonts w:ascii="Times New Roman" w:hAnsi="Times New Roman"/>
          <w:color w:val="000000"/>
          <w:spacing w:val="-1"/>
          <w:sz w:val="23"/>
          <w:lang w:val="en-US"/>
        </w:rPr>
        <w:t>“</w:t>
      </w:r>
      <w:r>
        <w:rPr>
          <w:rFonts w:ascii="Times New Roman" w:hAnsi="Times New Roman"/>
          <w:color w:val="000000"/>
          <w:spacing w:val="-1"/>
          <w:sz w:val="23"/>
        </w:rPr>
        <w:t>По направлению к европейскому исследовательскому пространству</w:t>
      </w:r>
      <w:r>
        <w:rPr>
          <w:rFonts w:ascii="Times New Roman" w:hAnsi="Times New Roman"/>
          <w:color w:val="000000"/>
          <w:spacing w:val="-1"/>
          <w:sz w:val="23"/>
          <w:lang w:val="en-US"/>
        </w:rPr>
        <w:t>”</w:t>
      </w:r>
      <w:r>
        <w:rPr>
          <w:rFonts w:ascii="Times New Roman" w:hAnsi="Times New Roman"/>
          <w:color w:val="000000"/>
          <w:spacing w:val="-1"/>
          <w:sz w:val="23"/>
        </w:rPr>
        <w:t xml:space="preserve">, материалы сессий Евросовета в Лиссабоне и Барселоне, а также Шестая рамочная программа научных исследований Союза. </w:t>
      </w:r>
      <w:r>
        <w:rPr>
          <w:rFonts w:ascii="Times New Roman" w:hAnsi="Times New Roman"/>
          <w:sz w:val="23"/>
        </w:rPr>
        <w:t>И хотя практическое воплощение намеченного только начинает осуществляться, тем не менее уже сегодня многие тенденции выявляются вполне рельефно.</w:t>
      </w:r>
    </w:p>
    <w:p w:rsidR="00AE4B8F" w:rsidRDefault="00E62C60">
      <w:pPr>
        <w:pStyle w:val="1"/>
        <w:spacing w:before="120" w:after="120" w:line="260" w:lineRule="exact"/>
        <w:ind w:firstLine="0"/>
        <w:jc w:val="center"/>
        <w:rPr>
          <w:rFonts w:ascii="Times New Roman" w:hAnsi="Times New Roman"/>
          <w:i w:val="0"/>
          <w:sz w:val="23"/>
          <w:u w:val="none"/>
        </w:rPr>
      </w:pPr>
      <w:r>
        <w:rPr>
          <w:rFonts w:ascii="Times New Roman" w:hAnsi="Times New Roman"/>
          <w:i w:val="0"/>
          <w:sz w:val="23"/>
          <w:u w:val="none"/>
        </w:rPr>
        <w:t>Из Европы… в Европу</w:t>
      </w:r>
    </w:p>
    <w:p w:rsidR="00AE4B8F" w:rsidRDefault="00E62C60">
      <w:pPr>
        <w:shd w:val="clear" w:color="auto" w:fill="FFFFFF"/>
        <w:spacing w:line="260" w:lineRule="exact"/>
        <w:ind w:firstLine="340"/>
        <w:jc w:val="both"/>
        <w:rPr>
          <w:rFonts w:ascii="Times New Roman" w:hAnsi="Times New Roman"/>
          <w:color w:val="000000"/>
          <w:sz w:val="23"/>
        </w:rPr>
      </w:pPr>
      <w:r>
        <w:rPr>
          <w:rFonts w:ascii="Times New Roman" w:hAnsi="Times New Roman"/>
          <w:color w:val="000000"/>
          <w:spacing w:val="5"/>
          <w:sz w:val="23"/>
        </w:rPr>
        <w:t xml:space="preserve">Самая общая тенденция, наблюдаемая на континенте, заключается в том, что в </w:t>
      </w:r>
      <w:r>
        <w:rPr>
          <w:rFonts w:ascii="Times New Roman" w:hAnsi="Times New Roman"/>
          <w:b/>
          <w:i/>
          <w:color w:val="000000"/>
          <w:spacing w:val="5"/>
          <w:sz w:val="23"/>
        </w:rPr>
        <w:t xml:space="preserve">хозяйственной </w:t>
      </w:r>
      <w:r>
        <w:rPr>
          <w:rFonts w:ascii="Times New Roman" w:hAnsi="Times New Roman"/>
          <w:b/>
          <w:i/>
          <w:color w:val="000000"/>
          <w:sz w:val="23"/>
        </w:rPr>
        <w:t xml:space="preserve">модели европейских стран </w:t>
      </w:r>
      <w:r>
        <w:rPr>
          <w:rFonts w:ascii="Times New Roman" w:hAnsi="Times New Roman"/>
          <w:color w:val="000000"/>
          <w:spacing w:val="5"/>
          <w:sz w:val="23"/>
        </w:rPr>
        <w:t xml:space="preserve">происходит кардинальная </w:t>
      </w:r>
      <w:r>
        <w:rPr>
          <w:rFonts w:ascii="Times New Roman" w:hAnsi="Times New Roman"/>
          <w:b/>
          <w:i/>
          <w:color w:val="000000"/>
          <w:spacing w:val="5"/>
          <w:sz w:val="23"/>
        </w:rPr>
        <w:t>переориентация</w:t>
      </w:r>
      <w:r>
        <w:rPr>
          <w:rFonts w:ascii="Times New Roman" w:hAnsi="Times New Roman"/>
          <w:b/>
          <w:i/>
          <w:color w:val="000000"/>
          <w:sz w:val="23"/>
        </w:rPr>
        <w:t xml:space="preserve"> на формирование инновационной социально-ориентированной экономики</w:t>
      </w:r>
      <w:r>
        <w:rPr>
          <w:rFonts w:ascii="Times New Roman" w:hAnsi="Times New Roman"/>
          <w:b/>
          <w:color w:val="000000"/>
          <w:sz w:val="23"/>
        </w:rPr>
        <w:t xml:space="preserve"> </w:t>
      </w:r>
      <w:r>
        <w:rPr>
          <w:rFonts w:ascii="Times New Roman" w:hAnsi="Times New Roman"/>
          <w:color w:val="000000"/>
          <w:sz w:val="23"/>
        </w:rPr>
        <w:t xml:space="preserve">путём интенсивного использования </w:t>
      </w:r>
      <w:r>
        <w:rPr>
          <w:rFonts w:ascii="Times New Roman" w:hAnsi="Times New Roman"/>
          <w:color w:val="000000"/>
          <w:spacing w:val="1"/>
          <w:sz w:val="23"/>
        </w:rPr>
        <w:t xml:space="preserve">передовых научных, технологических, экономических и социальных </w:t>
      </w:r>
      <w:r>
        <w:rPr>
          <w:rFonts w:ascii="Times New Roman" w:hAnsi="Times New Roman"/>
          <w:color w:val="000000"/>
          <w:sz w:val="23"/>
        </w:rPr>
        <w:t xml:space="preserve">знаний на благо всего общества. Образно говоря, Европа индустриальная превращается в Европу инновационную. Главным инструментом решения этой </w:t>
      </w:r>
      <w:r>
        <w:rPr>
          <w:rFonts w:ascii="Times New Roman" w:hAnsi="Times New Roman"/>
          <w:color w:val="000000"/>
          <w:spacing w:val="8"/>
          <w:sz w:val="23"/>
        </w:rPr>
        <w:t xml:space="preserve">задачи становится научно-техническая политика, которая опирается на </w:t>
      </w:r>
      <w:r>
        <w:rPr>
          <w:rFonts w:ascii="Times New Roman" w:hAnsi="Times New Roman"/>
          <w:color w:val="000000"/>
          <w:spacing w:val="1"/>
          <w:sz w:val="23"/>
        </w:rPr>
        <w:t xml:space="preserve">наиболее эффективные составные компоненты общеэкономического </w:t>
      </w:r>
      <w:r>
        <w:rPr>
          <w:rFonts w:ascii="Times New Roman" w:hAnsi="Times New Roman"/>
          <w:color w:val="000000"/>
          <w:spacing w:val="-2"/>
          <w:sz w:val="23"/>
        </w:rPr>
        <w:t xml:space="preserve">регулирования – финансовые, налоговые, инвестиционные, социальные, </w:t>
      </w:r>
      <w:r>
        <w:rPr>
          <w:rFonts w:ascii="Times New Roman" w:hAnsi="Times New Roman"/>
          <w:color w:val="000000"/>
          <w:sz w:val="23"/>
        </w:rPr>
        <w:t>региональные, внешнеэкономические. Н</w:t>
      </w:r>
      <w:r>
        <w:rPr>
          <w:rFonts w:ascii="Times New Roman" w:hAnsi="Times New Roman"/>
          <w:color w:val="000000"/>
          <w:spacing w:val="-1"/>
          <w:sz w:val="23"/>
        </w:rPr>
        <w:t>ачалом её активного проявления стало углубление в регионе интеграции инновационного цикла, особенно его начал</w:t>
      </w:r>
      <w:r>
        <w:rPr>
          <w:rFonts w:ascii="Times New Roman" w:hAnsi="Times New Roman"/>
          <w:color w:val="000000"/>
          <w:sz w:val="23"/>
        </w:rPr>
        <w:t xml:space="preserve">ьной стадии – системы образования и подготовки кадров. </w:t>
      </w:r>
    </w:p>
    <w:p w:rsidR="00AE4B8F" w:rsidRDefault="00E62C60">
      <w:pPr>
        <w:shd w:val="clear" w:color="auto" w:fill="FFFFFF"/>
        <w:spacing w:before="10" w:line="260" w:lineRule="exact"/>
        <w:ind w:firstLine="340"/>
        <w:jc w:val="both"/>
        <w:rPr>
          <w:rFonts w:ascii="Times New Roman" w:hAnsi="Times New Roman"/>
          <w:sz w:val="23"/>
        </w:rPr>
      </w:pPr>
      <w:r>
        <w:rPr>
          <w:rFonts w:ascii="Times New Roman" w:hAnsi="Times New Roman"/>
          <w:b/>
          <w:i/>
          <w:color w:val="000000"/>
          <w:sz w:val="23"/>
        </w:rPr>
        <w:t>Солидная финансовая поддержка становится базой реализации концепции инновационного развития.</w:t>
      </w:r>
      <w:r>
        <w:rPr>
          <w:rFonts w:ascii="Times New Roman" w:hAnsi="Times New Roman"/>
          <w:b/>
          <w:color w:val="000000"/>
          <w:sz w:val="23"/>
        </w:rPr>
        <w:t xml:space="preserve"> </w:t>
      </w:r>
      <w:r>
        <w:rPr>
          <w:rFonts w:ascii="Times New Roman" w:hAnsi="Times New Roman"/>
          <w:color w:val="000000"/>
          <w:sz w:val="23"/>
        </w:rPr>
        <w:t xml:space="preserve">Инвестиции в </w:t>
      </w:r>
      <w:r>
        <w:rPr>
          <w:rFonts w:ascii="Times New Roman" w:hAnsi="Times New Roman"/>
          <w:color w:val="000000"/>
          <w:sz w:val="23"/>
          <w:lang w:val="en-US"/>
        </w:rPr>
        <w:t>“</w:t>
      </w:r>
      <w:r>
        <w:rPr>
          <w:rFonts w:ascii="Times New Roman" w:hAnsi="Times New Roman"/>
          <w:color w:val="000000"/>
          <w:sz w:val="23"/>
        </w:rPr>
        <w:t>знания</w:t>
      </w:r>
      <w:r>
        <w:rPr>
          <w:rFonts w:ascii="Times New Roman" w:hAnsi="Times New Roman"/>
          <w:color w:val="000000"/>
          <w:sz w:val="23"/>
          <w:lang w:val="en-US"/>
        </w:rPr>
        <w:t>”</w:t>
      </w:r>
      <w:r>
        <w:rPr>
          <w:rFonts w:ascii="Times New Roman" w:hAnsi="Times New Roman"/>
          <w:color w:val="000000"/>
          <w:sz w:val="23"/>
        </w:rPr>
        <w:t xml:space="preserve"> растут темпами, опережающими их рост в основной производственный капитал. За период с 1991 по 1998 год среднегодовые темпы увеличения этих инвестиций во всех европейских странах, за исключением Италии, демонстрировали сравнительно высокую динамику, и многие из них опережали США. Наибольшим этот показатель был в Ирландии – 10,2%, Греции – 10,1, (США – 3,9%), Швеции – 7,6, Финляндии – 6,8, Австрии – 6,3, Дании – 5,9, Португалии – 5,4%</w:t>
      </w:r>
      <w:r>
        <w:rPr>
          <w:rStyle w:val="a6"/>
          <w:rFonts w:ascii="Times New Roman" w:hAnsi="Times New Roman"/>
          <w:color w:val="000000"/>
          <w:sz w:val="23"/>
        </w:rPr>
        <w:footnoteReference w:id="4"/>
      </w:r>
      <w:r>
        <w:rPr>
          <w:rFonts w:ascii="Times New Roman" w:hAnsi="Times New Roman"/>
          <w:color w:val="000000"/>
          <w:sz w:val="23"/>
        </w:rPr>
        <w:t>.</w:t>
      </w:r>
      <w:r>
        <w:rPr>
          <w:rFonts w:ascii="Times New Roman" w:hAnsi="Times New Roman"/>
          <w:color w:val="000000"/>
          <w:sz w:val="23"/>
          <w:vertAlign w:val="superscript"/>
        </w:rPr>
        <w:t xml:space="preserve"> </w:t>
      </w:r>
    </w:p>
    <w:p w:rsidR="00AE4B8F" w:rsidRDefault="00E62C60">
      <w:pPr>
        <w:shd w:val="clear" w:color="auto" w:fill="FFFFFF"/>
        <w:spacing w:before="5" w:line="260" w:lineRule="exact"/>
        <w:ind w:firstLine="340"/>
        <w:jc w:val="both"/>
        <w:rPr>
          <w:rFonts w:ascii="Times New Roman" w:hAnsi="Times New Roman"/>
          <w:sz w:val="23"/>
        </w:rPr>
      </w:pPr>
      <w:r>
        <w:rPr>
          <w:rFonts w:ascii="Times New Roman" w:hAnsi="Times New Roman"/>
          <w:color w:val="000000"/>
          <w:sz w:val="23"/>
        </w:rPr>
        <w:t>Весьма значимой и также растущей оказывается и доля этих затрат в ВВП. Более 6,5% в Швеции (около 6,0% в США), 5,0 – в Финляндии, 4,5 – в Дании, от 4,3 до 4,0% – в Голландии, Германии, Франции, Норвегии.</w:t>
      </w:r>
    </w:p>
    <w:p w:rsidR="00AE4B8F" w:rsidRDefault="00E62C60">
      <w:pPr>
        <w:shd w:val="clear" w:color="auto" w:fill="FFFFFF"/>
        <w:spacing w:before="10" w:line="260" w:lineRule="exact"/>
        <w:ind w:firstLine="340"/>
        <w:jc w:val="both"/>
        <w:rPr>
          <w:rFonts w:ascii="Times New Roman" w:hAnsi="Times New Roman"/>
          <w:color w:val="000000"/>
          <w:sz w:val="23"/>
        </w:rPr>
      </w:pPr>
      <w:r>
        <w:rPr>
          <w:rFonts w:ascii="Times New Roman" w:hAnsi="Times New Roman"/>
          <w:color w:val="000000"/>
          <w:sz w:val="23"/>
        </w:rPr>
        <w:t xml:space="preserve">Общей тенденцией для подавляющего числа европейских стран стало </w:t>
      </w:r>
      <w:r>
        <w:rPr>
          <w:rFonts w:ascii="Times New Roman" w:hAnsi="Times New Roman"/>
          <w:i/>
          <w:color w:val="000000"/>
          <w:sz w:val="23"/>
        </w:rPr>
        <w:t>увеличение</w:t>
      </w:r>
      <w:r>
        <w:rPr>
          <w:rFonts w:ascii="Times New Roman" w:hAnsi="Times New Roman"/>
          <w:b/>
          <w:color w:val="000000"/>
          <w:sz w:val="23"/>
        </w:rPr>
        <w:t xml:space="preserve"> </w:t>
      </w:r>
      <w:r>
        <w:rPr>
          <w:rFonts w:ascii="Times New Roman" w:hAnsi="Times New Roman"/>
          <w:color w:val="000000"/>
          <w:sz w:val="23"/>
        </w:rPr>
        <w:t xml:space="preserve">со второй половины 1990-х годов </w:t>
      </w:r>
      <w:r>
        <w:rPr>
          <w:rFonts w:ascii="Times New Roman" w:hAnsi="Times New Roman"/>
          <w:i/>
          <w:color w:val="000000"/>
          <w:sz w:val="23"/>
        </w:rPr>
        <w:t>доли затрат на НИОКР в ВВП, или интенсивность затрат на исследования и разработки.</w:t>
      </w:r>
      <w:r>
        <w:rPr>
          <w:rFonts w:ascii="Times New Roman" w:hAnsi="Times New Roman"/>
          <w:b/>
          <w:color w:val="000000"/>
          <w:sz w:val="23"/>
        </w:rPr>
        <w:t xml:space="preserve"> </w:t>
      </w:r>
      <w:r>
        <w:rPr>
          <w:rFonts w:ascii="Times New Roman" w:hAnsi="Times New Roman"/>
          <w:color w:val="000000"/>
          <w:sz w:val="23"/>
        </w:rPr>
        <w:t xml:space="preserve">К 2001 году этот показатель в целом для стран </w:t>
      </w:r>
      <w:r>
        <w:rPr>
          <w:rFonts w:ascii="Times New Roman" w:hAnsi="Times New Roman"/>
          <w:sz w:val="23"/>
        </w:rPr>
        <w:t xml:space="preserve">– </w:t>
      </w:r>
      <w:r>
        <w:rPr>
          <w:rFonts w:ascii="Times New Roman" w:hAnsi="Times New Roman"/>
          <w:color w:val="000000"/>
          <w:sz w:val="23"/>
        </w:rPr>
        <w:t xml:space="preserve">членов ЕС достиг 1,9% (США – 2,7%, Япония – 3,0%), а в Швеции и Финляндии был самым высоким среди развитых стран, соответственно 3,7% и 3,4% (2,5% </w:t>
      </w:r>
      <w:r>
        <w:rPr>
          <w:rFonts w:ascii="Times New Roman" w:hAnsi="Times New Roman"/>
          <w:sz w:val="23"/>
        </w:rPr>
        <w:t>–</w:t>
      </w:r>
      <w:r>
        <w:rPr>
          <w:rFonts w:ascii="Times New Roman" w:hAnsi="Times New Roman"/>
          <w:color w:val="000000"/>
          <w:sz w:val="23"/>
        </w:rPr>
        <w:t xml:space="preserve"> в Германии, 2,2% </w:t>
      </w:r>
      <w:r>
        <w:rPr>
          <w:rFonts w:ascii="Times New Roman" w:hAnsi="Times New Roman"/>
          <w:sz w:val="23"/>
        </w:rPr>
        <w:t>–</w:t>
      </w:r>
      <w:r>
        <w:rPr>
          <w:rFonts w:ascii="Times New Roman" w:hAnsi="Times New Roman"/>
          <w:color w:val="000000"/>
          <w:sz w:val="23"/>
        </w:rPr>
        <w:t xml:space="preserve"> во Франции, около 2% </w:t>
      </w:r>
      <w:r>
        <w:rPr>
          <w:rFonts w:ascii="Times New Roman" w:hAnsi="Times New Roman"/>
          <w:sz w:val="23"/>
        </w:rPr>
        <w:t>–</w:t>
      </w:r>
      <w:r>
        <w:rPr>
          <w:rFonts w:ascii="Times New Roman" w:hAnsi="Times New Roman"/>
          <w:color w:val="000000"/>
          <w:sz w:val="23"/>
        </w:rPr>
        <w:t xml:space="preserve"> в Голландии и Норвегии).</w:t>
      </w:r>
    </w:p>
    <w:p w:rsidR="00AE4B8F" w:rsidRDefault="00E62C60">
      <w:pPr>
        <w:pStyle w:val="a7"/>
        <w:spacing w:line="260" w:lineRule="exact"/>
        <w:ind w:firstLine="340"/>
        <w:rPr>
          <w:rFonts w:ascii="Times New Roman" w:hAnsi="Times New Roman"/>
          <w:sz w:val="23"/>
        </w:rPr>
      </w:pPr>
      <w:r>
        <w:rPr>
          <w:rFonts w:ascii="Times New Roman" w:hAnsi="Times New Roman"/>
          <w:sz w:val="23"/>
        </w:rPr>
        <w:t>Евросоюзом поставлена цель увеличить к 2010 году удельные расходы на НИОКР</w:t>
      </w:r>
      <w:r>
        <w:rPr>
          <w:rFonts w:ascii="Times New Roman" w:hAnsi="Times New Roman"/>
          <w:sz w:val="23"/>
          <w:lang w:val="en-US"/>
        </w:rPr>
        <w:t xml:space="preserve"> </w:t>
      </w:r>
      <w:r>
        <w:rPr>
          <w:rFonts w:ascii="Times New Roman" w:hAnsi="Times New Roman"/>
          <w:sz w:val="23"/>
        </w:rPr>
        <w:t>в странах-членах в расчёте на единицу ВВП  с текущих 1,9 до 3%</w:t>
      </w:r>
      <w:r>
        <w:rPr>
          <w:rStyle w:val="a6"/>
          <w:rFonts w:ascii="Times New Roman" w:hAnsi="Times New Roman"/>
          <w:sz w:val="23"/>
        </w:rPr>
        <w:footnoteReference w:id="5"/>
      </w:r>
      <w:r>
        <w:rPr>
          <w:rFonts w:ascii="Times New Roman" w:hAnsi="Times New Roman"/>
          <w:sz w:val="23"/>
        </w:rPr>
        <w:t>.</w:t>
      </w:r>
    </w:p>
    <w:p w:rsidR="00AE4B8F" w:rsidRDefault="00E62C60">
      <w:pPr>
        <w:pStyle w:val="a7"/>
        <w:spacing w:line="260" w:lineRule="exact"/>
        <w:ind w:firstLine="340"/>
        <w:rPr>
          <w:rFonts w:ascii="Times New Roman" w:hAnsi="Times New Roman"/>
          <w:i/>
          <w:color w:val="000000"/>
          <w:sz w:val="23"/>
        </w:rPr>
      </w:pPr>
      <w:r>
        <w:rPr>
          <w:rFonts w:ascii="Times New Roman" w:hAnsi="Times New Roman"/>
          <w:color w:val="000000"/>
          <w:sz w:val="23"/>
        </w:rPr>
        <w:t>На протяж</w:t>
      </w:r>
      <w:r>
        <w:rPr>
          <w:rFonts w:ascii="Times New Roman" w:hAnsi="Times New Roman"/>
          <w:color w:val="000000"/>
          <w:spacing w:val="-2"/>
          <w:sz w:val="23"/>
        </w:rPr>
        <w:t xml:space="preserve">ении последнего десятилетия затраты частного сектора </w:t>
      </w:r>
      <w:r>
        <w:rPr>
          <w:rFonts w:ascii="Times New Roman" w:hAnsi="Times New Roman"/>
          <w:color w:val="000000"/>
          <w:spacing w:val="3"/>
          <w:sz w:val="23"/>
        </w:rPr>
        <w:t xml:space="preserve">на НИОКР как в европейских, так и в других развитых регионах мира </w:t>
      </w:r>
      <w:r>
        <w:rPr>
          <w:rFonts w:ascii="Times New Roman" w:hAnsi="Times New Roman"/>
          <w:i/>
          <w:color w:val="000000"/>
          <w:spacing w:val="3"/>
          <w:sz w:val="23"/>
        </w:rPr>
        <w:t xml:space="preserve">в </w:t>
      </w:r>
      <w:r>
        <w:rPr>
          <w:rFonts w:ascii="Times New Roman" w:hAnsi="Times New Roman"/>
          <w:i/>
          <w:color w:val="000000"/>
          <w:sz w:val="23"/>
        </w:rPr>
        <w:t xml:space="preserve">значительной мере подпитываются и от расширяющегося рынка </w:t>
      </w:r>
      <w:r>
        <w:rPr>
          <w:rFonts w:ascii="Times New Roman" w:hAnsi="Times New Roman"/>
          <w:i/>
          <w:color w:val="000000"/>
          <w:spacing w:val="8"/>
          <w:sz w:val="23"/>
        </w:rPr>
        <w:t xml:space="preserve">рискового капитала. </w:t>
      </w:r>
      <w:r>
        <w:rPr>
          <w:rFonts w:ascii="Times New Roman" w:hAnsi="Times New Roman"/>
          <w:color w:val="000000"/>
          <w:spacing w:val="8"/>
          <w:sz w:val="23"/>
        </w:rPr>
        <w:t>Его объём в ЕС достиг в 2001 году 12,2 млрд евро</w:t>
      </w:r>
      <w:r>
        <w:rPr>
          <w:rStyle w:val="a6"/>
          <w:rFonts w:ascii="Times New Roman" w:hAnsi="Times New Roman"/>
          <w:color w:val="000000"/>
          <w:spacing w:val="8"/>
          <w:sz w:val="23"/>
        </w:rPr>
        <w:footnoteReference w:id="6"/>
      </w:r>
      <w:r>
        <w:rPr>
          <w:rFonts w:ascii="Times New Roman" w:hAnsi="Times New Roman"/>
          <w:color w:val="000000"/>
          <w:spacing w:val="8"/>
          <w:sz w:val="23"/>
        </w:rPr>
        <w:t>.</w:t>
      </w:r>
    </w:p>
    <w:p w:rsidR="00AE4B8F" w:rsidRDefault="00E62C60">
      <w:pPr>
        <w:shd w:val="clear" w:color="auto" w:fill="FFFFFF"/>
        <w:spacing w:before="5" w:line="260" w:lineRule="exact"/>
        <w:ind w:firstLine="340"/>
        <w:jc w:val="both"/>
        <w:rPr>
          <w:rFonts w:ascii="Times New Roman" w:hAnsi="Times New Roman"/>
          <w:i/>
          <w:sz w:val="23"/>
        </w:rPr>
      </w:pPr>
      <w:r>
        <w:rPr>
          <w:rFonts w:ascii="Times New Roman" w:hAnsi="Times New Roman"/>
          <w:b/>
          <w:i/>
          <w:sz w:val="23"/>
        </w:rPr>
        <w:t>Национальные государства и ЕС играют активную роль в процессе становления инновационного типа хозяйственного развития региона</w:t>
      </w:r>
      <w:r>
        <w:rPr>
          <w:rFonts w:ascii="Times New Roman" w:hAnsi="Times New Roman"/>
          <w:sz w:val="23"/>
        </w:rPr>
        <w:t xml:space="preserve">, в формировании инновационных систем национального и региональных уровней. Регулирование в этом случае ориентируется не на традиционное конъюнктурное стимулирование спроса или предложения в целях устойчивого развития, а на создание рациональной инновационной системы. (Здесь просматриваются признаки следования рекомендациям, вытекающим из современных версий теории институционализма и социального рыночного хозяйства.) В действиях государственных и региональных органов </w:t>
      </w:r>
      <w:r>
        <w:rPr>
          <w:rFonts w:ascii="Times New Roman" w:hAnsi="Times New Roman"/>
          <w:i/>
          <w:sz w:val="23"/>
        </w:rPr>
        <w:t xml:space="preserve">главным становится подход, стимулирующий как процессы формирования инновационной системы в целом, так и развитие её отдельных ключевых институтов и их взаимодействия.  </w:t>
      </w:r>
    </w:p>
    <w:p w:rsidR="00AE4B8F" w:rsidRDefault="00E62C60">
      <w:pPr>
        <w:shd w:val="clear" w:color="auto" w:fill="FFFFFF"/>
        <w:spacing w:line="260" w:lineRule="exact"/>
        <w:ind w:firstLine="340"/>
        <w:jc w:val="both"/>
        <w:rPr>
          <w:rFonts w:ascii="Times New Roman" w:hAnsi="Times New Roman"/>
          <w:sz w:val="23"/>
        </w:rPr>
      </w:pPr>
      <w:r>
        <w:rPr>
          <w:rFonts w:ascii="Times New Roman" w:hAnsi="Times New Roman"/>
          <w:sz w:val="23"/>
        </w:rPr>
        <w:t xml:space="preserve">В первом случае используются меры общеэкономической политики, призванные содействовать повышению потенциала саморазвития  системы за счёт привлечения инвестиционных ресурсов частного сектора. Во втором – меры, сфокусированные на решении отдельных проблем инновационного развития, например финансовые и налоговые, расширяющие для мелких и средних предприятий возможности доступа к источникам рискового финансирования. </w:t>
      </w:r>
    </w:p>
    <w:p w:rsidR="00AE4B8F" w:rsidRDefault="00E62C60">
      <w:pPr>
        <w:pStyle w:val="a7"/>
        <w:spacing w:line="260" w:lineRule="exact"/>
        <w:ind w:firstLine="340"/>
        <w:rPr>
          <w:rFonts w:ascii="Times New Roman" w:hAnsi="Times New Roman"/>
          <w:sz w:val="23"/>
        </w:rPr>
      </w:pPr>
      <w:r>
        <w:rPr>
          <w:rFonts w:ascii="Times New Roman" w:hAnsi="Times New Roman"/>
          <w:sz w:val="23"/>
        </w:rPr>
        <w:t xml:space="preserve">Критерием выбора мер служит достижение приемлемого баланса между общественным и частным </w:t>
      </w:r>
      <w:r>
        <w:rPr>
          <w:rFonts w:ascii="Times New Roman" w:hAnsi="Times New Roman"/>
          <w:sz w:val="23"/>
          <w:lang w:val="en-US"/>
        </w:rPr>
        <w:t>“</w:t>
      </w:r>
      <w:r>
        <w:rPr>
          <w:rFonts w:ascii="Times New Roman" w:hAnsi="Times New Roman"/>
          <w:sz w:val="23"/>
        </w:rPr>
        <w:t>благом</w:t>
      </w:r>
      <w:r>
        <w:rPr>
          <w:rFonts w:ascii="Times New Roman" w:hAnsi="Times New Roman"/>
          <w:sz w:val="23"/>
          <w:lang w:val="en-US"/>
        </w:rPr>
        <w:t>”</w:t>
      </w:r>
      <w:r>
        <w:rPr>
          <w:rFonts w:ascii="Times New Roman" w:hAnsi="Times New Roman"/>
          <w:sz w:val="23"/>
        </w:rPr>
        <w:t xml:space="preserve">. Иными словами, </w:t>
      </w:r>
      <w:r>
        <w:rPr>
          <w:rFonts w:ascii="Times New Roman" w:hAnsi="Times New Roman"/>
          <w:i/>
          <w:sz w:val="23"/>
        </w:rPr>
        <w:t>общественная полезность проводимых мероприятий, их вклад в формирование инновационной системы являются определяющими для такого выбора.</w:t>
      </w:r>
      <w:r>
        <w:rPr>
          <w:rFonts w:ascii="Times New Roman" w:hAnsi="Times New Roman"/>
          <w:sz w:val="23"/>
        </w:rPr>
        <w:t xml:space="preserve">   </w:t>
      </w:r>
    </w:p>
    <w:p w:rsidR="00AE4B8F" w:rsidRDefault="00E62C60">
      <w:pPr>
        <w:pStyle w:val="a7"/>
        <w:tabs>
          <w:tab w:val="left" w:pos="7920"/>
        </w:tabs>
        <w:spacing w:line="260" w:lineRule="exact"/>
        <w:ind w:firstLine="340"/>
        <w:rPr>
          <w:rFonts w:ascii="Times New Roman" w:hAnsi="Times New Roman"/>
          <w:b/>
          <w:spacing w:val="2"/>
          <w:sz w:val="23"/>
        </w:rPr>
      </w:pPr>
      <w:r>
        <w:rPr>
          <w:rFonts w:ascii="Times New Roman" w:hAnsi="Times New Roman"/>
          <w:sz w:val="23"/>
        </w:rPr>
        <w:t xml:space="preserve">Наиболее серьёзными узкими местами европейского инновационного развития, требующими вмешательства национальных и региональных органов власти, эксперты ЕС признают сегодня: недостаточную привлекательность региона для осуществления научно-исследовательской и инновационной деятельности </w:t>
      </w:r>
      <w:r>
        <w:rPr>
          <w:rFonts w:ascii="Times New Roman" w:hAnsi="Times New Roman"/>
          <w:spacing w:val="2"/>
          <w:sz w:val="23"/>
        </w:rPr>
        <w:t>международными компаниями; сравнительно низкую прогрессивность отраслевой структуры экономики; недостаточное включение в оборот существенных резервов европейской инновационной системы в области освоения нововведений</w:t>
      </w:r>
      <w:r>
        <w:rPr>
          <w:rStyle w:val="a6"/>
          <w:rFonts w:ascii="Times New Roman" w:hAnsi="Times New Roman"/>
          <w:spacing w:val="2"/>
          <w:sz w:val="23"/>
        </w:rPr>
        <w:footnoteReference w:id="7"/>
      </w:r>
      <w:r>
        <w:rPr>
          <w:rFonts w:ascii="Times New Roman" w:hAnsi="Times New Roman"/>
          <w:spacing w:val="2"/>
          <w:sz w:val="23"/>
        </w:rPr>
        <w:t>.</w:t>
      </w:r>
      <w:r>
        <w:rPr>
          <w:rFonts w:ascii="Times New Roman" w:hAnsi="Times New Roman"/>
          <w:b/>
          <w:spacing w:val="2"/>
          <w:sz w:val="23"/>
        </w:rPr>
        <w:t xml:space="preserve"> </w:t>
      </w:r>
    </w:p>
    <w:p w:rsidR="00AE4B8F" w:rsidRDefault="00E62C60">
      <w:pPr>
        <w:pStyle w:val="a7"/>
        <w:tabs>
          <w:tab w:val="left" w:pos="7920"/>
        </w:tabs>
        <w:spacing w:before="120" w:after="120" w:line="260" w:lineRule="exact"/>
        <w:jc w:val="center"/>
        <w:rPr>
          <w:rFonts w:ascii="Times New Roman" w:hAnsi="Times New Roman"/>
          <w:b/>
          <w:sz w:val="23"/>
        </w:rPr>
      </w:pPr>
      <w:r>
        <w:rPr>
          <w:rFonts w:ascii="Times New Roman" w:hAnsi="Times New Roman"/>
          <w:b/>
          <w:sz w:val="23"/>
        </w:rPr>
        <w:t>Слагаемые успеха</w:t>
      </w:r>
    </w:p>
    <w:p w:rsidR="00AE4B8F" w:rsidRDefault="00E62C60">
      <w:pPr>
        <w:pStyle w:val="a7"/>
        <w:tabs>
          <w:tab w:val="left" w:pos="7920"/>
        </w:tabs>
        <w:spacing w:line="260" w:lineRule="exact"/>
        <w:ind w:firstLine="340"/>
        <w:rPr>
          <w:rFonts w:ascii="Times New Roman" w:hAnsi="Times New Roman"/>
          <w:spacing w:val="-2"/>
          <w:sz w:val="23"/>
        </w:rPr>
      </w:pPr>
      <w:r>
        <w:rPr>
          <w:rFonts w:ascii="Times New Roman" w:hAnsi="Times New Roman"/>
          <w:sz w:val="23"/>
        </w:rPr>
        <w:t xml:space="preserve">Преодоление этих недостатков европейцы видят в использовании комплекса инструментов макроэкономической политики. Среди них особое внимание уделяется  формированию благоприятных  общих макроэкономических условий, политике в области конкурентоспособности, норм и стандартов, поддержке </w:t>
      </w:r>
      <w:r>
        <w:rPr>
          <w:rFonts w:ascii="Times New Roman" w:hAnsi="Times New Roman"/>
          <w:spacing w:val="-2"/>
          <w:sz w:val="23"/>
        </w:rPr>
        <w:t>предпринимательства, охране прав интеллектуальной собственности, регулированию рынка труда, государственным НИОКР. Остановимся на этом подробнее.</w:t>
      </w:r>
    </w:p>
    <w:p w:rsidR="00AE4B8F" w:rsidRDefault="00E62C60">
      <w:pPr>
        <w:pStyle w:val="a7"/>
        <w:tabs>
          <w:tab w:val="left" w:pos="8559"/>
        </w:tabs>
        <w:spacing w:line="260" w:lineRule="exact"/>
        <w:ind w:firstLine="340"/>
        <w:rPr>
          <w:rFonts w:ascii="Times New Roman" w:hAnsi="Times New Roman"/>
          <w:sz w:val="23"/>
        </w:rPr>
      </w:pPr>
      <w:r>
        <w:rPr>
          <w:rFonts w:ascii="Times New Roman" w:hAnsi="Times New Roman"/>
          <w:sz w:val="23"/>
        </w:rPr>
        <w:t xml:space="preserve">Уже накопленный опыт показывает, что на создание благоприятных условий, т. е. в конечном счете </w:t>
      </w:r>
      <w:r>
        <w:rPr>
          <w:rFonts w:ascii="Times New Roman" w:hAnsi="Times New Roman"/>
          <w:b/>
          <w:i/>
          <w:sz w:val="23"/>
        </w:rPr>
        <w:t>на формирование европейской инновационной</w:t>
      </w:r>
      <w:r>
        <w:rPr>
          <w:rFonts w:ascii="Times New Roman" w:hAnsi="Times New Roman"/>
          <w:b/>
          <w:sz w:val="23"/>
        </w:rPr>
        <w:t xml:space="preserve"> </w:t>
      </w:r>
      <w:r>
        <w:rPr>
          <w:rFonts w:ascii="Times New Roman" w:hAnsi="Times New Roman"/>
          <w:sz w:val="23"/>
        </w:rPr>
        <w:t xml:space="preserve">системы </w:t>
      </w:r>
      <w:r>
        <w:rPr>
          <w:rFonts w:ascii="Times New Roman" w:hAnsi="Times New Roman"/>
          <w:b/>
          <w:i/>
          <w:sz w:val="23"/>
        </w:rPr>
        <w:t xml:space="preserve">решающее воздействие </w:t>
      </w:r>
      <w:r>
        <w:rPr>
          <w:rFonts w:ascii="Times New Roman" w:hAnsi="Times New Roman"/>
          <w:sz w:val="23"/>
        </w:rPr>
        <w:t xml:space="preserve">оказывают </w:t>
      </w:r>
      <w:r>
        <w:rPr>
          <w:rFonts w:ascii="Times New Roman" w:hAnsi="Times New Roman"/>
          <w:b/>
          <w:i/>
          <w:sz w:val="23"/>
        </w:rPr>
        <w:t>макроэкономические параметры</w:t>
      </w:r>
      <w:r>
        <w:rPr>
          <w:rFonts w:ascii="Times New Roman" w:hAnsi="Times New Roman"/>
          <w:sz w:val="23"/>
        </w:rPr>
        <w:t xml:space="preserve">, которые в наибольшей мере содействуют притоку инвестиций. Это прежде всего сравнительно невысокий и устойчивый уровень учётной ставки, содействующий расширению возможностей привлечения заёмного капитала, в том числе и иностранного. Затем – низкий уровень инфляции, обеспечивающий предсказуемость достижения рубежей окупаемости инновационных проектов и принятие благоприятных решений по их первоначальному инвестированию. Наконец, стабильные и высокие темпы роста спроса, вселяющие оптимизм в отношении перспектив развития рынков, но не приводящие к перегреву общехозяйственной конъюнктуры. И, конечно, благоприятный налоговый режим. </w:t>
      </w:r>
    </w:p>
    <w:p w:rsidR="00AE4B8F" w:rsidRDefault="00E62C60">
      <w:pPr>
        <w:pStyle w:val="a7"/>
        <w:tabs>
          <w:tab w:val="left" w:pos="8559"/>
        </w:tabs>
        <w:spacing w:line="260" w:lineRule="exact"/>
        <w:ind w:firstLine="340"/>
        <w:rPr>
          <w:rFonts w:ascii="Times New Roman" w:hAnsi="Times New Roman"/>
          <w:sz w:val="23"/>
        </w:rPr>
      </w:pPr>
      <w:r>
        <w:rPr>
          <w:rFonts w:ascii="Times New Roman" w:hAnsi="Times New Roman"/>
          <w:sz w:val="23"/>
        </w:rPr>
        <w:t xml:space="preserve">Кроме того, чрезвычайно важными признаются возможности кредитно-финансовой сферы осуществлять финансовое обеспечение процессов формирования инфраструктуры инновационных систем, создания новаторских фирм и предприятий, базирующихся на новых технологиях. </w:t>
      </w:r>
    </w:p>
    <w:p w:rsidR="00AE4B8F" w:rsidRDefault="00E62C60">
      <w:pPr>
        <w:pStyle w:val="a7"/>
        <w:tabs>
          <w:tab w:val="left" w:pos="8559"/>
        </w:tabs>
        <w:spacing w:line="260" w:lineRule="exact"/>
        <w:ind w:firstLine="340"/>
        <w:rPr>
          <w:rFonts w:ascii="Times New Roman" w:hAnsi="Times New Roman"/>
          <w:sz w:val="23"/>
        </w:rPr>
      </w:pPr>
      <w:r>
        <w:rPr>
          <w:rFonts w:ascii="Times New Roman" w:hAnsi="Times New Roman"/>
          <w:sz w:val="23"/>
        </w:rPr>
        <w:t xml:space="preserve">Основной задачей </w:t>
      </w:r>
      <w:r>
        <w:rPr>
          <w:rFonts w:ascii="Times New Roman" w:hAnsi="Times New Roman"/>
          <w:b/>
          <w:i/>
          <w:sz w:val="23"/>
        </w:rPr>
        <w:t>политики по поддержке конкурентоспособности</w:t>
      </w:r>
      <w:r>
        <w:rPr>
          <w:rFonts w:ascii="Times New Roman" w:hAnsi="Times New Roman"/>
          <w:b/>
          <w:sz w:val="23"/>
        </w:rPr>
        <w:t xml:space="preserve"> </w:t>
      </w:r>
      <w:r>
        <w:rPr>
          <w:rFonts w:ascii="Times New Roman" w:hAnsi="Times New Roman"/>
          <w:sz w:val="23"/>
        </w:rPr>
        <w:t>является корректировка изъянов рынка. Поэтому она ориентируется прежде всего на компенсацию так называемых рыночных провалов в научно-технической и инновационной сфере в целом. Разрабатываются и реализуются меры, которые  позволяли бы проходить между Сциллой избыточного государственного регулирования и Харибдой рыночной стихии.</w:t>
      </w:r>
    </w:p>
    <w:p w:rsidR="00AE4B8F" w:rsidRDefault="00E62C60">
      <w:pPr>
        <w:pStyle w:val="a7"/>
        <w:spacing w:line="260" w:lineRule="exact"/>
        <w:ind w:firstLine="340"/>
        <w:rPr>
          <w:rFonts w:ascii="Times New Roman" w:hAnsi="Times New Roman"/>
          <w:sz w:val="23"/>
        </w:rPr>
      </w:pPr>
      <w:r>
        <w:rPr>
          <w:rFonts w:ascii="Times New Roman" w:hAnsi="Times New Roman"/>
          <w:sz w:val="23"/>
        </w:rPr>
        <w:t>В настоящее время это прямая поддержка НИОКР по трём направлениям: фундаментальные исследования, промышленные исследования и доконкурентные прикладные разработки. Максимальная доля их бюджетной поддержки составляет, как правило, соответственно 100, 50 и 25%. Кроме того, составными элементами политики повышения конкурентоспособности служат меры по содействию инвестициям, а также по оказанию поддержки малым и средним предприятиям в рамках региональной политики и политики по отношению к малому предпринимательству</w:t>
      </w:r>
      <w:r>
        <w:rPr>
          <w:rStyle w:val="a6"/>
          <w:rFonts w:ascii="Times New Roman" w:hAnsi="Times New Roman"/>
          <w:sz w:val="23"/>
        </w:rPr>
        <w:footnoteReference w:id="8"/>
      </w:r>
      <w:r>
        <w:rPr>
          <w:rFonts w:ascii="Times New Roman" w:hAnsi="Times New Roman"/>
          <w:sz w:val="23"/>
        </w:rPr>
        <w:t xml:space="preserve">. В последних случаях удельный вес государственной поддержки оказывается существенно большим и может достигать 75 и 25% при осуществлении ими промышленных исследований и прикладных разработок. </w:t>
      </w:r>
    </w:p>
    <w:p w:rsidR="00AE4B8F" w:rsidRDefault="00E62C60">
      <w:pPr>
        <w:pStyle w:val="a7"/>
        <w:spacing w:line="260" w:lineRule="exact"/>
        <w:ind w:firstLine="340"/>
        <w:rPr>
          <w:rFonts w:ascii="Times New Roman" w:hAnsi="Times New Roman"/>
          <w:sz w:val="23"/>
        </w:rPr>
      </w:pPr>
      <w:r>
        <w:rPr>
          <w:rFonts w:ascii="Times New Roman" w:hAnsi="Times New Roman"/>
          <w:sz w:val="23"/>
        </w:rPr>
        <w:t>Проходившие в последнее время обсуждения экспертами ЕС результативности политики в данной области позволяют предположить, что её совершенствование будет происходить  в направлении создания дополнительных стимулов для участия фирм частного сектора в научно-технических программах национальных и коммунитарного уровней</w:t>
      </w:r>
      <w:r>
        <w:rPr>
          <w:rStyle w:val="a6"/>
          <w:rFonts w:ascii="Times New Roman" w:hAnsi="Times New Roman"/>
          <w:sz w:val="23"/>
        </w:rPr>
        <w:footnoteReference w:id="9"/>
      </w:r>
      <w:r>
        <w:rPr>
          <w:rFonts w:ascii="Times New Roman" w:hAnsi="Times New Roman"/>
          <w:sz w:val="23"/>
        </w:rPr>
        <w:t xml:space="preserve">. Это может проявиться, в частности,  в пересмотре правил бюджетной поддержки инновационных проектов рамочных программ научных исследований ЕС, а также программ регионального развития и поддержки малого предпринимательства в целях унификации и увеличения доли государств в общем объёме их финансирования. В то же время в качестве необходимой предпосылки для этого ЕС выдвигает требование существенного увеличения инвестиций в новации со стороны частного сектора. </w:t>
      </w:r>
    </w:p>
    <w:p w:rsidR="00AE4B8F" w:rsidRDefault="00E62C60">
      <w:pPr>
        <w:pStyle w:val="a7"/>
        <w:spacing w:line="260" w:lineRule="exact"/>
        <w:ind w:firstLine="340"/>
        <w:rPr>
          <w:rFonts w:ascii="Times New Roman" w:hAnsi="Times New Roman"/>
          <w:sz w:val="23"/>
        </w:rPr>
      </w:pPr>
      <w:r>
        <w:rPr>
          <w:rFonts w:ascii="Times New Roman" w:hAnsi="Times New Roman"/>
          <w:sz w:val="23"/>
        </w:rPr>
        <w:t>Кроме того, в европейском регионе в ближайшей перспективе вполне вероятно заметное расширение использования государственных закупок наукоёмкой продукции и услуг в качестве важного средства усиления конкурентной политики</w:t>
      </w:r>
      <w:r>
        <w:rPr>
          <w:rStyle w:val="a6"/>
          <w:rFonts w:ascii="Times New Roman" w:hAnsi="Times New Roman"/>
          <w:sz w:val="23"/>
        </w:rPr>
        <w:footnoteReference w:id="10"/>
      </w:r>
      <w:r>
        <w:rPr>
          <w:rFonts w:ascii="Times New Roman" w:hAnsi="Times New Roman"/>
          <w:sz w:val="23"/>
        </w:rPr>
        <w:t xml:space="preserve">. </w:t>
      </w:r>
    </w:p>
    <w:p w:rsidR="00AE4B8F" w:rsidRDefault="00E62C60">
      <w:pPr>
        <w:pStyle w:val="a7"/>
        <w:spacing w:line="260" w:lineRule="exact"/>
        <w:ind w:firstLine="340"/>
        <w:rPr>
          <w:rFonts w:ascii="Times New Roman" w:hAnsi="Times New Roman"/>
          <w:sz w:val="23"/>
        </w:rPr>
      </w:pPr>
      <w:r>
        <w:rPr>
          <w:rFonts w:ascii="Times New Roman" w:hAnsi="Times New Roman"/>
          <w:sz w:val="23"/>
        </w:rPr>
        <w:t xml:space="preserve">Существенное и разностороннее воздействие на инновационное развитие оказывает </w:t>
      </w:r>
      <w:r>
        <w:rPr>
          <w:rFonts w:ascii="Times New Roman" w:hAnsi="Times New Roman"/>
          <w:b/>
          <w:i/>
          <w:sz w:val="23"/>
        </w:rPr>
        <w:t>политика в области</w:t>
      </w:r>
      <w:r>
        <w:rPr>
          <w:rFonts w:ascii="Times New Roman" w:hAnsi="Times New Roman"/>
          <w:i/>
          <w:sz w:val="23"/>
        </w:rPr>
        <w:t xml:space="preserve"> </w:t>
      </w:r>
      <w:r>
        <w:rPr>
          <w:rFonts w:ascii="Times New Roman" w:hAnsi="Times New Roman"/>
          <w:b/>
          <w:i/>
          <w:sz w:val="23"/>
        </w:rPr>
        <w:t>норм и стандартов</w:t>
      </w:r>
      <w:r>
        <w:rPr>
          <w:rFonts w:ascii="Times New Roman" w:hAnsi="Times New Roman"/>
          <w:sz w:val="23"/>
        </w:rPr>
        <w:t>. Общепризнанной считается её высокая действенность в области охраны окружающей среды, приводящая во многих случаях к появлению целой серии радикальных нововведений. Ярким примером этого может служить широкое распространение в последние десятилетия энергосберегающих и альтернативных традиционным технологий производства энергии.</w:t>
      </w:r>
    </w:p>
    <w:p w:rsidR="00AE4B8F" w:rsidRDefault="00E62C60">
      <w:pPr>
        <w:pStyle w:val="a7"/>
        <w:spacing w:line="260" w:lineRule="exact"/>
        <w:ind w:firstLine="340"/>
        <w:rPr>
          <w:rFonts w:ascii="Times New Roman" w:hAnsi="Times New Roman"/>
          <w:sz w:val="23"/>
        </w:rPr>
      </w:pPr>
      <w:r>
        <w:rPr>
          <w:rFonts w:ascii="Times New Roman" w:hAnsi="Times New Roman"/>
          <w:sz w:val="23"/>
        </w:rPr>
        <w:t xml:space="preserve">В то же время практика свидетельствует и о том, что общее снижение бремени нормирования для компаний может оказывать позитивное воздействие на их научно-исследовательскую и инновационную деятельность. Напротив, регулирование в области норм и стандартов, ограничивающее действие рыночной конкуренции (например, меры, сдерживающие выход на рынок или свободу действий на нём), оказывает негативное воздействие на процессы создания и широкого освоения новой продукции. </w:t>
      </w:r>
    </w:p>
    <w:p w:rsidR="00AE4B8F" w:rsidRDefault="00E62C60">
      <w:pPr>
        <w:pStyle w:val="a7"/>
        <w:spacing w:line="260" w:lineRule="exact"/>
        <w:ind w:firstLine="340"/>
        <w:rPr>
          <w:rFonts w:ascii="Times New Roman" w:hAnsi="Times New Roman"/>
          <w:sz w:val="23"/>
        </w:rPr>
      </w:pPr>
      <w:r>
        <w:rPr>
          <w:rFonts w:ascii="Times New Roman" w:hAnsi="Times New Roman"/>
          <w:sz w:val="23"/>
        </w:rPr>
        <w:t>Учитывая отмеченные обстоятельства, политика ЕС в области норм и стандартов нацеливается на максимально возможное устранение обременительных ограничений, препятствующих реализации  рыночной конкуренции. Это происходит, однако, не в ущерб другим социально-экономическим приоритетам, та</w:t>
      </w:r>
      <w:r>
        <w:rPr>
          <w:rFonts w:ascii="Times New Roman" w:hAnsi="Times New Roman"/>
          <w:spacing w:val="-2"/>
          <w:sz w:val="23"/>
        </w:rPr>
        <w:t>ким, как установление необходимых нормативов в области охраны окружающей среды и обеспечение устойчивого экономического роста. В качестве оптимального рассматривается такой подход, когда достижение целей социально-экономической политики осуществляется с использованием мер, содействую</w:t>
      </w:r>
      <w:r>
        <w:rPr>
          <w:rFonts w:ascii="Times New Roman" w:hAnsi="Times New Roman"/>
          <w:sz w:val="23"/>
        </w:rPr>
        <w:t xml:space="preserve">щих конкуренции, при сохранении тенденции к гармонизации норм и стандартов в </w:t>
      </w:r>
      <w:r>
        <w:rPr>
          <w:rFonts w:ascii="Times New Roman" w:hAnsi="Times New Roman"/>
          <w:spacing w:val="-2"/>
          <w:sz w:val="23"/>
        </w:rPr>
        <w:t>масштабах ЕС и всего европейского региона. В целом же реформированию системы установления норм и стандартов придаётся первостепенная приоритет</w:t>
      </w:r>
      <w:r>
        <w:rPr>
          <w:rFonts w:ascii="Times New Roman" w:hAnsi="Times New Roman"/>
          <w:sz w:val="23"/>
        </w:rPr>
        <w:t>ность как инструменту обеспечения притока инвестиций в инновационную сферу.</w:t>
      </w:r>
    </w:p>
    <w:p w:rsidR="00AE4B8F" w:rsidRDefault="00E62C60">
      <w:pPr>
        <w:pStyle w:val="a7"/>
        <w:spacing w:line="262" w:lineRule="exact"/>
        <w:ind w:firstLine="340"/>
        <w:rPr>
          <w:rFonts w:ascii="Times New Roman" w:hAnsi="Times New Roman"/>
          <w:spacing w:val="-2"/>
          <w:sz w:val="23"/>
        </w:rPr>
      </w:pPr>
      <w:r>
        <w:rPr>
          <w:rFonts w:ascii="Times New Roman" w:hAnsi="Times New Roman"/>
          <w:sz w:val="23"/>
        </w:rPr>
        <w:t xml:space="preserve">В рамках </w:t>
      </w:r>
      <w:r>
        <w:rPr>
          <w:rFonts w:ascii="Times New Roman" w:hAnsi="Times New Roman"/>
          <w:b/>
          <w:i/>
          <w:sz w:val="23"/>
        </w:rPr>
        <w:t>политики поддержки предпринимательства</w:t>
      </w:r>
      <w:r>
        <w:rPr>
          <w:rFonts w:ascii="Times New Roman" w:hAnsi="Times New Roman"/>
          <w:sz w:val="23"/>
        </w:rPr>
        <w:t xml:space="preserve"> важнейшее место занимают две группы мероприятий. Одна ориентирована на улучшение в регионе общей атмосферы для занятия бизнесом, другая – на поддержку таких </w:t>
      </w:r>
      <w:r>
        <w:rPr>
          <w:rFonts w:ascii="Times New Roman" w:hAnsi="Times New Roman"/>
          <w:sz w:val="23"/>
          <w:lang w:val="en-US"/>
        </w:rPr>
        <w:t>“</w:t>
      </w:r>
      <w:r>
        <w:rPr>
          <w:rFonts w:ascii="Times New Roman" w:hAnsi="Times New Roman"/>
          <w:sz w:val="23"/>
        </w:rPr>
        <w:t>носителей</w:t>
      </w:r>
      <w:r>
        <w:rPr>
          <w:rFonts w:ascii="Times New Roman" w:hAnsi="Times New Roman"/>
          <w:sz w:val="23"/>
          <w:lang w:val="en-US"/>
        </w:rPr>
        <w:t>”</w:t>
      </w:r>
      <w:r>
        <w:rPr>
          <w:rFonts w:ascii="Times New Roman" w:hAnsi="Times New Roman"/>
          <w:sz w:val="23"/>
        </w:rPr>
        <w:t xml:space="preserve"> инновационного развития, как компании, занимающиеся коммерциализацией результатов научных исследований, вновь создаваемые новаторские фирмы и предприятия. Поскольку общепризнанным считается отставание Старого Света в готовности принятия индивидуальным и корпоративным биз</w:t>
      </w:r>
      <w:r>
        <w:rPr>
          <w:rFonts w:ascii="Times New Roman" w:hAnsi="Times New Roman"/>
          <w:spacing w:val="-2"/>
          <w:sz w:val="23"/>
        </w:rPr>
        <w:t>несом коммерческих рисков, то и воздействие первой группы мероприятий направлено главным образом на устранение этого недостатка. Здесь, например, совместные инициативы государства и бизнеса, нацеленные, с одной стороны, на широкую пропаганду ценностей современной предпринимательской культуры, предполагающей участие в рисковой деятельности, а с другой – на устране</w:t>
      </w:r>
      <w:r>
        <w:rPr>
          <w:rFonts w:ascii="Times New Roman" w:hAnsi="Times New Roman"/>
          <w:sz w:val="23"/>
        </w:rPr>
        <w:t xml:space="preserve">ние </w:t>
      </w:r>
      <w:r>
        <w:rPr>
          <w:rFonts w:ascii="Times New Roman" w:hAnsi="Times New Roman"/>
          <w:spacing w:val="-2"/>
          <w:sz w:val="23"/>
        </w:rPr>
        <w:t xml:space="preserve">организационных и законодательных преград, стоящих на пути её распространения. К этим мероприятиям можно отнести, в частности, и включение в школьные и университетские программы соответствующих курсов по проблемам развития предпринимательства, а также проведение конкурсов, устраиваемых местными и региональными органами власти, на лучшие инновационные проекты. </w:t>
      </w:r>
    </w:p>
    <w:p w:rsidR="00AE4B8F" w:rsidRDefault="00E62C60">
      <w:pPr>
        <w:pStyle w:val="a7"/>
        <w:spacing w:line="262" w:lineRule="exact"/>
        <w:ind w:firstLine="340"/>
        <w:rPr>
          <w:rFonts w:ascii="Times New Roman" w:hAnsi="Times New Roman"/>
          <w:sz w:val="23"/>
        </w:rPr>
      </w:pPr>
      <w:r>
        <w:rPr>
          <w:rFonts w:ascii="Times New Roman" w:hAnsi="Times New Roman"/>
          <w:sz w:val="23"/>
        </w:rPr>
        <w:t xml:space="preserve">Мероприятия второй группы предусматривают создание благоприятных условий для вхождения в инновационную деятельность. Национальные органы власти стран ЕС могут, например, использовать с этой целью возможности, предоставляемые в рамках коммунитарной программы </w:t>
      </w:r>
      <w:r>
        <w:rPr>
          <w:rFonts w:ascii="Times New Roman" w:hAnsi="Times New Roman"/>
          <w:sz w:val="23"/>
          <w:lang w:val="en-US"/>
        </w:rPr>
        <w:t>“BEST”</w:t>
      </w:r>
      <w:r>
        <w:rPr>
          <w:rFonts w:ascii="Times New Roman" w:hAnsi="Times New Roman"/>
          <w:sz w:val="23"/>
        </w:rPr>
        <w:t>, которая разработана Генеральным директоратом  по предпринимательству Комиссии ЕС.</w:t>
      </w:r>
    </w:p>
    <w:p w:rsidR="00AE4B8F" w:rsidRDefault="00E62C60">
      <w:pPr>
        <w:pStyle w:val="20"/>
        <w:spacing w:line="260" w:lineRule="exact"/>
        <w:ind w:firstLine="340"/>
        <w:jc w:val="both"/>
        <w:rPr>
          <w:rFonts w:ascii="Times New Roman" w:hAnsi="Times New Roman"/>
          <w:sz w:val="23"/>
        </w:rPr>
      </w:pPr>
      <w:r>
        <w:rPr>
          <w:rFonts w:ascii="Times New Roman" w:hAnsi="Times New Roman"/>
          <w:sz w:val="23"/>
        </w:rPr>
        <w:t xml:space="preserve">Большое значение придаётся мерам содействия уже работающим на рынке высокотехнологичным малым компаниям. Они дополняют программы общей поддержки малых и средних предприятий и тем самым также помогают инновационной активности предприятий. В Финляндии, например, в столичной зоне    (г. Хельсинки) с 1990 года действует программа </w:t>
      </w:r>
      <w:r>
        <w:rPr>
          <w:rFonts w:ascii="Times New Roman" w:hAnsi="Times New Roman"/>
          <w:sz w:val="23"/>
          <w:lang w:val="en-US"/>
        </w:rPr>
        <w:t>“SPINNO”</w:t>
      </w:r>
      <w:r>
        <w:rPr>
          <w:rFonts w:ascii="Times New Roman" w:hAnsi="Times New Roman"/>
          <w:sz w:val="23"/>
        </w:rPr>
        <w:t xml:space="preserve">, осуществляемая совместными усилиями научно-исследовательских институтов, научно-производственных центров, общественных учреждений и бизнес-сообществом. Её цель – обеспечить повышение занятости в регионе путём поддержки становления новаторских компаний. Ежегодно в рамках программы создаётся от 40 до 50 высокотехнологичных фирм, в которых оказываются занятыми учёные, выпускники вузов и системы профессионального обучения. </w:t>
      </w:r>
    </w:p>
    <w:p w:rsidR="00AE4B8F" w:rsidRDefault="00E62C60">
      <w:pPr>
        <w:pStyle w:val="20"/>
        <w:spacing w:line="260" w:lineRule="exact"/>
        <w:ind w:firstLine="340"/>
        <w:jc w:val="both"/>
        <w:rPr>
          <w:rFonts w:ascii="Times New Roman" w:hAnsi="Times New Roman"/>
          <w:sz w:val="23"/>
        </w:rPr>
      </w:pPr>
      <w:r>
        <w:rPr>
          <w:rFonts w:ascii="Times New Roman" w:hAnsi="Times New Roman"/>
          <w:sz w:val="23"/>
        </w:rPr>
        <w:t>Ещё одним важным инструментом инновационного развития служат</w:t>
      </w:r>
      <w:r>
        <w:rPr>
          <w:rFonts w:ascii="Times New Roman" w:hAnsi="Times New Roman"/>
          <w:b/>
          <w:i/>
          <w:sz w:val="23"/>
        </w:rPr>
        <w:t xml:space="preserve"> права на интеллектуальную собственность</w:t>
      </w:r>
      <w:r>
        <w:rPr>
          <w:rFonts w:ascii="Times New Roman" w:hAnsi="Times New Roman"/>
          <w:sz w:val="23"/>
        </w:rPr>
        <w:t xml:space="preserve"> (ПИС), которые предоставляют их владельцам монопольную возможность распоряжения результатами интеллектуальной деятельности в течение периода, необходимого для амортизации инвестиций в новаторские проекты. Несмотря на то что такое монопольное право может сдерживать распространение нововведений и понижать эффективность распределения ресурсов в хозяйственной системе, все же считается, что создаваемые им  стимулы к инновационному развитию перевешивают данное негативное воздействие. Это происходит, естественно, в том случае, когда существующий режим ПИС позволяет обеспечивать такой перевес. Формирование же благоприятного режима сталкивается в Европе, по мнению экспертов, с двумя группами проблем. Одна их них обусловлена сложностями, связанными с приобретением ПИС и их использованием. Другая – с требованием соучастия в таких правах со стороны общественных научно-исследовательских организаций и учреждений высшей школы, которые в последнее время всё чаще выступают в качестве партнёров исследовательских подразделений промышленных фирм и других субъектов сферы НИОКР в совместных инновационных проектах, не неся основного бремени в их финансировании. </w:t>
      </w:r>
    </w:p>
    <w:p w:rsidR="00AE4B8F" w:rsidRDefault="00E62C60">
      <w:pPr>
        <w:pStyle w:val="a7"/>
        <w:spacing w:line="260" w:lineRule="exact"/>
        <w:ind w:firstLine="340"/>
        <w:rPr>
          <w:rFonts w:ascii="Times New Roman" w:hAnsi="Times New Roman"/>
          <w:sz w:val="23"/>
        </w:rPr>
      </w:pPr>
      <w:r>
        <w:rPr>
          <w:rFonts w:ascii="Times New Roman" w:hAnsi="Times New Roman"/>
          <w:sz w:val="23"/>
        </w:rPr>
        <w:t>Решение первого комплекса проблем видится, главным образом, на путях скорейшего внедрения разрабатываемой в настоящее время системы защиты ПИС в форме патента ЕС, которая, как считают, позволит существенно снизить издержки и упростить  получение прав такой защиты и их реализацию. Необходимым признаётся также дальнейшее ускорение процессов гармонизации национальных режимов ПИС в европейском регионе.</w:t>
      </w:r>
    </w:p>
    <w:p w:rsidR="00AE4B8F" w:rsidRDefault="00E62C60">
      <w:pPr>
        <w:pStyle w:val="a7"/>
        <w:spacing w:line="260" w:lineRule="exact"/>
        <w:ind w:firstLine="340"/>
        <w:rPr>
          <w:rFonts w:ascii="Times New Roman" w:hAnsi="Times New Roman"/>
          <w:sz w:val="23"/>
        </w:rPr>
      </w:pPr>
      <w:r>
        <w:rPr>
          <w:rFonts w:ascii="Times New Roman" w:hAnsi="Times New Roman"/>
          <w:sz w:val="23"/>
        </w:rPr>
        <w:t xml:space="preserve">Многообещающее решение вопросов паритетного разделения ПИС между общественными научно-исследовательскими институтами, вузами и частным бизнесом, участвующими в программах, финансируемых из бюджетов национальных или коммунитарного уровней, связывают с введением практики заключения типовых договоров о частичной уступке  этих прав.   </w:t>
      </w:r>
    </w:p>
    <w:p w:rsidR="00AE4B8F" w:rsidRDefault="00E62C60">
      <w:pPr>
        <w:pStyle w:val="a7"/>
        <w:spacing w:line="260" w:lineRule="exact"/>
        <w:ind w:firstLine="340"/>
        <w:rPr>
          <w:rFonts w:ascii="Times New Roman" w:hAnsi="Times New Roman"/>
          <w:b/>
          <w:sz w:val="23"/>
        </w:rPr>
      </w:pPr>
      <w:r>
        <w:rPr>
          <w:rFonts w:ascii="Times New Roman" w:hAnsi="Times New Roman"/>
          <w:b/>
          <w:i/>
          <w:sz w:val="23"/>
        </w:rPr>
        <w:t>Регулирование рынка труда</w:t>
      </w:r>
      <w:r>
        <w:rPr>
          <w:rFonts w:ascii="Times New Roman" w:hAnsi="Times New Roman"/>
          <w:sz w:val="23"/>
        </w:rPr>
        <w:t xml:space="preserve"> имеет целью удовлетворение потребностей инновационной экономики в высококвалифицированной рабочей силе. Количество поступающих сейчас на рынок учёных и инженеров не отвечает возрастающему спросу на них со стороны формирующейся в Европе инновационной системы</w:t>
      </w:r>
      <w:r>
        <w:rPr>
          <w:rStyle w:val="a6"/>
          <w:rFonts w:ascii="Times New Roman" w:hAnsi="Times New Roman"/>
          <w:sz w:val="23"/>
        </w:rPr>
        <w:footnoteReference w:id="11"/>
      </w:r>
      <w:r>
        <w:rPr>
          <w:rFonts w:ascii="Times New Roman" w:hAnsi="Times New Roman"/>
          <w:sz w:val="23"/>
        </w:rPr>
        <w:t>.  К тому же к 2010 году спрос на научно-исследовательский персонал возрастёт, например в ЕС, по прогнозным оценкам, на 1,2 млн человек</w:t>
      </w:r>
      <w:r>
        <w:rPr>
          <w:rStyle w:val="a6"/>
          <w:rFonts w:ascii="Times New Roman" w:hAnsi="Times New Roman"/>
          <w:sz w:val="23"/>
        </w:rPr>
        <w:footnoteReference w:id="12"/>
      </w:r>
      <w:r>
        <w:rPr>
          <w:rFonts w:ascii="Times New Roman" w:hAnsi="Times New Roman"/>
          <w:sz w:val="23"/>
        </w:rPr>
        <w:t>. Важными предпосылками его удовлетворения считается наличие в районах инновационной активности возможностей повышения профессиональной квалификации и притока рабочей силы, обеспечиваемого в значительной степени либеральным миграционным законодательством и мерами по повышению мобильности рабочей силы в рамках ЕС, а также формирование адекватной современным требованиям системы социального и пенсионного обеспечения. Действенным  инструментом регулирования в этой области призваны стать специальные национальные программы по рекрутированию специалистов, в том числе и из-за рубежа, и развитию подготовки научно-исследовательского персонала.</w:t>
      </w:r>
      <w:r>
        <w:rPr>
          <w:rFonts w:ascii="Times New Roman" w:hAnsi="Times New Roman"/>
          <w:b/>
          <w:sz w:val="23"/>
        </w:rPr>
        <w:t xml:space="preserve"> </w:t>
      </w:r>
    </w:p>
    <w:p w:rsidR="00AE4B8F" w:rsidRDefault="00E62C60">
      <w:pPr>
        <w:pStyle w:val="a7"/>
        <w:spacing w:line="260" w:lineRule="exact"/>
        <w:ind w:firstLine="340"/>
        <w:rPr>
          <w:rFonts w:ascii="Times New Roman" w:hAnsi="Times New Roman"/>
          <w:sz w:val="23"/>
        </w:rPr>
      </w:pPr>
      <w:r>
        <w:rPr>
          <w:rFonts w:ascii="Times New Roman" w:hAnsi="Times New Roman"/>
          <w:sz w:val="23"/>
        </w:rPr>
        <w:t>Весомый вклад в</w:t>
      </w:r>
      <w:r>
        <w:rPr>
          <w:rFonts w:ascii="Times New Roman" w:hAnsi="Times New Roman"/>
          <w:b/>
          <w:sz w:val="23"/>
        </w:rPr>
        <w:t xml:space="preserve"> </w:t>
      </w:r>
      <w:r>
        <w:rPr>
          <w:rFonts w:ascii="Times New Roman" w:hAnsi="Times New Roman"/>
          <w:sz w:val="23"/>
        </w:rPr>
        <w:t xml:space="preserve">формирование общих условий, необходимых для инновационного развития, вносит </w:t>
      </w:r>
      <w:r>
        <w:rPr>
          <w:rFonts w:ascii="Times New Roman" w:hAnsi="Times New Roman"/>
          <w:b/>
          <w:i/>
          <w:sz w:val="23"/>
        </w:rPr>
        <w:t>государственный сектор НИОКР</w:t>
      </w:r>
      <w:r>
        <w:rPr>
          <w:rFonts w:ascii="Times New Roman" w:hAnsi="Times New Roman"/>
          <w:sz w:val="23"/>
        </w:rPr>
        <w:t xml:space="preserve">. Сегодня он  оценивается не столько с точки зрения непосредственного участия в приумножении научно-технического потенциала, как это было раньше, сколько с позиции создания благоприятных условий для мобилизации инвестиций частного сектора на инновационные цели. </w:t>
      </w:r>
    </w:p>
    <w:p w:rsidR="00AE4B8F" w:rsidRDefault="00E62C60">
      <w:pPr>
        <w:pStyle w:val="a7"/>
        <w:spacing w:line="260" w:lineRule="exact"/>
        <w:ind w:firstLine="340"/>
        <w:rPr>
          <w:rFonts w:ascii="Times New Roman" w:hAnsi="Times New Roman"/>
          <w:sz w:val="23"/>
        </w:rPr>
      </w:pPr>
      <w:r>
        <w:rPr>
          <w:rFonts w:ascii="Times New Roman" w:hAnsi="Times New Roman"/>
          <w:sz w:val="23"/>
        </w:rPr>
        <w:t>Государственные учреждения обладают возможностью привлечения иностранных инвестиций, в частности осуществляя концентрацию научно-исследовательских ресурсов в центрах совершенствования, которые, обладая высоким потенциалом для развития международного сотрудничества, служат сферами притяжения для частных инвестиций.</w:t>
      </w:r>
    </w:p>
    <w:p w:rsidR="00AE4B8F" w:rsidRDefault="00E62C60">
      <w:pPr>
        <w:pStyle w:val="a7"/>
        <w:spacing w:line="260" w:lineRule="exact"/>
        <w:ind w:firstLine="340"/>
        <w:rPr>
          <w:rFonts w:ascii="Times New Roman" w:hAnsi="Times New Roman"/>
          <w:sz w:val="23"/>
        </w:rPr>
      </w:pPr>
      <w:r>
        <w:rPr>
          <w:rFonts w:ascii="Times New Roman" w:hAnsi="Times New Roman"/>
          <w:sz w:val="23"/>
        </w:rPr>
        <w:t>Предоставляя доступ к научной и технической информации, национальные и коммунитарные ведомства содействуют передаче и диффузии технологии, формируя таким образом дополнительный спрос на инвестиции в исследования и разработки со стороны государственного и частного секторов.</w:t>
      </w:r>
    </w:p>
    <w:p w:rsidR="00AE4B8F" w:rsidRDefault="00E62C60">
      <w:pPr>
        <w:pStyle w:val="a7"/>
        <w:spacing w:line="260" w:lineRule="exact"/>
        <w:ind w:firstLine="340"/>
        <w:rPr>
          <w:rFonts w:ascii="Times New Roman" w:hAnsi="Times New Roman"/>
          <w:sz w:val="23"/>
        </w:rPr>
      </w:pPr>
      <w:r>
        <w:rPr>
          <w:rFonts w:ascii="Times New Roman" w:hAnsi="Times New Roman"/>
          <w:sz w:val="23"/>
        </w:rPr>
        <w:t>Учитывая названные позитивные аспекты и принимая во внимание существующие проблемы в развитии государственного сектора НИОКР в европейских странах, можно ожидать, что генеральным направлением его совершенствования в ближайшей перспективе станет повышение статуса научных работников, а также устранение административных и законодательных барьеров, препятствующих усилению сотрудничества между наукой и частным бизнесом.</w:t>
      </w:r>
    </w:p>
    <w:p w:rsidR="00AE4B8F" w:rsidRDefault="00E62C60">
      <w:pPr>
        <w:pStyle w:val="a7"/>
        <w:spacing w:line="260" w:lineRule="exact"/>
        <w:ind w:firstLine="340"/>
        <w:rPr>
          <w:rFonts w:ascii="Times New Roman" w:hAnsi="Times New Roman"/>
          <w:sz w:val="23"/>
        </w:rPr>
      </w:pPr>
      <w:r>
        <w:rPr>
          <w:rFonts w:ascii="Times New Roman" w:hAnsi="Times New Roman"/>
          <w:sz w:val="23"/>
        </w:rPr>
        <w:t xml:space="preserve">Формирование целостной инфраструктуры инновационной системы и поддержка деятельности составляющих её основных элементов дополняется широким спектром </w:t>
      </w:r>
      <w:r>
        <w:rPr>
          <w:rFonts w:ascii="Times New Roman" w:hAnsi="Times New Roman"/>
          <w:b/>
          <w:i/>
          <w:sz w:val="23"/>
        </w:rPr>
        <w:t>финансовых и налоговых инструментов</w:t>
      </w:r>
      <w:r>
        <w:rPr>
          <w:rFonts w:ascii="Times New Roman" w:hAnsi="Times New Roman"/>
          <w:sz w:val="23"/>
        </w:rPr>
        <w:t xml:space="preserve"> так называемого концентрированного воздействия. Они предусматривают прежде всего прямую финансовую поддержку, осуществляемую в рамках научно-исследовательских программ национального и регионального уровней. Бюджет текущей, шестой рамочной программы научных исследований ЕС в размере 17,5 млрд евро, например, предназначен не только для поддержки семи приоритетных тематических направлений исследований. Важными статьями его расходов является финансирование формирования конкретных элементов инфраструктуры региональной инновационной системы (системы профессионального образования, трансрегионального сотрудничества, проектирования, рискового финансирования, научно-исследовательских услуг и др.) и  соответствующей работы по координации мероприятий в рамках региона.</w:t>
      </w:r>
    </w:p>
    <w:p w:rsidR="00AE4B8F" w:rsidRDefault="00E62C60">
      <w:pPr>
        <w:pStyle w:val="a7"/>
        <w:spacing w:line="260" w:lineRule="exact"/>
        <w:ind w:firstLine="340"/>
        <w:rPr>
          <w:rFonts w:ascii="Times New Roman" w:hAnsi="Times New Roman"/>
          <w:sz w:val="23"/>
        </w:rPr>
      </w:pPr>
      <w:r>
        <w:rPr>
          <w:rFonts w:ascii="Times New Roman" w:hAnsi="Times New Roman"/>
          <w:sz w:val="23"/>
        </w:rPr>
        <w:t>Кроме того, эти финансовые инструменты подкрепляются налоговыми скидками на инвестиции в инновационное развитие, а также государственным регулированием рынков рискового капитала.</w:t>
      </w:r>
    </w:p>
    <w:p w:rsidR="00AE4B8F" w:rsidRDefault="00E62C60">
      <w:pPr>
        <w:pStyle w:val="a7"/>
        <w:spacing w:before="300" w:after="120" w:line="260" w:lineRule="exact"/>
        <w:jc w:val="center"/>
        <w:rPr>
          <w:rFonts w:ascii="Times New Roman" w:hAnsi="Times New Roman"/>
          <w:sz w:val="23"/>
        </w:rPr>
      </w:pPr>
      <w:r>
        <w:rPr>
          <w:rFonts w:ascii="Times New Roman" w:hAnsi="Times New Roman"/>
          <w:sz w:val="23"/>
        </w:rPr>
        <w:t>*     *      *</w:t>
      </w:r>
    </w:p>
    <w:p w:rsidR="00AE4B8F" w:rsidRDefault="00E62C60">
      <w:pPr>
        <w:pStyle w:val="a7"/>
        <w:spacing w:line="260" w:lineRule="exact"/>
        <w:ind w:firstLine="340"/>
        <w:rPr>
          <w:rFonts w:ascii="Times New Roman" w:hAnsi="Times New Roman"/>
          <w:sz w:val="23"/>
        </w:rPr>
      </w:pPr>
      <w:r>
        <w:rPr>
          <w:rFonts w:ascii="Times New Roman" w:hAnsi="Times New Roman"/>
          <w:sz w:val="23"/>
        </w:rPr>
        <w:t xml:space="preserve">Становление в Европе нового инновационного  уклада в условиях углубления процессов хозяйственной региональной интеграции объективно определяет  общеевропейский вектор его развития. Происходит трансформация национальных инновационных образований в единую, по крайней мере в рамках ЕС, европейскую инновационную систему. </w:t>
      </w:r>
    </w:p>
    <w:p w:rsidR="00AE4B8F" w:rsidRDefault="00E62C60">
      <w:pPr>
        <w:pStyle w:val="a7"/>
        <w:spacing w:line="260" w:lineRule="exact"/>
        <w:ind w:firstLine="340"/>
        <w:rPr>
          <w:rFonts w:ascii="Times New Roman" w:hAnsi="Times New Roman"/>
          <w:sz w:val="23"/>
        </w:rPr>
      </w:pPr>
      <w:r>
        <w:rPr>
          <w:rFonts w:ascii="Times New Roman" w:hAnsi="Times New Roman"/>
          <w:sz w:val="23"/>
        </w:rPr>
        <w:t xml:space="preserve">Европейский опыт по переходу на инновационный тип развития и создания инновационных систем позволяет сделать принципиально важные и  для российских условий выводы. </w:t>
      </w:r>
    </w:p>
    <w:p w:rsidR="00AE4B8F" w:rsidRDefault="00E62C60">
      <w:pPr>
        <w:pStyle w:val="a7"/>
        <w:spacing w:line="260" w:lineRule="exact"/>
        <w:ind w:firstLine="340"/>
        <w:rPr>
          <w:rFonts w:ascii="Times New Roman" w:hAnsi="Times New Roman"/>
          <w:sz w:val="23"/>
        </w:rPr>
      </w:pPr>
      <w:r>
        <w:rPr>
          <w:rFonts w:ascii="Times New Roman" w:hAnsi="Times New Roman"/>
          <w:sz w:val="23"/>
        </w:rPr>
        <w:t xml:space="preserve">Проблема построения инновационной экономики носит системный характер, требует солидной  концептуальной проработки и тщательно выверенных мер её реализации. Участие широких слоёв общества в обсуждении проблем такого развития и выработке соответствующих предложений для принятия решений на государственном уровне является сегодня необходимым для этого условием. </w:t>
      </w:r>
    </w:p>
    <w:p w:rsidR="00AE4B8F" w:rsidRDefault="00E62C60">
      <w:pPr>
        <w:pStyle w:val="a7"/>
        <w:spacing w:line="260" w:lineRule="exact"/>
        <w:ind w:firstLine="340"/>
        <w:rPr>
          <w:rFonts w:ascii="Times New Roman" w:hAnsi="Times New Roman"/>
          <w:sz w:val="23"/>
        </w:rPr>
      </w:pPr>
      <w:r>
        <w:rPr>
          <w:rFonts w:ascii="Times New Roman" w:hAnsi="Times New Roman"/>
          <w:sz w:val="23"/>
        </w:rPr>
        <w:t xml:space="preserve">К сожалению, итоги более чем десятилетнего </w:t>
      </w:r>
      <w:r>
        <w:rPr>
          <w:rFonts w:ascii="Times New Roman" w:hAnsi="Times New Roman"/>
          <w:sz w:val="23"/>
          <w:lang w:val="en-US"/>
        </w:rPr>
        <w:t>“</w:t>
      </w:r>
      <w:r>
        <w:rPr>
          <w:rFonts w:ascii="Times New Roman" w:hAnsi="Times New Roman"/>
          <w:sz w:val="23"/>
        </w:rPr>
        <w:t>реформирования</w:t>
      </w:r>
      <w:r>
        <w:rPr>
          <w:rFonts w:ascii="Times New Roman" w:hAnsi="Times New Roman"/>
          <w:sz w:val="23"/>
          <w:lang w:val="en-US"/>
        </w:rPr>
        <w:t>”</w:t>
      </w:r>
      <w:r>
        <w:rPr>
          <w:rFonts w:ascii="Times New Roman" w:hAnsi="Times New Roman"/>
          <w:sz w:val="23"/>
        </w:rPr>
        <w:t xml:space="preserve"> отечественной экономики, приведшие к деградации её научно-технологического и производственного потенциала, не позволяют нам пока принять </w:t>
      </w:r>
      <w:r>
        <w:rPr>
          <w:rFonts w:ascii="Times New Roman" w:hAnsi="Times New Roman"/>
          <w:sz w:val="23"/>
          <w:lang w:val="en-US"/>
        </w:rPr>
        <w:t>“</w:t>
      </w:r>
      <w:r>
        <w:rPr>
          <w:rFonts w:ascii="Times New Roman" w:hAnsi="Times New Roman"/>
          <w:sz w:val="23"/>
        </w:rPr>
        <w:t>инновационный вызов</w:t>
      </w:r>
      <w:r>
        <w:rPr>
          <w:rFonts w:ascii="Times New Roman" w:hAnsi="Times New Roman"/>
          <w:sz w:val="23"/>
          <w:lang w:val="en-US"/>
        </w:rPr>
        <w:t>”</w:t>
      </w:r>
      <w:r>
        <w:rPr>
          <w:rFonts w:ascii="Times New Roman" w:hAnsi="Times New Roman"/>
          <w:sz w:val="23"/>
        </w:rPr>
        <w:t xml:space="preserve"> Запада ни по одному из перечисленных выше положений. Более того, представляется  весьма проблематичным решение этой задачи и в обозримой перспективе при сохранении официальной экономической идеологии, пропагандирующей давно устаревшие крайне либеральные рыночные формы хозяйственного устройства и намеренно оставляющей без должного внимания успешно опробованные на практике принципы социального рыночного хозяйства вкупе с элементами </w:t>
      </w:r>
      <w:r>
        <w:rPr>
          <w:rFonts w:ascii="Times New Roman" w:hAnsi="Times New Roman"/>
          <w:sz w:val="23"/>
          <w:lang w:val="en-US"/>
        </w:rPr>
        <w:t>“</w:t>
      </w:r>
      <w:r>
        <w:rPr>
          <w:rFonts w:ascii="Times New Roman" w:hAnsi="Times New Roman"/>
          <w:sz w:val="23"/>
        </w:rPr>
        <w:t>инновационного порядка</w:t>
      </w:r>
      <w:r>
        <w:rPr>
          <w:rFonts w:ascii="Times New Roman" w:hAnsi="Times New Roman"/>
          <w:sz w:val="23"/>
          <w:lang w:val="en-US"/>
        </w:rPr>
        <w:t>”</w:t>
      </w:r>
      <w:r>
        <w:rPr>
          <w:rFonts w:ascii="Times New Roman" w:hAnsi="Times New Roman"/>
          <w:sz w:val="23"/>
        </w:rPr>
        <w:t>. Однако претворение в жизнь именно этих принципов необходимо сегодня нам для инновационного рывка. И важно, чтобы этот шанс не был упущен.</w:t>
      </w:r>
    </w:p>
    <w:p w:rsidR="00AE4B8F" w:rsidRDefault="00AE4B8F">
      <w:pPr>
        <w:pStyle w:val="a7"/>
        <w:spacing w:line="180" w:lineRule="exact"/>
        <w:ind w:firstLine="340"/>
        <w:rPr>
          <w:rFonts w:ascii="Times New Roman" w:hAnsi="Times New Roman"/>
          <w:sz w:val="23"/>
        </w:rPr>
      </w:pPr>
    </w:p>
    <w:p w:rsidR="00AE4B8F" w:rsidRDefault="00E62C60">
      <w:pPr>
        <w:pStyle w:val="a9"/>
        <w:spacing w:line="260" w:lineRule="exact"/>
        <w:ind w:firstLine="0"/>
        <w:jc w:val="center"/>
        <w:rPr>
          <w:rFonts w:ascii="Times New Roman" w:hAnsi="Times New Roman"/>
          <w:spacing w:val="2"/>
          <w:sz w:val="23"/>
        </w:rPr>
      </w:pPr>
      <w:r>
        <w:rPr>
          <w:rFonts w:ascii="Times New Roman" w:hAnsi="Times New Roman"/>
          <w:spacing w:val="2"/>
          <w:sz w:val="23"/>
        </w:rPr>
        <w:t>____________________________________________</w:t>
      </w:r>
      <w:bookmarkStart w:id="0" w:name="_GoBack"/>
      <w:bookmarkEnd w:id="0"/>
    </w:p>
    <w:sectPr w:rsidR="00AE4B8F">
      <w:headerReference w:type="even" r:id="rId6"/>
      <w:headerReference w:type="default" r:id="rId7"/>
      <w:headerReference w:type="first" r:id="rId8"/>
      <w:footnotePr>
        <w:numRestart w:val="eachPage"/>
      </w:footnotePr>
      <w:pgSz w:w="11907" w:h="16840" w:code="9"/>
      <w:pgMar w:top="1304" w:right="3119" w:bottom="4253" w:left="851" w:header="851"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B8F" w:rsidRDefault="00E62C60">
      <w:r>
        <w:separator/>
      </w:r>
    </w:p>
  </w:endnote>
  <w:endnote w:type="continuationSeparator" w:id="0">
    <w:p w:rsidR="00AE4B8F" w:rsidRDefault="00E6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_Timer">
    <w:altName w:val="Times New Roman"/>
    <w:charset w:val="CC"/>
    <w:family w:val="roman"/>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B8F" w:rsidRDefault="00E62C60">
      <w:r>
        <w:separator/>
      </w:r>
    </w:p>
  </w:footnote>
  <w:footnote w:type="continuationSeparator" w:id="0">
    <w:p w:rsidR="00AE4B8F" w:rsidRDefault="00E62C60">
      <w:r>
        <w:continuationSeparator/>
      </w:r>
    </w:p>
  </w:footnote>
  <w:footnote w:id="1">
    <w:p w:rsidR="00AE4B8F" w:rsidRDefault="00E62C60">
      <w:pPr>
        <w:pStyle w:val="a8"/>
        <w:ind w:left="170" w:hanging="170"/>
        <w:jc w:val="both"/>
        <w:rPr>
          <w:rFonts w:ascii="Times New Roman" w:hAnsi="Times New Roman"/>
        </w:rPr>
      </w:pPr>
      <w:r>
        <w:rPr>
          <w:rStyle w:val="a6"/>
          <w:rFonts w:ascii="Times New Roman" w:hAnsi="Times New Roman"/>
        </w:rPr>
        <w:footnoteRef/>
      </w:r>
      <w:r>
        <w:rPr>
          <w:rFonts w:ascii="Times New Roman" w:hAnsi="Times New Roman"/>
        </w:rPr>
        <w:t xml:space="preserve"> Продолжительный период сравнительно устойчивого экономического роста в США в течение 1990-х годов, например, связывали с новыми экономическими закономерностями (новой экономикой), якобы проявляющимися в устранении цикличности деловой активности.</w:t>
      </w:r>
    </w:p>
  </w:footnote>
  <w:footnote w:id="2">
    <w:p w:rsidR="00AE4B8F" w:rsidRDefault="00E62C60">
      <w:pPr>
        <w:pStyle w:val="a8"/>
        <w:ind w:left="170" w:hanging="170"/>
        <w:jc w:val="both"/>
        <w:rPr>
          <w:rFonts w:ascii="Times New Roman" w:hAnsi="Times New Roman"/>
        </w:rPr>
      </w:pPr>
      <w:r>
        <w:rPr>
          <w:rStyle w:val="a6"/>
          <w:rFonts w:ascii="Times New Roman" w:hAnsi="Times New Roman"/>
        </w:rPr>
        <w:footnoteRef/>
      </w:r>
      <w:r>
        <w:rPr>
          <w:rFonts w:ascii="Times New Roman" w:hAnsi="Times New Roman"/>
        </w:rPr>
        <w:t xml:space="preserve"> Наиболее обстоятельный обзор этих концепций в русскоязычной  экономической литературе выполнен в работах А.А. Дынкина и Н.И. Ивановой, см.: Инновационная экономика. М., Наука, 2000; Н.И. Иванова. Национальные инновационные системы. М., Наука, 2002.</w:t>
      </w:r>
    </w:p>
  </w:footnote>
  <w:footnote w:id="3">
    <w:p w:rsidR="00AE4B8F" w:rsidRDefault="00E62C60">
      <w:pPr>
        <w:pStyle w:val="a8"/>
        <w:ind w:left="170" w:hanging="170"/>
        <w:jc w:val="both"/>
        <w:rPr>
          <w:rFonts w:ascii="Times New Roman" w:hAnsi="Times New Roman"/>
          <w:lang w:val="en-US"/>
        </w:rPr>
      </w:pPr>
      <w:r>
        <w:rPr>
          <w:rStyle w:val="a6"/>
          <w:rFonts w:ascii="Times New Roman" w:hAnsi="Times New Roman"/>
        </w:rPr>
        <w:footnoteRef/>
      </w:r>
      <w:r>
        <w:rPr>
          <w:rFonts w:ascii="Times New Roman" w:hAnsi="Times New Roman"/>
        </w:rPr>
        <w:t xml:space="preserve"> </w:t>
      </w:r>
      <w:r>
        <w:rPr>
          <w:rFonts w:ascii="Times New Roman" w:hAnsi="Times New Roman"/>
          <w:lang w:val="en-US"/>
        </w:rPr>
        <w:t>Baumol, W.J. The Free-Market Innоvation Machin</w:t>
      </w:r>
      <w:r>
        <w:rPr>
          <w:rFonts w:ascii="Times New Roman" w:hAnsi="Times New Roman"/>
        </w:rPr>
        <w:t>е</w:t>
      </w:r>
      <w:r>
        <w:rPr>
          <w:rFonts w:ascii="Times New Roman" w:hAnsi="Times New Roman"/>
          <w:lang w:val="en-US"/>
        </w:rPr>
        <w:t xml:space="preserve"> – Analyzing the Growth Miracle of Capitalism. Princeton and Oxford. Princeton University Press, 2002.</w:t>
      </w:r>
    </w:p>
  </w:footnote>
  <w:footnote w:id="4">
    <w:p w:rsidR="00AE4B8F" w:rsidRDefault="00E62C60">
      <w:pPr>
        <w:shd w:val="clear" w:color="auto" w:fill="FFFFFF"/>
        <w:tabs>
          <w:tab w:val="left" w:pos="8559"/>
        </w:tabs>
        <w:ind w:left="170" w:hanging="170"/>
        <w:jc w:val="both"/>
        <w:rPr>
          <w:rFonts w:ascii="Times New Roman" w:hAnsi="Times New Roman"/>
        </w:rPr>
      </w:pPr>
      <w:r>
        <w:rPr>
          <w:rStyle w:val="a6"/>
          <w:rFonts w:ascii="Times New Roman" w:hAnsi="Times New Roman"/>
        </w:rPr>
        <w:footnoteRef/>
      </w:r>
      <w:r>
        <w:rPr>
          <w:rFonts w:ascii="Times New Roman" w:hAnsi="Times New Roman"/>
        </w:rPr>
        <w:t xml:space="preserve"> ОЭСР включает в них затраты на НИОКР, высшее образование, информационные и коммуникационные </w:t>
      </w:r>
      <w:r>
        <w:rPr>
          <w:rFonts w:ascii="Times New Roman" w:hAnsi="Times New Roman"/>
          <w:spacing w:val="2"/>
        </w:rPr>
        <w:t xml:space="preserve">технологии, см.: ОЕСО </w:t>
      </w:r>
      <w:r>
        <w:rPr>
          <w:rFonts w:ascii="Times New Roman" w:hAnsi="Times New Roman"/>
          <w:spacing w:val="2"/>
          <w:lang w:val="en-US"/>
        </w:rPr>
        <w:t xml:space="preserve">Science, Technology and Industry Outlook </w:t>
      </w:r>
      <w:r>
        <w:rPr>
          <w:rFonts w:ascii="Times New Roman" w:hAnsi="Times New Roman"/>
          <w:spacing w:val="2"/>
        </w:rPr>
        <w:t>2002, ОЕС</w:t>
      </w:r>
      <w:r>
        <w:rPr>
          <w:rFonts w:ascii="Times New Roman" w:hAnsi="Times New Roman"/>
          <w:spacing w:val="2"/>
          <w:lang w:val="en-US"/>
        </w:rPr>
        <w:t>D</w:t>
      </w:r>
      <w:r>
        <w:rPr>
          <w:rFonts w:ascii="Times New Roman" w:hAnsi="Times New Roman"/>
          <w:spacing w:val="2"/>
        </w:rPr>
        <w:t>, Ра</w:t>
      </w:r>
      <w:r>
        <w:rPr>
          <w:rFonts w:ascii="Times New Roman" w:hAnsi="Times New Roman"/>
          <w:spacing w:val="2"/>
          <w:lang w:val="en-US"/>
        </w:rPr>
        <w:t>ris</w:t>
      </w:r>
      <w:r>
        <w:rPr>
          <w:rFonts w:ascii="Times New Roman" w:hAnsi="Times New Roman"/>
          <w:spacing w:val="2"/>
        </w:rPr>
        <w:t>, 2002. Р. 285.</w:t>
      </w:r>
      <w:r>
        <w:rPr>
          <w:rFonts w:ascii="Times New Roman" w:hAnsi="Times New Roman"/>
        </w:rPr>
        <w:t xml:space="preserve"> </w:t>
      </w:r>
    </w:p>
  </w:footnote>
  <w:footnote w:id="5">
    <w:p w:rsidR="00AE4B8F" w:rsidRDefault="00E62C60">
      <w:pPr>
        <w:pStyle w:val="a8"/>
        <w:ind w:left="170" w:hanging="170"/>
        <w:jc w:val="both"/>
        <w:rPr>
          <w:rFonts w:ascii="Times New Roman" w:hAnsi="Times New Roman"/>
          <w:lang w:val="en-US"/>
        </w:rPr>
      </w:pPr>
      <w:r>
        <w:rPr>
          <w:rStyle w:val="a6"/>
          <w:rFonts w:ascii="Times New Roman" w:hAnsi="Times New Roman"/>
        </w:rPr>
        <w:footnoteRef/>
      </w:r>
      <w:r>
        <w:rPr>
          <w:rFonts w:ascii="Times New Roman" w:hAnsi="Times New Roman"/>
        </w:rPr>
        <w:t xml:space="preserve"> См.: </w:t>
      </w:r>
      <w:r>
        <w:rPr>
          <w:rFonts w:ascii="Times New Roman" w:hAnsi="Times New Roman"/>
          <w:lang w:val="en-US"/>
        </w:rPr>
        <w:t>More Research for Europe. Towards 3% of GDP.  COM</w:t>
      </w:r>
      <w:r>
        <w:rPr>
          <w:rFonts w:ascii="Times New Roman" w:hAnsi="Times New Roman"/>
        </w:rPr>
        <w:t>(2002)</w:t>
      </w:r>
      <w:r>
        <w:rPr>
          <w:rFonts w:ascii="Times New Roman" w:hAnsi="Times New Roman"/>
          <w:lang w:val="en-US"/>
        </w:rPr>
        <w:t>499 final, Brussels, 11.09.2002</w:t>
      </w:r>
      <w:r>
        <w:rPr>
          <w:rFonts w:ascii="Times New Roman" w:hAnsi="Times New Roman"/>
        </w:rPr>
        <w:t>, 6.</w:t>
      </w:r>
    </w:p>
  </w:footnote>
  <w:footnote w:id="6">
    <w:p w:rsidR="00AE4B8F" w:rsidRDefault="00E62C60">
      <w:pPr>
        <w:pStyle w:val="a8"/>
        <w:ind w:left="170" w:hanging="170"/>
        <w:jc w:val="both"/>
        <w:rPr>
          <w:rFonts w:ascii="Times New Roman" w:hAnsi="Times New Roman"/>
          <w:lang w:val="en-US"/>
        </w:rPr>
      </w:pPr>
      <w:r>
        <w:rPr>
          <w:rStyle w:val="a6"/>
          <w:rFonts w:ascii="Times New Roman" w:hAnsi="Times New Roman"/>
        </w:rPr>
        <w:footnoteRef/>
      </w:r>
      <w:r>
        <w:rPr>
          <w:rFonts w:ascii="Times New Roman" w:hAnsi="Times New Roman"/>
        </w:rPr>
        <w:t xml:space="preserve"> </w:t>
      </w:r>
      <w:r>
        <w:rPr>
          <w:rFonts w:ascii="Times New Roman" w:hAnsi="Times New Roman"/>
          <w:lang w:val="en-US"/>
        </w:rPr>
        <w:t>OECD Science, Technology and Industry Outlook 2002. OECD, Paris. 2002</w:t>
      </w:r>
      <w:r>
        <w:rPr>
          <w:rFonts w:ascii="Times New Roman" w:hAnsi="Times New Roman"/>
        </w:rPr>
        <w:t>.</w:t>
      </w:r>
      <w:r>
        <w:rPr>
          <w:rFonts w:ascii="Times New Roman" w:hAnsi="Times New Roman"/>
          <w:lang w:val="en-US"/>
        </w:rPr>
        <w:t xml:space="preserve"> </w:t>
      </w:r>
      <w:r>
        <w:rPr>
          <w:rFonts w:ascii="Times New Roman" w:hAnsi="Times New Roman"/>
        </w:rPr>
        <w:t>Р</w:t>
      </w:r>
      <w:r>
        <w:rPr>
          <w:rFonts w:ascii="Times New Roman" w:hAnsi="Times New Roman"/>
          <w:lang w:val="en-US"/>
        </w:rPr>
        <w:t>. 104.</w:t>
      </w:r>
    </w:p>
  </w:footnote>
  <w:footnote w:id="7">
    <w:p w:rsidR="00AE4B8F" w:rsidRDefault="00E62C60">
      <w:pPr>
        <w:pStyle w:val="a8"/>
        <w:ind w:left="170" w:hanging="170"/>
        <w:jc w:val="both"/>
        <w:rPr>
          <w:rFonts w:ascii="Times New Roman" w:hAnsi="Times New Roman"/>
        </w:rPr>
      </w:pPr>
      <w:r>
        <w:rPr>
          <w:rStyle w:val="a6"/>
          <w:rFonts w:ascii="Times New Roman" w:hAnsi="Times New Roman"/>
        </w:rPr>
        <w:footnoteRef/>
      </w:r>
      <w:r>
        <w:rPr>
          <w:rFonts w:ascii="Times New Roman" w:hAnsi="Times New Roman"/>
        </w:rPr>
        <w:t xml:space="preserve">См.: </w:t>
      </w:r>
      <w:r>
        <w:rPr>
          <w:rFonts w:ascii="Times New Roman" w:hAnsi="Times New Roman"/>
          <w:lang w:val="en-US"/>
        </w:rPr>
        <w:t xml:space="preserve">Raising EU R&amp;D Intensity. </w:t>
      </w:r>
      <w:r>
        <w:rPr>
          <w:rFonts w:ascii="Times New Roman" w:hAnsi="Times New Roman"/>
        </w:rPr>
        <w:t>Improving the Effectiveness о</w:t>
      </w:r>
      <w:r>
        <w:rPr>
          <w:rFonts w:ascii="Times New Roman" w:hAnsi="Times New Roman"/>
          <w:lang w:val="en-US"/>
        </w:rPr>
        <w:t xml:space="preserve">f the Mix </w:t>
      </w:r>
      <w:r>
        <w:rPr>
          <w:rFonts w:ascii="Times New Roman" w:hAnsi="Times New Roman"/>
        </w:rPr>
        <w:t>of Public Support</w:t>
      </w:r>
      <w:r>
        <w:rPr>
          <w:rFonts w:ascii="Times New Roman" w:hAnsi="Times New Roman"/>
          <w:lang w:val="en-US"/>
        </w:rPr>
        <w:t xml:space="preserve"> </w:t>
      </w:r>
      <w:r>
        <w:rPr>
          <w:rFonts w:ascii="Times New Roman" w:hAnsi="Times New Roman"/>
        </w:rPr>
        <w:t>Mechanisms for Private Sector Research and</w:t>
      </w:r>
      <w:r>
        <w:rPr>
          <w:rFonts w:ascii="Times New Roman" w:hAnsi="Times New Roman"/>
          <w:lang w:val="en-US"/>
        </w:rPr>
        <w:t xml:space="preserve"> </w:t>
      </w:r>
      <w:r>
        <w:rPr>
          <w:rFonts w:ascii="Times New Roman" w:hAnsi="Times New Roman"/>
        </w:rPr>
        <w:t>Development.</w:t>
      </w:r>
      <w:r>
        <w:rPr>
          <w:rFonts w:ascii="Times New Roman" w:hAnsi="Times New Roman"/>
          <w:lang w:val="en-US"/>
        </w:rPr>
        <w:t xml:space="preserve"> </w:t>
      </w:r>
      <w:r>
        <w:rPr>
          <w:rFonts w:ascii="Times New Roman" w:hAnsi="Times New Roman"/>
        </w:rPr>
        <w:t>Report to the European Commission</w:t>
      </w:r>
      <w:r>
        <w:rPr>
          <w:rFonts w:ascii="Times New Roman" w:hAnsi="Times New Roman"/>
          <w:lang w:val="en-US"/>
        </w:rPr>
        <w:t xml:space="preserve"> </w:t>
      </w:r>
      <w:r>
        <w:rPr>
          <w:rFonts w:ascii="Times New Roman" w:hAnsi="Times New Roman"/>
        </w:rPr>
        <w:t>from an Independent Expert Group</w:t>
      </w:r>
      <w:r>
        <w:rPr>
          <w:rFonts w:ascii="Times New Roman" w:hAnsi="Times New Roman"/>
          <w:lang w:val="en-US"/>
        </w:rPr>
        <w:t>. European Communities, 2003</w:t>
      </w:r>
      <w:r>
        <w:rPr>
          <w:rFonts w:ascii="Times New Roman" w:hAnsi="Times New Roman"/>
        </w:rPr>
        <w:t>.</w:t>
      </w:r>
      <w:r>
        <w:rPr>
          <w:rFonts w:ascii="Times New Roman" w:hAnsi="Times New Roman"/>
          <w:lang w:val="en-US"/>
        </w:rPr>
        <w:t xml:space="preserve"> </w:t>
      </w:r>
      <w:r>
        <w:rPr>
          <w:rFonts w:ascii="Times New Roman" w:hAnsi="Times New Roman"/>
        </w:rPr>
        <w:t>Р</w:t>
      </w:r>
      <w:r>
        <w:rPr>
          <w:rFonts w:ascii="Times New Roman" w:hAnsi="Times New Roman"/>
          <w:lang w:val="en-US"/>
        </w:rPr>
        <w:t>. 40.</w:t>
      </w:r>
    </w:p>
  </w:footnote>
  <w:footnote w:id="8">
    <w:p w:rsidR="00AE4B8F" w:rsidRDefault="00E62C60">
      <w:pPr>
        <w:ind w:left="170" w:hanging="170"/>
        <w:jc w:val="both"/>
        <w:rPr>
          <w:rFonts w:ascii="Times New Roman" w:hAnsi="Times New Roman"/>
          <w:lang w:val="en-US"/>
        </w:rPr>
      </w:pPr>
      <w:r>
        <w:rPr>
          <w:rStyle w:val="a6"/>
          <w:rFonts w:ascii="Times New Roman" w:hAnsi="Times New Roman"/>
        </w:rPr>
        <w:footnoteRef/>
      </w:r>
      <w:r>
        <w:rPr>
          <w:rFonts w:ascii="Times New Roman" w:hAnsi="Times New Roman"/>
        </w:rPr>
        <w:t xml:space="preserve"> См</w:t>
      </w:r>
      <w:r>
        <w:rPr>
          <w:rFonts w:ascii="Times New Roman" w:hAnsi="Times New Roman"/>
          <w:lang w:val="en-US"/>
        </w:rPr>
        <w:t xml:space="preserve">. </w:t>
      </w:r>
      <w:r>
        <w:rPr>
          <w:rFonts w:ascii="Times New Roman" w:hAnsi="Times New Roman"/>
        </w:rPr>
        <w:t>подробно</w:t>
      </w:r>
      <w:r>
        <w:rPr>
          <w:rFonts w:ascii="Times New Roman" w:hAnsi="Times New Roman"/>
          <w:lang w:val="en-US"/>
        </w:rPr>
        <w:t>: Economic Policy Committee, Report on Research and Development, EPC/ECFIN/ 01/777-EN Final, 2002, January 22, Brussels</w:t>
      </w:r>
      <w:r>
        <w:rPr>
          <w:rFonts w:ascii="Times New Roman" w:hAnsi="Times New Roman"/>
        </w:rPr>
        <w:t xml:space="preserve">. </w:t>
      </w:r>
    </w:p>
  </w:footnote>
  <w:footnote w:id="9">
    <w:p w:rsidR="00AE4B8F" w:rsidRDefault="00E62C60">
      <w:pPr>
        <w:tabs>
          <w:tab w:val="left" w:pos="7560"/>
        </w:tabs>
        <w:autoSpaceDE w:val="0"/>
        <w:autoSpaceDN w:val="0"/>
        <w:adjustRightInd w:val="0"/>
        <w:ind w:left="170" w:hanging="170"/>
        <w:jc w:val="both"/>
        <w:rPr>
          <w:rFonts w:ascii="Times New Roman" w:hAnsi="Times New Roman"/>
        </w:rPr>
      </w:pPr>
      <w:r>
        <w:rPr>
          <w:rStyle w:val="a6"/>
          <w:rFonts w:ascii="Times New Roman" w:hAnsi="Times New Roman"/>
        </w:rPr>
        <w:footnoteRef/>
      </w:r>
      <w:r>
        <w:rPr>
          <w:rFonts w:ascii="Times New Roman" w:hAnsi="Times New Roman"/>
        </w:rPr>
        <w:t xml:space="preserve">  См.: </w:t>
      </w:r>
      <w:r>
        <w:rPr>
          <w:rFonts w:ascii="Times New Roman" w:hAnsi="Times New Roman"/>
          <w:lang w:val="en-US"/>
        </w:rPr>
        <w:t xml:space="preserve">Raising EU R&amp;D Intensity. </w:t>
      </w:r>
      <w:r>
        <w:rPr>
          <w:rFonts w:ascii="Times New Roman" w:hAnsi="Times New Roman"/>
        </w:rPr>
        <w:t>Improving the Effectiveness of Public Support</w:t>
      </w:r>
      <w:r>
        <w:rPr>
          <w:rFonts w:ascii="Times New Roman" w:hAnsi="Times New Roman"/>
          <w:lang w:val="en-US"/>
        </w:rPr>
        <w:t xml:space="preserve"> </w:t>
      </w:r>
      <w:r>
        <w:rPr>
          <w:rFonts w:ascii="Times New Roman" w:hAnsi="Times New Roman"/>
        </w:rPr>
        <w:t>Mechanisms for Private Sector Research and</w:t>
      </w:r>
      <w:r>
        <w:rPr>
          <w:rFonts w:ascii="Times New Roman" w:hAnsi="Times New Roman"/>
          <w:lang w:val="en-US"/>
        </w:rPr>
        <w:t xml:space="preserve"> </w:t>
      </w:r>
      <w:r>
        <w:rPr>
          <w:rFonts w:ascii="Times New Roman" w:hAnsi="Times New Roman"/>
        </w:rPr>
        <w:t xml:space="preserve">Development: </w:t>
      </w:r>
      <w:r>
        <w:rPr>
          <w:rFonts w:ascii="Times New Roman" w:hAnsi="Times New Roman"/>
          <w:lang w:val="en-US"/>
        </w:rPr>
        <w:t xml:space="preserve">Direct Meausures. </w:t>
      </w:r>
      <w:r>
        <w:rPr>
          <w:rFonts w:ascii="Times New Roman" w:hAnsi="Times New Roman"/>
        </w:rPr>
        <w:t>Report to the European Commission</w:t>
      </w:r>
      <w:r>
        <w:rPr>
          <w:rFonts w:ascii="Times New Roman" w:hAnsi="Times New Roman"/>
          <w:lang w:val="en-US"/>
        </w:rPr>
        <w:t xml:space="preserve"> </w:t>
      </w:r>
      <w:r>
        <w:rPr>
          <w:rFonts w:ascii="Times New Roman" w:hAnsi="Times New Roman"/>
        </w:rPr>
        <w:t>from an Independent Expert Group</w:t>
      </w:r>
      <w:r>
        <w:rPr>
          <w:rFonts w:ascii="Times New Roman" w:hAnsi="Times New Roman"/>
          <w:lang w:val="en-US"/>
        </w:rPr>
        <w:t>. European Communities, 2003</w:t>
      </w:r>
      <w:r>
        <w:rPr>
          <w:rFonts w:ascii="Times New Roman" w:hAnsi="Times New Roman"/>
        </w:rPr>
        <w:t>.</w:t>
      </w:r>
      <w:r>
        <w:rPr>
          <w:rFonts w:ascii="Times New Roman" w:hAnsi="Times New Roman"/>
          <w:lang w:val="en-US"/>
        </w:rPr>
        <w:t xml:space="preserve"> </w:t>
      </w:r>
      <w:r>
        <w:rPr>
          <w:rFonts w:ascii="Times New Roman" w:hAnsi="Times New Roman"/>
        </w:rPr>
        <w:t>Р</w:t>
      </w:r>
      <w:r>
        <w:rPr>
          <w:rFonts w:ascii="Times New Roman" w:hAnsi="Times New Roman"/>
          <w:lang w:val="en-US"/>
        </w:rPr>
        <w:t>. 73</w:t>
      </w:r>
      <w:r>
        <w:rPr>
          <w:rFonts w:ascii="Times New Roman" w:hAnsi="Times New Roman"/>
        </w:rPr>
        <w:t>–</w:t>
      </w:r>
      <w:r>
        <w:rPr>
          <w:rFonts w:ascii="Times New Roman" w:hAnsi="Times New Roman"/>
          <w:lang w:val="en-US"/>
        </w:rPr>
        <w:t>74.</w:t>
      </w:r>
    </w:p>
  </w:footnote>
  <w:footnote w:id="10">
    <w:p w:rsidR="00AE4B8F" w:rsidRDefault="00E62C60">
      <w:pPr>
        <w:pStyle w:val="a8"/>
        <w:ind w:left="170" w:hanging="170"/>
        <w:jc w:val="both"/>
        <w:rPr>
          <w:rFonts w:ascii="Times New Roman" w:hAnsi="Times New Roman"/>
        </w:rPr>
      </w:pPr>
      <w:r>
        <w:rPr>
          <w:rStyle w:val="a6"/>
          <w:rFonts w:ascii="Times New Roman" w:hAnsi="Times New Roman"/>
        </w:rPr>
        <w:footnoteRef/>
      </w:r>
      <w:r>
        <w:rPr>
          <w:rFonts w:ascii="Times New Roman" w:hAnsi="Times New Roman"/>
        </w:rPr>
        <w:t xml:space="preserve"> Объём государственных закупок, составляя сегодня в ЕС, по оценкам, 16% от ВВП, уже является важным компонентом спроса в ряде секторов, таких, как здравоохранение, образование, транспорт, оборона. См.: </w:t>
      </w:r>
      <w:r>
        <w:rPr>
          <w:rFonts w:ascii="Times New Roman" w:hAnsi="Times New Roman"/>
          <w:lang w:val="en-US"/>
        </w:rPr>
        <w:t>Investing in research: an action plan for Europe. CTC, Brussels, COM (226), 30.04.2003</w:t>
      </w:r>
      <w:r>
        <w:rPr>
          <w:rFonts w:ascii="Times New Roman" w:hAnsi="Times New Roman"/>
        </w:rPr>
        <w:t>. Р. 20.</w:t>
      </w:r>
    </w:p>
  </w:footnote>
  <w:footnote w:id="11">
    <w:p w:rsidR="00AE4B8F" w:rsidRDefault="00E62C60">
      <w:pPr>
        <w:ind w:left="170" w:hanging="170"/>
        <w:jc w:val="both"/>
        <w:rPr>
          <w:rFonts w:ascii="Times New Roman" w:hAnsi="Times New Roman"/>
          <w:lang w:val="en-US"/>
        </w:rPr>
      </w:pPr>
      <w:r>
        <w:rPr>
          <w:rStyle w:val="a6"/>
          <w:rFonts w:ascii="Times New Roman" w:hAnsi="Times New Roman"/>
        </w:rPr>
        <w:footnoteRef/>
      </w:r>
      <w:r>
        <w:rPr>
          <w:rFonts w:ascii="Times New Roman" w:hAnsi="Times New Roman"/>
        </w:rPr>
        <w:t xml:space="preserve"> </w:t>
      </w:r>
      <w:r>
        <w:rPr>
          <w:rFonts w:ascii="Times New Roman" w:hAnsi="Times New Roman"/>
          <w:lang w:val="en-US"/>
        </w:rPr>
        <w:t xml:space="preserve"> </w:t>
      </w:r>
      <w:r>
        <w:rPr>
          <w:rFonts w:ascii="Times New Roman" w:hAnsi="Times New Roman"/>
        </w:rPr>
        <w:t>См</w:t>
      </w:r>
      <w:r>
        <w:rPr>
          <w:rFonts w:ascii="Times New Roman" w:hAnsi="Times New Roman"/>
          <w:lang w:val="en-US"/>
        </w:rPr>
        <w:t>.: Faegri et al, ‘Human Resources in RTD: Benchmarking National Policies’, STRATA-ETAN Expert Working Group, European Commission,  2002; ‘Towards a European Research Area: Key figures 2001’, Special Edition, Indicators for Benchmarking of National Research Policies, European Commission. 2001</w:t>
      </w:r>
      <w:r>
        <w:rPr>
          <w:rFonts w:ascii="Times New Roman" w:hAnsi="Times New Roman"/>
        </w:rPr>
        <w:t>.</w:t>
      </w:r>
    </w:p>
  </w:footnote>
  <w:footnote w:id="12">
    <w:p w:rsidR="00AE4B8F" w:rsidRDefault="00E62C60">
      <w:pPr>
        <w:pStyle w:val="a8"/>
        <w:ind w:left="170" w:hanging="170"/>
        <w:jc w:val="both"/>
        <w:rPr>
          <w:rFonts w:ascii="Times New Roman" w:hAnsi="Times New Roman"/>
        </w:rPr>
      </w:pPr>
      <w:r>
        <w:rPr>
          <w:rStyle w:val="a6"/>
          <w:rFonts w:ascii="Times New Roman" w:hAnsi="Times New Roman"/>
        </w:rPr>
        <w:footnoteRef/>
      </w:r>
      <w:r>
        <w:rPr>
          <w:rFonts w:ascii="Times New Roman" w:hAnsi="Times New Roman"/>
        </w:rPr>
        <w:t xml:space="preserve">  </w:t>
      </w:r>
      <w:r>
        <w:rPr>
          <w:rFonts w:ascii="Times New Roman" w:hAnsi="Times New Roman"/>
          <w:lang w:val="en-US"/>
        </w:rPr>
        <w:t>Investing in research: an action plan for Europe. CTC, Brussels, COM (226), 30.04.2003</w:t>
      </w:r>
      <w:r>
        <w:rPr>
          <w:rFonts w:ascii="Times New Roman" w:hAnsi="Times New Roman"/>
        </w:rPr>
        <w:t>. Р.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B8F" w:rsidRDefault="00E62C60">
    <w:pPr>
      <w:pStyle w:val="a3"/>
      <w:framePr w:wrap="around" w:vAnchor="text" w:hAnchor="margin" w:xAlign="outside" w:y="1"/>
      <w:rPr>
        <w:rStyle w:val="a4"/>
        <w:rFonts w:ascii="Times New Roman" w:hAnsi="Times New Roman"/>
      </w:rPr>
    </w:pPr>
    <w:r>
      <w:rPr>
        <w:rStyle w:val="a4"/>
        <w:rFonts w:ascii="Times New Roman" w:hAnsi="Times New Roman"/>
      </w:rPr>
      <w:fldChar w:fldCharType="begin"/>
    </w:r>
    <w:r>
      <w:rPr>
        <w:rStyle w:val="a4"/>
        <w:rFonts w:ascii="Times New Roman" w:hAnsi="Times New Roman"/>
      </w:rPr>
      <w:instrText xml:space="preserve">PAGE  </w:instrText>
    </w:r>
    <w:r>
      <w:rPr>
        <w:rStyle w:val="a4"/>
        <w:rFonts w:ascii="Times New Roman" w:hAnsi="Times New Roman"/>
      </w:rPr>
      <w:fldChar w:fldCharType="separate"/>
    </w:r>
    <w:r>
      <w:rPr>
        <w:rStyle w:val="a4"/>
        <w:rFonts w:ascii="Times New Roman" w:hAnsi="Times New Roman"/>
        <w:noProof/>
      </w:rPr>
      <w:t>10</w:t>
    </w:r>
    <w:r>
      <w:rPr>
        <w:rStyle w:val="a4"/>
        <w:rFonts w:ascii="Times New Roman" w:hAnsi="Times New Roman"/>
      </w:rPr>
      <w:fldChar w:fldCharType="end"/>
    </w:r>
  </w:p>
  <w:p w:rsidR="00AE4B8F" w:rsidRDefault="00344B02">
    <w:pPr>
      <w:pStyle w:val="a3"/>
      <w:ind w:firstLine="357"/>
      <w:jc w:val="right"/>
      <w:rPr>
        <w:sz w:val="22"/>
      </w:rPr>
    </w:pPr>
    <w:r>
      <w:rPr>
        <w:i/>
        <w:noProof/>
        <w:sz w:val="22"/>
      </w:rPr>
      <w:pict>
        <v:line id="_x0000_s1028" style="position:absolute;left:0;text-align:left;z-index:251656704;mso-position-horizontal:absolute;mso-position-horizontal-relative:text;mso-position-vertical:absolute;mso-position-vertical-relative:text" from="2.45pt,15.05pt" to="398.45pt,15.05pt" o:allowincell="f"/>
      </w:pict>
    </w:r>
    <w:r>
      <w:rPr>
        <w:i/>
        <w:noProof/>
        <w:sz w:val="22"/>
      </w:rPr>
      <w:pict>
        <v:line id="_x0000_s1032" style="position:absolute;left:0;text-align:left;z-index:251658752;mso-position-horizontal:absolute;mso-position-horizontal-relative:text;mso-position-vertical:absolute;mso-position-vertical-relative:text" from=".65pt,15.05pt" to="396.65pt,15.05pt" o:allowincell="f"/>
      </w:pict>
    </w:r>
    <w:r w:rsidR="00E62C60">
      <w:rPr>
        <w:rFonts w:ascii="Times New Roman" w:hAnsi="Times New Roman"/>
        <w:i/>
        <w:sz w:val="22"/>
      </w:rPr>
      <w:t>Вадим Циренщиков</w:t>
    </w:r>
    <w:r w:rsidR="00E62C60">
      <w:rPr>
        <w: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B8F" w:rsidRDefault="00E62C60">
    <w:pPr>
      <w:pStyle w:val="a3"/>
      <w:framePr w:wrap="around" w:vAnchor="text" w:hAnchor="margin" w:xAlign="outside" w:y="1"/>
      <w:rPr>
        <w:rStyle w:val="a4"/>
        <w:rFonts w:ascii="Times New Roman" w:hAnsi="Times New Roman"/>
      </w:rPr>
    </w:pPr>
    <w:r>
      <w:rPr>
        <w:rStyle w:val="a4"/>
        <w:rFonts w:ascii="Times New Roman" w:hAnsi="Times New Roman"/>
      </w:rPr>
      <w:fldChar w:fldCharType="begin"/>
    </w:r>
    <w:r>
      <w:rPr>
        <w:rStyle w:val="a4"/>
        <w:rFonts w:ascii="Times New Roman" w:hAnsi="Times New Roman"/>
      </w:rPr>
      <w:instrText xml:space="preserve">PAGE  </w:instrText>
    </w:r>
    <w:r>
      <w:rPr>
        <w:rStyle w:val="a4"/>
        <w:rFonts w:ascii="Times New Roman" w:hAnsi="Times New Roman"/>
      </w:rPr>
      <w:fldChar w:fldCharType="separate"/>
    </w:r>
    <w:r>
      <w:rPr>
        <w:rStyle w:val="a4"/>
        <w:rFonts w:ascii="Times New Roman" w:hAnsi="Times New Roman"/>
        <w:noProof/>
      </w:rPr>
      <w:t>9</w:t>
    </w:r>
    <w:r>
      <w:rPr>
        <w:rStyle w:val="a4"/>
        <w:rFonts w:ascii="Times New Roman" w:hAnsi="Times New Roman"/>
      </w:rPr>
      <w:fldChar w:fldCharType="end"/>
    </w:r>
  </w:p>
  <w:p w:rsidR="00AE4B8F" w:rsidRDefault="00344B02">
    <w:pPr>
      <w:pStyle w:val="a3"/>
      <w:ind w:right="360"/>
      <w:jc w:val="both"/>
      <w:rPr>
        <w:i/>
        <w:spacing w:val="-5"/>
        <w:sz w:val="22"/>
      </w:rPr>
    </w:pPr>
    <w:r>
      <w:rPr>
        <w:i/>
        <w:noProof/>
        <w:spacing w:val="-5"/>
        <w:sz w:val="22"/>
      </w:rPr>
      <w:pict>
        <v:line id="_x0000_s1031" style="position:absolute;left:0;text-align:left;z-index:251657728;mso-position-horizontal:absolute;mso-position-horizontal-relative:text;mso-position-vertical:absolute;mso-position-vertical-relative:text" from=".65pt,15.05pt" to="396.65pt,15.05pt" o:allowincell="f"/>
      </w:pict>
    </w:r>
    <w:r w:rsidR="00E62C60">
      <w:rPr>
        <w:rFonts w:ascii="Times New Roman" w:hAnsi="Times New Roman"/>
        <w:i/>
        <w:snapToGrid w:val="0"/>
        <w:spacing w:val="-5"/>
        <w:sz w:val="22"/>
      </w:rPr>
      <w:t xml:space="preserve">Тенденции инновационного развития Европы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B8F" w:rsidRDefault="00E62C60">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AE4B8F" w:rsidRDefault="00AE4B8F">
    <w:pPr>
      <w:pStyle w:val="a3"/>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bordersDoNotSurroundHeader/>
  <w:bordersDoNotSurroundFooter/>
  <w:hideSpellingErrors/>
  <w:revisionView w:markup="0"/>
  <w:doNotTrackMoves/>
  <w:doNotTrackFormatting/>
  <w:defaultTabStop w:val="340"/>
  <w:autoHyphenation/>
  <w:hyphenationZone w:val="357"/>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4"/>
    <o:shapelayout v:ext="edit">
      <o:idmap v:ext="edit" data="1"/>
    </o:shapelayout>
  </w:hdrShapeDefault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2C60"/>
    <w:rsid w:val="00344B02"/>
    <w:rsid w:val="00AE4B8F"/>
    <w:rsid w:val="00E62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5:chartTrackingRefBased/>
  <w15:docId w15:val="{5AAED11F-7298-4E93-B8C9-3EBBE54F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_Timer" w:hAnsi="a_Timer"/>
    </w:rPr>
  </w:style>
  <w:style w:type="paragraph" w:styleId="1">
    <w:name w:val="heading 1"/>
    <w:basedOn w:val="a"/>
    <w:next w:val="a"/>
    <w:qFormat/>
    <w:pPr>
      <w:keepNext/>
      <w:ind w:firstLine="340"/>
      <w:outlineLvl w:val="0"/>
    </w:pPr>
    <w:rPr>
      <w:b/>
      <w:i/>
      <w:u w:val="single"/>
    </w:rPr>
  </w:style>
  <w:style w:type="paragraph" w:styleId="2">
    <w:name w:val="heading 2"/>
    <w:basedOn w:val="a"/>
    <w:next w:val="a"/>
    <w:qFormat/>
    <w:pPr>
      <w:keepNext/>
      <w:outlineLvl w:val="1"/>
    </w:pPr>
    <w:rPr>
      <w:b/>
      <w:u w:val="single"/>
    </w:rPr>
  </w:style>
  <w:style w:type="paragraph" w:styleId="3">
    <w:name w:val="heading 3"/>
    <w:basedOn w:val="a"/>
    <w:next w:val="a"/>
    <w:qFormat/>
    <w:pPr>
      <w:keepNext/>
      <w:spacing w:line="360" w:lineRule="auto"/>
      <w:ind w:left="-567" w:right="-766" w:firstLine="567"/>
      <w:jc w:val="center"/>
      <w:outlineLvl w:val="2"/>
    </w:pPr>
    <w:rPr>
      <w:b/>
      <w:sz w:val="24"/>
    </w:rPr>
  </w:style>
  <w:style w:type="paragraph" w:styleId="4">
    <w:name w:val="heading 4"/>
    <w:basedOn w:val="a"/>
    <w:next w:val="a"/>
    <w:qFormat/>
    <w:pPr>
      <w:keepNext/>
      <w:ind w:firstLine="426"/>
      <w:outlineLvl w:val="3"/>
    </w:pPr>
    <w:rPr>
      <w:sz w:val="28"/>
    </w:rPr>
  </w:style>
  <w:style w:type="paragraph" w:styleId="5">
    <w:name w:val="heading 5"/>
    <w:basedOn w:val="a"/>
    <w:next w:val="a"/>
    <w:qFormat/>
    <w:pPr>
      <w:keepNext/>
      <w:jc w:val="center"/>
      <w:outlineLvl w:val="4"/>
    </w:pPr>
    <w:rPr>
      <w:b/>
      <w:sz w:val="24"/>
    </w:rPr>
  </w:style>
  <w:style w:type="paragraph" w:styleId="6">
    <w:name w:val="heading 6"/>
    <w:basedOn w:val="a"/>
    <w:next w:val="a"/>
    <w:qFormat/>
    <w:pPr>
      <w:keepNext/>
      <w:jc w:val="center"/>
      <w:outlineLvl w:val="5"/>
    </w:pPr>
    <w:rPr>
      <w:b/>
      <w:sz w:val="22"/>
    </w:rPr>
  </w:style>
  <w:style w:type="paragraph" w:styleId="7">
    <w:name w:val="heading 7"/>
    <w:basedOn w:val="a"/>
    <w:next w:val="a"/>
    <w:qFormat/>
    <w:pPr>
      <w:keepNext/>
      <w:spacing w:line="252" w:lineRule="exact"/>
      <w:jc w:val="right"/>
      <w:outlineLvl w:val="6"/>
    </w:pPr>
    <w:rPr>
      <w:rFonts w:ascii="Times New Roman" w:hAnsi="Times New Roman"/>
      <w:i/>
      <w:spacing w:val="2"/>
      <w:sz w:val="22"/>
    </w:rPr>
  </w:style>
  <w:style w:type="paragraph" w:styleId="8">
    <w:name w:val="heading 8"/>
    <w:basedOn w:val="a"/>
    <w:next w:val="a"/>
    <w:qFormat/>
    <w:pPr>
      <w:keepNext/>
      <w:spacing w:line="254" w:lineRule="exact"/>
      <w:jc w:val="center"/>
      <w:outlineLvl w:val="7"/>
    </w:pPr>
    <w:rPr>
      <w:rFonts w:ascii="Times New Roman" w:hAnsi="Times New Roman"/>
      <w:b/>
      <w:i/>
      <w:snapToGrid w:val="0"/>
      <w:spacing w:val="2"/>
      <w:sz w:val="22"/>
    </w:rPr>
  </w:style>
  <w:style w:type="paragraph" w:styleId="9">
    <w:name w:val="heading 9"/>
    <w:basedOn w:val="a"/>
    <w:next w:val="a"/>
    <w:qFormat/>
    <w:pPr>
      <w:keepNext/>
      <w:spacing w:line="254" w:lineRule="exact"/>
      <w:ind w:left="1134"/>
      <w:jc w:val="right"/>
      <w:outlineLvl w:val="8"/>
    </w:pPr>
    <w:rPr>
      <w:i/>
      <w:snapToGrid w:val="0"/>
      <w:spacing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pPr>
    <w:rPr>
      <w:snapToGrid w:val="0"/>
      <w:lang w:val="en-US"/>
    </w:rPr>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style>
  <w:style w:type="character" w:styleId="a6">
    <w:name w:val="footnote reference"/>
    <w:basedOn w:val="a0"/>
    <w:semiHidden/>
    <w:rPr>
      <w:vertAlign w:val="superscript"/>
    </w:rPr>
  </w:style>
  <w:style w:type="paragraph" w:styleId="a7">
    <w:name w:val="Body Text"/>
    <w:basedOn w:val="a"/>
    <w:semiHidden/>
    <w:pPr>
      <w:jc w:val="both"/>
    </w:pPr>
    <w:rPr>
      <w:sz w:val="24"/>
    </w:rPr>
  </w:style>
  <w:style w:type="paragraph" w:customStyle="1" w:styleId="21">
    <w:name w:val="Основний текст 21"/>
    <w:basedOn w:val="a"/>
    <w:pPr>
      <w:widowControl w:val="0"/>
      <w:spacing w:after="120"/>
      <w:ind w:firstLine="357"/>
      <w:jc w:val="both"/>
    </w:pPr>
    <w:rPr>
      <w:rFonts w:ascii="Arial" w:hAnsi="Arial"/>
      <w:sz w:val="22"/>
    </w:rPr>
  </w:style>
  <w:style w:type="paragraph" w:customStyle="1" w:styleId="210">
    <w:name w:val="Основний текст з відступом 21"/>
    <w:basedOn w:val="a"/>
    <w:pPr>
      <w:ind w:firstLine="737"/>
      <w:jc w:val="both"/>
    </w:pPr>
    <w:rPr>
      <w:sz w:val="24"/>
    </w:rPr>
  </w:style>
  <w:style w:type="paragraph" w:styleId="a8">
    <w:name w:val="footnote text"/>
    <w:basedOn w:val="a"/>
    <w:semiHidden/>
  </w:style>
  <w:style w:type="paragraph" w:styleId="a9">
    <w:name w:val="Body Text Indent"/>
    <w:basedOn w:val="a"/>
    <w:semiHidden/>
    <w:pPr>
      <w:spacing w:line="230" w:lineRule="exact"/>
      <w:ind w:firstLine="357"/>
      <w:jc w:val="both"/>
    </w:pPr>
  </w:style>
  <w:style w:type="paragraph" w:styleId="aa">
    <w:name w:val="Block Text"/>
    <w:basedOn w:val="a"/>
    <w:semiHidden/>
    <w:pPr>
      <w:spacing w:line="480" w:lineRule="auto"/>
      <w:ind w:left="284" w:right="283" w:firstLine="142"/>
      <w:jc w:val="both"/>
    </w:pPr>
    <w:rPr>
      <w:rFonts w:ascii="Courier New" w:hAnsi="Courier New"/>
      <w:snapToGrid w:val="0"/>
      <w:sz w:val="24"/>
    </w:rPr>
  </w:style>
  <w:style w:type="paragraph" w:styleId="20">
    <w:name w:val="Body Text 2"/>
    <w:basedOn w:val="a"/>
    <w:semiHidden/>
    <w:rPr>
      <w:sz w:val="24"/>
    </w:rPr>
  </w:style>
  <w:style w:type="paragraph" w:styleId="22">
    <w:name w:val="Body Text Indent 2"/>
    <w:basedOn w:val="a"/>
    <w:semiHidden/>
    <w:pPr>
      <w:ind w:firstLine="283"/>
      <w:jc w:val="both"/>
    </w:pPr>
    <w:rPr>
      <w:sz w:val="28"/>
    </w:rPr>
  </w:style>
  <w:style w:type="paragraph" w:styleId="30">
    <w:name w:val="Body Text Indent 3"/>
    <w:basedOn w:val="a"/>
    <w:semiHidden/>
    <w:pPr>
      <w:ind w:firstLine="340"/>
      <w:jc w:val="both"/>
    </w:pPr>
    <w:rPr>
      <w:sz w:val="28"/>
    </w:rPr>
  </w:style>
  <w:style w:type="paragraph" w:customStyle="1" w:styleId="FR3">
    <w:name w:val="FR3"/>
    <w:pPr>
      <w:widowControl w:val="0"/>
      <w:spacing w:before="180"/>
    </w:pPr>
    <w:rPr>
      <w:rFonts w:ascii="Arial" w:hAnsi="Arial"/>
      <w:sz w:val="24"/>
    </w:rPr>
  </w:style>
  <w:style w:type="paragraph" w:customStyle="1" w:styleId="FR4">
    <w:name w:val="FR4"/>
    <w:pPr>
      <w:widowControl w:val="0"/>
    </w:pPr>
    <w:rPr>
      <w:rFonts w:ascii="Arial" w:hAnsi="Arial"/>
      <w:b/>
      <w:noProof/>
      <w:sz w:val="12"/>
    </w:rPr>
  </w:style>
  <w:style w:type="paragraph" w:customStyle="1" w:styleId="FR1">
    <w:name w:val="FR1"/>
    <w:pPr>
      <w:widowControl w:val="0"/>
      <w:spacing w:before="60"/>
      <w:ind w:left="3640"/>
    </w:pPr>
    <w:rPr>
      <w:rFonts w:ascii="Arial" w:hAnsi="Arial"/>
      <w:i/>
      <w:sz w:val="36"/>
    </w:rPr>
  </w:style>
  <w:style w:type="paragraph" w:styleId="ab">
    <w:name w:val="endnote text"/>
    <w:basedOn w:val="a"/>
    <w:semiHidden/>
  </w:style>
  <w:style w:type="character" w:styleId="ac">
    <w:name w:val="endnote reference"/>
    <w:basedOn w:val="a0"/>
    <w:semiHidden/>
    <w:rPr>
      <w:vertAlign w:val="superscript"/>
    </w:rPr>
  </w:style>
  <w:style w:type="paragraph" w:styleId="ad">
    <w:name w:val="Title"/>
    <w:basedOn w:val="a"/>
    <w:qFormat/>
    <w:pPr>
      <w:jc w:val="center"/>
    </w:pPr>
    <w:rPr>
      <w:rFonts w:ascii="Times New Roman" w:hAnsi="Times New Roman"/>
      <w:sz w:val="28"/>
    </w:rPr>
  </w:style>
  <w:style w:type="paragraph" w:customStyle="1" w:styleId="FR2">
    <w:name w:val="FR2"/>
    <w:pPr>
      <w:widowControl w:val="0"/>
      <w:spacing w:line="480" w:lineRule="auto"/>
      <w:ind w:left="840"/>
      <w:jc w:val="both"/>
    </w:pPr>
    <w:rPr>
      <w:rFonts w:ascii="Arial" w:hAnsi="Arial"/>
      <w:sz w:val="24"/>
    </w:rPr>
  </w:style>
  <w:style w:type="paragraph" w:styleId="31">
    <w:name w:val="Body Text 3"/>
    <w:basedOn w:val="a"/>
    <w:semiHidden/>
    <w:pPr>
      <w:jc w:val="both"/>
    </w:pPr>
    <w:rPr>
      <w:rFonts w:ascii="Times New Roman" w:hAnsi="Times New Roman"/>
      <w:sz w:val="24"/>
    </w:rPr>
  </w:style>
  <w:style w:type="paragraph" w:customStyle="1" w:styleId="11">
    <w:name w:val="Заголовок 11"/>
    <w:basedOn w:val="10"/>
    <w:next w:val="10"/>
    <w:pPr>
      <w:keepNext/>
      <w:widowControl/>
    </w:pPr>
    <w:rPr>
      <w:b/>
      <w:snapToGrid/>
      <w:lang w:val="ru-RU"/>
    </w:rPr>
  </w:style>
  <w:style w:type="paragraph" w:customStyle="1" w:styleId="211">
    <w:name w:val="Заголовок 21"/>
    <w:basedOn w:val="10"/>
    <w:next w:val="10"/>
    <w:pPr>
      <w:keepNext/>
      <w:widowControl/>
    </w:pPr>
    <w:rPr>
      <w:rFonts w:ascii="Arial" w:hAnsi="Arial"/>
      <w:b/>
      <w:snapToGrid/>
      <w:color w:val="000000"/>
      <w:sz w:val="22"/>
      <w:lang w:val="ru-RU"/>
    </w:rPr>
  </w:style>
  <w:style w:type="paragraph" w:customStyle="1" w:styleId="BodyText21">
    <w:name w:val="Body Text 21"/>
    <w:basedOn w:val="10"/>
    <w:pPr>
      <w:widowControl/>
    </w:pPr>
    <w:rPr>
      <w:b/>
      <w:snapToGrid/>
      <w:sz w:val="22"/>
      <w:lang w:val="ru-RU"/>
    </w:rPr>
  </w:style>
  <w:style w:type="paragraph" w:customStyle="1" w:styleId="12">
    <w:name w:val="Основний текст1"/>
    <w:basedOn w:val="10"/>
    <w:pPr>
      <w:widowControl/>
    </w:pPr>
    <w:rPr>
      <w:b/>
      <w:snapToGrid/>
      <w:lang w:val="ru-RU"/>
    </w:rPr>
  </w:style>
  <w:style w:type="paragraph" w:customStyle="1" w:styleId="310">
    <w:name w:val="Основний текст з відступом 31"/>
    <w:basedOn w:val="10"/>
    <w:pPr>
      <w:widowControl/>
      <w:ind w:firstLine="720"/>
      <w:jc w:val="both"/>
    </w:pPr>
    <w:rPr>
      <w:snapToGrid/>
      <w:sz w:val="22"/>
      <w:lang w:val="ru-RU"/>
    </w:rPr>
  </w:style>
  <w:style w:type="paragraph" w:customStyle="1" w:styleId="13">
    <w:name w:val="Текст виноски1"/>
    <w:basedOn w:val="10"/>
    <w:pPr>
      <w:widowControl/>
    </w:pPr>
    <w:rPr>
      <w:snapToGrid/>
      <w:lang w:val="en-GB"/>
    </w:rPr>
  </w:style>
  <w:style w:type="character" w:customStyle="1" w:styleId="14">
    <w:name w:val="Знак виноски1"/>
    <w:basedOn w:val="a0"/>
    <w:rPr>
      <w:vertAlign w:val="superscript"/>
    </w:rPr>
  </w:style>
  <w:style w:type="paragraph" w:customStyle="1" w:styleId="BodyText22">
    <w:name w:val="Body Text 22"/>
    <w:basedOn w:val="10"/>
    <w:pPr>
      <w:widowControl/>
    </w:pPr>
    <w:rPr>
      <w:rFonts w:ascii="Arial" w:hAnsi="Arial"/>
      <w:snapToGrid/>
      <w:color w:val="000000"/>
      <w:sz w:val="22"/>
      <w:lang w:val="ru-RU"/>
    </w:rPr>
  </w:style>
  <w:style w:type="paragraph" w:customStyle="1" w:styleId="311">
    <w:name w:val="Основний текст 31"/>
    <w:basedOn w:val="10"/>
    <w:pPr>
      <w:widowControl/>
      <w:tabs>
        <w:tab w:val="left" w:pos="4536"/>
      </w:tabs>
    </w:pPr>
    <w:rPr>
      <w:rFonts w:ascii="Arial" w:hAnsi="Arial"/>
      <w:snapToGrid/>
      <w:color w:val="000000"/>
      <w:sz w:val="18"/>
      <w:lang w:val="ru-RU"/>
    </w:rPr>
  </w:style>
  <w:style w:type="paragraph" w:customStyle="1" w:styleId="BodyText24">
    <w:name w:val="Body Text 24"/>
    <w:basedOn w:val="10"/>
    <w:pPr>
      <w:widowControl/>
    </w:pPr>
    <w:rPr>
      <w:snapToGrid/>
      <w:sz w:val="22"/>
      <w:lang w:val="ru-RU"/>
    </w:rPr>
  </w:style>
  <w:style w:type="paragraph" w:styleId="ae">
    <w:name w:val="Plain Text"/>
    <w:basedOn w:val="a"/>
    <w:semiHidden/>
    <w:rPr>
      <w:rFonts w:ascii="Courier New" w:hAnsi="Courier New"/>
    </w:rPr>
  </w:style>
  <w:style w:type="character" w:styleId="af">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3772</Words>
  <Characters>21507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Утверждена на саммите ЕС в Кельне</vt:lpstr>
    </vt:vector>
  </TitlesOfParts>
  <Company> </Company>
  <LinksUpToDate>false</LinksUpToDate>
  <CharactersWithSpaces>25229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 на саммите ЕС в Кельне</dc:title>
  <dc:subject/>
  <dc:creator>тамара</dc:creator>
  <cp:keywords/>
  <cp:lastModifiedBy>Irina</cp:lastModifiedBy>
  <cp:revision>2</cp:revision>
  <cp:lastPrinted>2004-03-17T08:51:00Z</cp:lastPrinted>
  <dcterms:created xsi:type="dcterms:W3CDTF">2014-07-31T12:24:00Z</dcterms:created>
  <dcterms:modified xsi:type="dcterms:W3CDTF">2014-07-31T12:24:00Z</dcterms:modified>
</cp:coreProperties>
</file>