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6D" w:rsidRDefault="00CB646D" w:rsidP="00700E73">
      <w:pPr>
        <w:pStyle w:val="1"/>
        <w:rPr>
          <w:rFonts w:ascii="Times New Roman" w:hAnsi="Times New Roman" w:cs="Times New Roman"/>
          <w:sz w:val="40"/>
          <w:szCs w:val="40"/>
        </w:rPr>
      </w:pPr>
    </w:p>
    <w:p w:rsidR="00700E73" w:rsidRPr="00EA1375" w:rsidRDefault="004A017D" w:rsidP="00700E73">
      <w:pPr>
        <w:pStyle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Финансовый план.</w:t>
      </w:r>
    </w:p>
    <w:p w:rsidR="00700E73" w:rsidRPr="00EA1375" w:rsidRDefault="00700E73" w:rsidP="00700E73"/>
    <w:p w:rsidR="004C5B3B" w:rsidRDefault="00700E73" w:rsidP="004C5B3B">
      <w:pPr>
        <w:spacing w:line="360" w:lineRule="auto"/>
        <w:ind w:right="99" w:firstLine="567"/>
        <w:jc w:val="both"/>
        <w:outlineLvl w:val="0"/>
        <w:rPr>
          <w:color w:val="000000"/>
        </w:rPr>
      </w:pPr>
      <w:r>
        <w:t xml:space="preserve">Мы использовали критерии </w:t>
      </w:r>
      <w:r>
        <w:rPr>
          <w:lang w:val="en-US"/>
        </w:rPr>
        <w:t>NPV</w:t>
      </w:r>
      <w:r w:rsidRPr="00700E73">
        <w:t xml:space="preserve"> </w:t>
      </w:r>
      <w:r>
        <w:t xml:space="preserve">и </w:t>
      </w:r>
      <w:r>
        <w:rPr>
          <w:lang w:val="en-US"/>
        </w:rPr>
        <w:t>IRR</w:t>
      </w:r>
      <w:r w:rsidRPr="00700E73">
        <w:t xml:space="preserve"> </w:t>
      </w:r>
      <w:r>
        <w:t xml:space="preserve">для оценки эффективности проекта. </w:t>
      </w:r>
      <w:r w:rsidRPr="00EA1375">
        <w:t xml:space="preserve">В качестве ставки дисконтирования применяется ожидаемый уровень доходности собственников, равный 25%. </w:t>
      </w:r>
      <w:r w:rsidR="004C5B3B">
        <w:t xml:space="preserve">Расчеты показали, что </w:t>
      </w:r>
      <w:r w:rsidRPr="00EA1375">
        <w:rPr>
          <w:lang w:val="en-US"/>
        </w:rPr>
        <w:t>NPV</w:t>
      </w:r>
      <w:r w:rsidRPr="00EA1375">
        <w:t xml:space="preserve">, при ставке дисконтирования 21,5%, составляет </w:t>
      </w:r>
      <w:r w:rsidR="004C5B3B">
        <w:t>4</w:t>
      </w:r>
      <w:r w:rsidRPr="00EA1375">
        <w:t xml:space="preserve"> миллион</w:t>
      </w:r>
      <w:r w:rsidR="004C5B3B">
        <w:t>а</w:t>
      </w:r>
      <w:r w:rsidRPr="00EA1375">
        <w:t xml:space="preserve"> 6</w:t>
      </w:r>
      <w:r w:rsidR="004C5B3B">
        <w:t>42</w:t>
      </w:r>
      <w:r w:rsidRPr="00EA1375">
        <w:t xml:space="preserve"> тысячи </w:t>
      </w:r>
      <w:r w:rsidR="004C5B3B">
        <w:t>407</w:t>
      </w:r>
      <w:r w:rsidRPr="00EA1375">
        <w:t xml:space="preserve"> руб</w:t>
      </w:r>
      <w:r w:rsidR="004C5B3B">
        <w:t>ей</w:t>
      </w:r>
      <w:r w:rsidRPr="00EA1375">
        <w:t xml:space="preserve"> (при налоговой ставке 2</w:t>
      </w:r>
      <w:r w:rsidR="004C5B3B">
        <w:t>0%).</w:t>
      </w:r>
      <w:bookmarkStart w:id="0" w:name="_Toc198989606"/>
      <w:bookmarkStart w:id="1" w:name="_Toc198989768"/>
    </w:p>
    <w:bookmarkEnd w:id="0"/>
    <w:bookmarkEnd w:id="1"/>
    <w:p w:rsidR="00981C90" w:rsidRPr="00F63785" w:rsidRDefault="00981C90" w:rsidP="00981C90">
      <w:pPr>
        <w:spacing w:line="360" w:lineRule="auto"/>
        <w:ind w:right="99" w:firstLine="360"/>
        <w:jc w:val="both"/>
        <w:rPr>
          <w:color w:val="000000"/>
        </w:rPr>
      </w:pPr>
      <w:r w:rsidRPr="00F63785">
        <w:rPr>
          <w:color w:val="000000"/>
        </w:rPr>
        <w:t xml:space="preserve">Для реализации предполагается взять </w:t>
      </w:r>
      <w:r>
        <w:rPr>
          <w:color w:val="000000"/>
        </w:rPr>
        <w:t xml:space="preserve">потребительский </w:t>
      </w:r>
      <w:r w:rsidRPr="00F63785">
        <w:rPr>
          <w:color w:val="000000"/>
        </w:rPr>
        <w:t xml:space="preserve">кредит в размере </w:t>
      </w:r>
      <w:r>
        <w:rPr>
          <w:color w:val="000000"/>
        </w:rPr>
        <w:t>4097245</w:t>
      </w:r>
      <w:r w:rsidRPr="00F63785">
        <w:rPr>
          <w:color w:val="000000"/>
        </w:rPr>
        <w:t xml:space="preserve"> рублей на </w:t>
      </w:r>
      <w:r>
        <w:rPr>
          <w:color w:val="000000"/>
        </w:rPr>
        <w:t>2</w:t>
      </w:r>
      <w:r w:rsidRPr="00F63785">
        <w:rPr>
          <w:color w:val="000000"/>
        </w:rPr>
        <w:t xml:space="preserve"> года под </w:t>
      </w:r>
      <w:r>
        <w:rPr>
          <w:color w:val="000000"/>
        </w:rPr>
        <w:t>20</w:t>
      </w:r>
      <w:r w:rsidRPr="00F63785">
        <w:rPr>
          <w:color w:val="000000"/>
        </w:rPr>
        <w:t xml:space="preserve">% годовых </w:t>
      </w:r>
      <w:r>
        <w:rPr>
          <w:color w:val="000000"/>
        </w:rPr>
        <w:t>у частных инвесторов,</w:t>
      </w:r>
      <w:r w:rsidRPr="00F63785">
        <w:rPr>
          <w:color w:val="000000"/>
        </w:rPr>
        <w:t xml:space="preserve"> который предоставит возможность профинансировать затраты</w:t>
      </w:r>
      <w:r>
        <w:rPr>
          <w:color w:val="000000"/>
        </w:rPr>
        <w:t xml:space="preserve"> на</w:t>
      </w:r>
      <w:r w:rsidRPr="00F63785">
        <w:rPr>
          <w:color w:val="000000"/>
        </w:rPr>
        <w:t xml:space="preserve"> проведение ремонтных работ, </w:t>
      </w:r>
      <w:r>
        <w:rPr>
          <w:color w:val="000000"/>
        </w:rPr>
        <w:t xml:space="preserve">на </w:t>
      </w:r>
      <w:r w:rsidRPr="00F63785">
        <w:rPr>
          <w:color w:val="000000"/>
        </w:rPr>
        <w:t>затрат</w:t>
      </w:r>
      <w:r>
        <w:rPr>
          <w:color w:val="000000"/>
        </w:rPr>
        <w:t>ы</w:t>
      </w:r>
      <w:r w:rsidRPr="00F63785">
        <w:rPr>
          <w:color w:val="000000"/>
        </w:rPr>
        <w:t xml:space="preserve"> нулевого периода.</w:t>
      </w:r>
    </w:p>
    <w:p w:rsidR="00700E73" w:rsidRPr="00EA1375" w:rsidRDefault="00700E73" w:rsidP="00AE7AA1">
      <w:pPr>
        <w:spacing w:line="360" w:lineRule="auto"/>
        <w:ind w:right="99"/>
        <w:jc w:val="both"/>
      </w:pPr>
    </w:p>
    <w:p w:rsidR="00AE7AA1" w:rsidRPr="00F63785" w:rsidRDefault="00AE7AA1" w:rsidP="00AE7AA1">
      <w:pPr>
        <w:spacing w:line="360" w:lineRule="auto"/>
        <w:ind w:right="99" w:firstLine="567"/>
        <w:jc w:val="both"/>
        <w:outlineLvl w:val="1"/>
        <w:rPr>
          <w:b/>
          <w:color w:val="000000"/>
        </w:rPr>
      </w:pPr>
      <w:r w:rsidRPr="00F63785">
        <w:rPr>
          <w:b/>
          <w:color w:val="000000"/>
        </w:rPr>
        <w:t>Анализ рисков</w:t>
      </w:r>
    </w:p>
    <w:p w:rsidR="00700E73" w:rsidRPr="00EA1375" w:rsidRDefault="00700E73" w:rsidP="00700E73">
      <w:pPr>
        <w:spacing w:line="360" w:lineRule="auto"/>
        <w:ind w:firstLine="708"/>
        <w:jc w:val="both"/>
      </w:pPr>
      <w:r w:rsidRPr="00EA1375">
        <w:t>Основными рассматриваемыми рисками в данном случае являются:</w:t>
      </w:r>
    </w:p>
    <w:p w:rsidR="00700E73" w:rsidRPr="00EA1375" w:rsidRDefault="00700E73" w:rsidP="00700E73">
      <w:pPr>
        <w:numPr>
          <w:ilvl w:val="0"/>
          <w:numId w:val="1"/>
        </w:numPr>
        <w:spacing w:line="360" w:lineRule="auto"/>
        <w:jc w:val="both"/>
      </w:pPr>
      <w:r w:rsidRPr="00EA1375">
        <w:t>риск снижения спроса</w:t>
      </w:r>
    </w:p>
    <w:p w:rsidR="00700E73" w:rsidRPr="00EA1375" w:rsidRDefault="00700E73" w:rsidP="00700E73">
      <w:pPr>
        <w:numPr>
          <w:ilvl w:val="0"/>
          <w:numId w:val="1"/>
        </w:numPr>
        <w:spacing w:line="360" w:lineRule="auto"/>
        <w:jc w:val="both"/>
      </w:pPr>
      <w:r w:rsidRPr="00EA1375">
        <w:t>риск увеличения постоянных затрат</w:t>
      </w:r>
    </w:p>
    <w:p w:rsidR="00700E73" w:rsidRPr="00EA1375" w:rsidRDefault="00700E73" w:rsidP="00700E73">
      <w:pPr>
        <w:numPr>
          <w:ilvl w:val="0"/>
          <w:numId w:val="1"/>
        </w:numPr>
        <w:spacing w:line="360" w:lineRule="auto"/>
        <w:jc w:val="both"/>
      </w:pPr>
      <w:r w:rsidRPr="00EA1375">
        <w:t>риск повышения средних переменных затрат на производство</w:t>
      </w:r>
    </w:p>
    <w:p w:rsidR="00700E73" w:rsidRPr="00EA1375" w:rsidRDefault="00700E73" w:rsidP="00700E73">
      <w:pPr>
        <w:spacing w:line="360" w:lineRule="auto"/>
        <w:ind w:firstLine="708"/>
        <w:jc w:val="both"/>
      </w:pPr>
      <w:r w:rsidRPr="00EA1375">
        <w:t>Риск снижения спроса  является наиболее серьёзным риском из вышеперечисленных.</w:t>
      </w:r>
    </w:p>
    <w:p w:rsidR="00700E73" w:rsidRPr="00EA1375" w:rsidRDefault="00700E73" w:rsidP="00700E73">
      <w:pPr>
        <w:spacing w:line="360" w:lineRule="auto"/>
        <w:ind w:firstLine="708"/>
        <w:jc w:val="both"/>
      </w:pPr>
      <w:r w:rsidRPr="00EA1375">
        <w:rPr>
          <w:sz w:val="20"/>
          <w:szCs w:val="20"/>
        </w:rPr>
        <w:t>Анализ риска снижения спроса.</w:t>
      </w:r>
    </w:p>
    <w:p w:rsidR="00AE7AA1" w:rsidRPr="00591627" w:rsidRDefault="00700E73" w:rsidP="00700E73">
      <w:pPr>
        <w:numPr>
          <w:ilvl w:val="0"/>
          <w:numId w:val="2"/>
        </w:numPr>
        <w:spacing w:line="360" w:lineRule="auto"/>
        <w:jc w:val="both"/>
      </w:pPr>
      <w:r w:rsidRPr="00591627">
        <w:t>Снижение спроса.</w:t>
      </w:r>
    </w:p>
    <w:tbl>
      <w:tblPr>
        <w:tblW w:w="7728" w:type="dxa"/>
        <w:jc w:val="center"/>
        <w:tblLook w:val="0000" w:firstRow="0" w:lastRow="0" w:firstColumn="0" w:lastColumn="0" w:noHBand="0" w:noVBand="0"/>
      </w:tblPr>
      <w:tblGrid>
        <w:gridCol w:w="4463"/>
        <w:gridCol w:w="3265"/>
      </w:tblGrid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Снижение уровны продаж на (%)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NPV</w:t>
            </w:r>
          </w:p>
        </w:tc>
      </w:tr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0,1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3 294 524</w:t>
            </w:r>
          </w:p>
        </w:tc>
      </w:tr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0,2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1 944 971</w:t>
            </w:r>
          </w:p>
        </w:tc>
      </w:tr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0,3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591 433</w:t>
            </w:r>
          </w:p>
        </w:tc>
      </w:tr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0,4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-767 094</w:t>
            </w:r>
          </w:p>
        </w:tc>
      </w:tr>
      <w:tr w:rsidR="00AE7AA1" w:rsidRPr="00AE7AA1" w:rsidTr="00AE7AA1">
        <w:trPr>
          <w:trHeight w:val="330"/>
          <w:jc w:val="center"/>
        </w:trPr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0,5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AE7AA1" w:rsidRPr="00AE7AA1" w:rsidRDefault="00AE7AA1" w:rsidP="00AE7AA1">
            <w:pPr>
              <w:jc w:val="center"/>
              <w:rPr>
                <w:b/>
                <w:bCs/>
              </w:rPr>
            </w:pPr>
            <w:r w:rsidRPr="00AE7AA1">
              <w:rPr>
                <w:b/>
                <w:bCs/>
              </w:rPr>
              <w:t>-2 132 518</w:t>
            </w:r>
          </w:p>
        </w:tc>
      </w:tr>
    </w:tbl>
    <w:p w:rsidR="00700E73" w:rsidRPr="00591627" w:rsidRDefault="00700E73" w:rsidP="00700E73">
      <w:pPr>
        <w:jc w:val="center"/>
      </w:pPr>
      <w:r w:rsidRPr="00591627">
        <w:t xml:space="preserve">Таблица. Динамика изменения показателя </w:t>
      </w:r>
      <w:r w:rsidRPr="00591627">
        <w:rPr>
          <w:lang w:val="en-US"/>
        </w:rPr>
        <w:t>NPV</w:t>
      </w:r>
      <w:r w:rsidRPr="00591627">
        <w:t xml:space="preserve"> при снижении уровня продаж .</w:t>
      </w:r>
    </w:p>
    <w:p w:rsidR="00700E73" w:rsidRPr="00EA1375" w:rsidRDefault="00700E73" w:rsidP="00700E73">
      <w:pPr>
        <w:spacing w:line="360" w:lineRule="auto"/>
        <w:ind w:firstLine="708"/>
        <w:jc w:val="both"/>
      </w:pPr>
    </w:p>
    <w:p w:rsidR="004A017D" w:rsidRDefault="00AE7AA1" w:rsidP="00700E73">
      <w:pPr>
        <w:spacing w:line="360" w:lineRule="auto"/>
        <w:ind w:firstLine="708"/>
        <w:jc w:val="both"/>
      </w:pPr>
      <w:r>
        <w:t xml:space="preserve">Уже 40% снижение </w:t>
      </w:r>
      <w:r w:rsidR="00591627">
        <w:t xml:space="preserve">спроса </w:t>
      </w:r>
      <w:r>
        <w:t xml:space="preserve">влечет за собой отрицательные денежные потоки </w:t>
      </w:r>
      <w:r w:rsidR="00591627">
        <w:t xml:space="preserve">и, как результат, </w:t>
      </w:r>
      <w:r w:rsidR="00591627" w:rsidRPr="00EA1375">
        <w:t>отрицательную чистую приведённую стоимость</w:t>
      </w:r>
      <w:r w:rsidR="00591627">
        <w:t xml:space="preserve">. </w:t>
      </w:r>
    </w:p>
    <w:p w:rsidR="00700E73" w:rsidRPr="00EA1375" w:rsidRDefault="00700E73" w:rsidP="00700E73">
      <w:pPr>
        <w:spacing w:line="360" w:lineRule="auto"/>
        <w:ind w:firstLine="708"/>
        <w:jc w:val="both"/>
      </w:pPr>
      <w:r w:rsidRPr="00EA1375">
        <w:t>Но, так как рынок является развивающимся и спрос на данные услуги постоянно растет и, по прогнозам экспертов, в ближайшие годы только продолжит расти, то ключевой задачей нашей организации является завоевание лояльности клиентов и приобретение хорошей репутации. В таком случае вероятность снижения спроса на наши услуги сводится к минимуму.</w:t>
      </w:r>
    </w:p>
    <w:p w:rsidR="00700E73" w:rsidRPr="00EA1375" w:rsidRDefault="00700E73" w:rsidP="00700E73">
      <w:pPr>
        <w:spacing w:line="360" w:lineRule="auto"/>
        <w:ind w:firstLine="708"/>
        <w:jc w:val="both"/>
      </w:pPr>
    </w:p>
    <w:p w:rsidR="00700E73" w:rsidRPr="004A017D" w:rsidRDefault="00700E73" w:rsidP="00700E73">
      <w:pPr>
        <w:numPr>
          <w:ilvl w:val="0"/>
          <w:numId w:val="2"/>
        </w:numPr>
        <w:spacing w:line="360" w:lineRule="auto"/>
        <w:jc w:val="both"/>
      </w:pPr>
      <w:r w:rsidRPr="004A017D">
        <w:t>Увеличение постоянных затрат бизнеса.</w:t>
      </w:r>
    </w:p>
    <w:tbl>
      <w:tblPr>
        <w:tblW w:w="6900" w:type="dxa"/>
        <w:tblInd w:w="93" w:type="dxa"/>
        <w:tblLook w:val="04A0" w:firstRow="1" w:lastRow="0" w:firstColumn="1" w:lastColumn="0" w:noHBand="0" w:noVBand="1"/>
      </w:tblPr>
      <w:tblGrid>
        <w:gridCol w:w="4540"/>
        <w:gridCol w:w="1480"/>
        <w:gridCol w:w="880"/>
      </w:tblGrid>
      <w:tr w:rsidR="004A017D" w:rsidRPr="004A017D" w:rsidTr="004A017D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Повышение уровня пост. затрат на (%)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NPV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IRR</w:t>
            </w:r>
          </w:p>
        </w:tc>
      </w:tr>
      <w:tr w:rsidR="004A017D" w:rsidRPr="004A017D" w:rsidTr="004A017D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4 496 910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18%</w:t>
            </w:r>
          </w:p>
        </w:tc>
      </w:tr>
      <w:tr w:rsidR="004A017D" w:rsidRPr="004A017D" w:rsidTr="004A017D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4 351 414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17%</w:t>
            </w:r>
          </w:p>
        </w:tc>
      </w:tr>
      <w:tr w:rsidR="004A017D" w:rsidRPr="004A017D" w:rsidTr="004A017D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4 205 825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17%</w:t>
            </w:r>
          </w:p>
        </w:tc>
      </w:tr>
      <w:tr w:rsidR="004A017D" w:rsidRPr="004A017D" w:rsidTr="004A017D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4 060 123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16%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3 914 421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16%</w:t>
            </w:r>
          </w:p>
        </w:tc>
      </w:tr>
    </w:tbl>
    <w:p w:rsidR="00700E73" w:rsidRPr="004A017D" w:rsidRDefault="00700E73" w:rsidP="00700E73">
      <w:pPr>
        <w:jc w:val="center"/>
      </w:pPr>
      <w:r w:rsidRPr="004A017D">
        <w:t xml:space="preserve">Таблица Динамика изменения показателя </w:t>
      </w:r>
      <w:r w:rsidRPr="004A017D">
        <w:rPr>
          <w:lang w:val="en-US"/>
        </w:rPr>
        <w:t>NPV</w:t>
      </w:r>
      <w:r w:rsidRPr="004A017D">
        <w:t xml:space="preserve">и </w:t>
      </w:r>
      <w:r w:rsidRPr="004A017D">
        <w:rPr>
          <w:lang w:val="en-US"/>
        </w:rPr>
        <w:t>IRR</w:t>
      </w:r>
      <w:r w:rsidRPr="004A017D">
        <w:t xml:space="preserve"> при увеличении постоянных затрат бизнеса.</w:t>
      </w:r>
    </w:p>
    <w:p w:rsidR="00700E73" w:rsidRPr="00EA1375" w:rsidRDefault="00700E73" w:rsidP="00700E73">
      <w:pPr>
        <w:spacing w:line="360" w:lineRule="auto"/>
        <w:jc w:val="both"/>
      </w:pPr>
    </w:p>
    <w:p w:rsidR="00700E73" w:rsidRPr="00EA1375" w:rsidRDefault="00700E73" w:rsidP="004A017D">
      <w:pPr>
        <w:spacing w:line="360" w:lineRule="auto"/>
        <w:ind w:firstLine="708"/>
        <w:jc w:val="both"/>
      </w:pPr>
      <w:r w:rsidRPr="00EA1375">
        <w:t>Риск увеличения постоянных затрат не вызовет практически никак</w:t>
      </w:r>
      <w:r w:rsidR="004A017D">
        <w:t>их серьезных изменений</w:t>
      </w:r>
      <w:r w:rsidRPr="00EA1375">
        <w:t xml:space="preserve"> структуре финансов компании.</w:t>
      </w:r>
      <w:r w:rsidR="004A017D">
        <w:t xml:space="preserve"> </w:t>
      </w:r>
      <w:r w:rsidRPr="00EA1375">
        <w:t xml:space="preserve">Даже </w:t>
      </w:r>
      <w:r w:rsidR="004A017D">
        <w:t>при у</w:t>
      </w:r>
      <w:r w:rsidRPr="00EA1375">
        <w:t>величени</w:t>
      </w:r>
      <w:r w:rsidR="004A017D">
        <w:t>и</w:t>
      </w:r>
      <w:r w:rsidRPr="00EA1375">
        <w:t xml:space="preserve"> постоянных затрат на 50% бизнес </w:t>
      </w:r>
      <w:r w:rsidR="004A017D" w:rsidRPr="00EA1375">
        <w:t>все равно оста</w:t>
      </w:r>
      <w:r w:rsidR="004A017D">
        <w:t>ется</w:t>
      </w:r>
      <w:r w:rsidR="004A017D" w:rsidRPr="00EA1375">
        <w:t xml:space="preserve"> </w:t>
      </w:r>
      <w:r w:rsidRPr="00EA1375">
        <w:t>финансово состоятельным.</w:t>
      </w:r>
    </w:p>
    <w:p w:rsidR="00700E73" w:rsidRPr="004A017D" w:rsidRDefault="00700E73" w:rsidP="00700E73">
      <w:pPr>
        <w:spacing w:line="360" w:lineRule="auto"/>
        <w:ind w:firstLine="706"/>
        <w:jc w:val="both"/>
      </w:pPr>
    </w:p>
    <w:p w:rsidR="00700E73" w:rsidRPr="004A017D" w:rsidRDefault="00700E73" w:rsidP="00700E73">
      <w:pPr>
        <w:spacing w:line="360" w:lineRule="auto"/>
        <w:ind w:firstLine="706"/>
        <w:jc w:val="both"/>
      </w:pPr>
      <w:r w:rsidRPr="004A017D">
        <w:t>3. Увеличение средних переменных затрат на производство.</w:t>
      </w:r>
    </w:p>
    <w:tbl>
      <w:tblPr>
        <w:tblW w:w="6020" w:type="dxa"/>
        <w:tblInd w:w="93" w:type="dxa"/>
        <w:tblLook w:val="04A0" w:firstRow="1" w:lastRow="0" w:firstColumn="1" w:lastColumn="0" w:noHBand="0" w:noVBand="1"/>
      </w:tblPr>
      <w:tblGrid>
        <w:gridCol w:w="4540"/>
        <w:gridCol w:w="1480"/>
      </w:tblGrid>
      <w:tr w:rsidR="004A017D" w:rsidRPr="004A017D" w:rsidTr="004A017D">
        <w:trPr>
          <w:trHeight w:val="33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Повышение уровня перем. затрат на (%)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NPV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3 791 387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2 939 844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2 086 511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1 231 441</w:t>
            </w:r>
          </w:p>
        </w:tc>
      </w:tr>
      <w:tr w:rsidR="004A017D" w:rsidRPr="004A017D" w:rsidTr="004A017D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0,50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</w:tcPr>
          <w:p w:rsidR="004A017D" w:rsidRPr="004A017D" w:rsidRDefault="004A017D" w:rsidP="004A017D">
            <w:pPr>
              <w:jc w:val="center"/>
              <w:rPr>
                <w:rFonts w:ascii="Calibri" w:hAnsi="Calibri"/>
                <w:b/>
                <w:bCs/>
              </w:rPr>
            </w:pPr>
            <w:r w:rsidRPr="004A017D">
              <w:rPr>
                <w:rFonts w:ascii="Calibri" w:hAnsi="Calibri"/>
                <w:b/>
                <w:bCs/>
              </w:rPr>
              <w:t>374 651</w:t>
            </w:r>
          </w:p>
        </w:tc>
      </w:tr>
    </w:tbl>
    <w:p w:rsidR="00700E73" w:rsidRPr="004A017D" w:rsidRDefault="00700E73" w:rsidP="00700E73">
      <w:pPr>
        <w:jc w:val="center"/>
      </w:pPr>
      <w:r w:rsidRPr="004A017D">
        <w:t xml:space="preserve">Таблица Динамика изменения показателя </w:t>
      </w:r>
      <w:r w:rsidRPr="004A017D">
        <w:rPr>
          <w:lang w:val="en-US"/>
        </w:rPr>
        <w:t>NPV</w:t>
      </w:r>
      <w:r w:rsidRPr="004A017D">
        <w:t xml:space="preserve"> при увеличении средних переменных затрат на производство. </w:t>
      </w:r>
    </w:p>
    <w:p w:rsidR="00700E73" w:rsidRPr="00EA1375" w:rsidRDefault="00700E73" w:rsidP="00700E73">
      <w:pPr>
        <w:spacing w:line="360" w:lineRule="auto"/>
        <w:ind w:firstLine="706"/>
        <w:jc w:val="both"/>
      </w:pPr>
    </w:p>
    <w:p w:rsidR="00700E73" w:rsidRPr="00EA1375" w:rsidRDefault="00700E73" w:rsidP="00700E73">
      <w:pPr>
        <w:spacing w:line="360" w:lineRule="auto"/>
        <w:ind w:firstLine="706"/>
        <w:jc w:val="both"/>
      </w:pPr>
      <w:r w:rsidRPr="00EA1375">
        <w:t>Рост средних переменных затрат на производство также не оказывает существенного влияния на</w:t>
      </w:r>
      <w:r w:rsidR="004A017D">
        <w:t xml:space="preserve"> финансовые показатели проекта.</w:t>
      </w:r>
      <w:bookmarkStart w:id="2" w:name="_GoBack"/>
      <w:bookmarkEnd w:id="2"/>
    </w:p>
    <w:sectPr w:rsidR="00700E73" w:rsidRPr="00EA1375" w:rsidSect="0071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FC" w:rsidRDefault="004C04FC" w:rsidP="00700E73">
      <w:r>
        <w:separator/>
      </w:r>
    </w:p>
  </w:endnote>
  <w:endnote w:type="continuationSeparator" w:id="0">
    <w:p w:rsidR="004C04FC" w:rsidRDefault="004C04FC" w:rsidP="0070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FC" w:rsidRDefault="004C04FC" w:rsidP="00700E73">
      <w:r>
        <w:separator/>
      </w:r>
    </w:p>
  </w:footnote>
  <w:footnote w:type="continuationSeparator" w:id="0">
    <w:p w:rsidR="004C04FC" w:rsidRDefault="004C04FC" w:rsidP="0070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0C6D"/>
    <w:multiLevelType w:val="hybridMultilevel"/>
    <w:tmpl w:val="015A2F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51102CB"/>
    <w:multiLevelType w:val="hybridMultilevel"/>
    <w:tmpl w:val="5CCC6298"/>
    <w:lvl w:ilvl="0" w:tplc="F8F4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73"/>
    <w:rsid w:val="004A017D"/>
    <w:rsid w:val="004A1A36"/>
    <w:rsid w:val="004C04FC"/>
    <w:rsid w:val="004C5B3B"/>
    <w:rsid w:val="00591627"/>
    <w:rsid w:val="00700E73"/>
    <w:rsid w:val="00717F21"/>
    <w:rsid w:val="007D703D"/>
    <w:rsid w:val="00981C90"/>
    <w:rsid w:val="00AE7AA1"/>
    <w:rsid w:val="00C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7350-4534-4C17-BAA5-8B56EB2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0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700E73"/>
    <w:rPr>
      <w:b/>
      <w:bCs/>
      <w:strike w:val="0"/>
      <w:dstrike w:val="0"/>
      <w:color w:val="339900"/>
      <w:u w:val="none"/>
      <w:effect w:val="none"/>
    </w:rPr>
  </w:style>
  <w:style w:type="paragraph" w:styleId="a4">
    <w:name w:val="footnote text"/>
    <w:basedOn w:val="a"/>
    <w:link w:val="a5"/>
    <w:semiHidden/>
    <w:rsid w:val="00700E73"/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rsid w:val="00700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00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2014-08-28T06:28:00Z</dcterms:created>
  <dcterms:modified xsi:type="dcterms:W3CDTF">2014-08-28T06:28:00Z</dcterms:modified>
</cp:coreProperties>
</file>