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036" w:rsidRDefault="00912036">
      <w:pPr>
        <w:spacing w:line="360" w:lineRule="auto"/>
        <w:ind w:firstLine="709"/>
        <w:jc w:val="both"/>
        <w:rPr>
          <w:b/>
          <w:bCs/>
          <w:sz w:val="28"/>
          <w:szCs w:val="12"/>
          <w:lang w:val="uk-UA"/>
        </w:rPr>
      </w:pPr>
    </w:p>
    <w:p w:rsidR="00912036" w:rsidRDefault="00912036">
      <w:pPr>
        <w:spacing w:line="360" w:lineRule="auto"/>
        <w:ind w:firstLine="709"/>
        <w:jc w:val="both"/>
        <w:rPr>
          <w:b/>
          <w:bCs/>
          <w:sz w:val="28"/>
          <w:szCs w:val="12"/>
          <w:lang w:val="uk-UA"/>
        </w:rPr>
      </w:pPr>
    </w:p>
    <w:p w:rsidR="00912036" w:rsidRDefault="00912036">
      <w:pPr>
        <w:spacing w:line="360" w:lineRule="auto"/>
        <w:ind w:firstLine="709"/>
        <w:jc w:val="both"/>
        <w:rPr>
          <w:b/>
          <w:bCs/>
          <w:sz w:val="28"/>
          <w:szCs w:val="12"/>
          <w:lang w:val="uk-UA"/>
        </w:rPr>
      </w:pPr>
    </w:p>
    <w:p w:rsidR="00912036" w:rsidRDefault="00912036">
      <w:pPr>
        <w:spacing w:line="360" w:lineRule="auto"/>
        <w:ind w:firstLine="709"/>
        <w:jc w:val="both"/>
        <w:rPr>
          <w:b/>
          <w:bCs/>
          <w:sz w:val="28"/>
          <w:szCs w:val="12"/>
          <w:lang w:val="uk-UA"/>
        </w:rPr>
      </w:pPr>
    </w:p>
    <w:p w:rsidR="00912036" w:rsidRDefault="00912036">
      <w:pPr>
        <w:spacing w:line="360" w:lineRule="auto"/>
        <w:ind w:firstLine="709"/>
        <w:jc w:val="both"/>
        <w:rPr>
          <w:b/>
          <w:bCs/>
          <w:sz w:val="28"/>
          <w:szCs w:val="12"/>
          <w:lang w:val="uk-UA"/>
        </w:rPr>
      </w:pPr>
    </w:p>
    <w:p w:rsidR="00912036" w:rsidRDefault="005C3394">
      <w:pPr>
        <w:pStyle w:val="1"/>
        <w:ind w:firstLine="709"/>
        <w:jc w:val="center"/>
        <w:rPr>
          <w:sz w:val="52"/>
        </w:rPr>
      </w:pPr>
      <w:r>
        <w:rPr>
          <w:sz w:val="52"/>
        </w:rPr>
        <w:t>РЕФЕРАТ</w:t>
      </w:r>
    </w:p>
    <w:p w:rsidR="00912036" w:rsidRDefault="005C3394">
      <w:pPr>
        <w:spacing w:line="360" w:lineRule="auto"/>
        <w:ind w:firstLine="709"/>
        <w:jc w:val="center"/>
        <w:rPr>
          <w:b/>
          <w:bCs/>
          <w:sz w:val="28"/>
          <w:szCs w:val="12"/>
          <w:lang w:val="uk-UA"/>
        </w:rPr>
      </w:pPr>
      <w:r>
        <w:rPr>
          <w:b/>
          <w:bCs/>
          <w:sz w:val="28"/>
          <w:szCs w:val="12"/>
          <w:lang w:val="uk-UA"/>
        </w:rPr>
        <w:t>НА ТЕМУ:</w:t>
      </w:r>
    </w:p>
    <w:p w:rsidR="00912036" w:rsidRDefault="005C3394">
      <w:pPr>
        <w:spacing w:line="360" w:lineRule="auto"/>
        <w:ind w:firstLine="709"/>
        <w:jc w:val="center"/>
        <w:rPr>
          <w:rFonts w:ascii="Arial" w:hAnsi="Arial" w:cs="Arial"/>
          <w:b/>
          <w:bCs/>
          <w:i/>
          <w:iCs/>
          <w:sz w:val="36"/>
          <w:szCs w:val="12"/>
          <w:lang w:val="uk-UA"/>
        </w:rPr>
      </w:pPr>
      <w:r>
        <w:rPr>
          <w:rFonts w:ascii="Arial" w:hAnsi="Arial" w:cs="Arial"/>
          <w:b/>
          <w:bCs/>
          <w:i/>
          <w:iCs/>
          <w:sz w:val="36"/>
          <w:szCs w:val="12"/>
        </w:rPr>
        <w:t>Богомолець Олександр Олександрович</w:t>
      </w:r>
      <w:r>
        <w:rPr>
          <w:rFonts w:ascii="Arial" w:hAnsi="Arial" w:cs="Arial"/>
          <w:b/>
          <w:bCs/>
          <w:i/>
          <w:iCs/>
          <w:sz w:val="36"/>
          <w:szCs w:val="12"/>
          <w:lang w:val="uk-UA"/>
        </w:rPr>
        <w:t xml:space="preserve"> – </w:t>
      </w:r>
    </w:p>
    <w:p w:rsidR="00912036" w:rsidRDefault="005C3394">
      <w:pPr>
        <w:spacing w:line="360" w:lineRule="auto"/>
        <w:ind w:firstLine="709"/>
        <w:jc w:val="center"/>
        <w:rPr>
          <w:rFonts w:ascii="Arial" w:hAnsi="Arial" w:cs="Arial"/>
          <w:b/>
          <w:bCs/>
          <w:i/>
          <w:iCs/>
          <w:sz w:val="36"/>
          <w:szCs w:val="12"/>
          <w:lang w:val="uk-UA"/>
        </w:rPr>
      </w:pPr>
      <w:r>
        <w:rPr>
          <w:rFonts w:ascii="Arial" w:hAnsi="Arial" w:cs="Arial"/>
          <w:b/>
          <w:bCs/>
          <w:i/>
          <w:iCs/>
          <w:sz w:val="36"/>
          <w:szCs w:val="12"/>
          <w:lang w:val="uk-UA"/>
        </w:rPr>
        <w:t>відомий український патофізіолог</w:t>
      </w:r>
    </w:p>
    <w:p w:rsidR="00912036" w:rsidRDefault="00912036">
      <w:pPr>
        <w:spacing w:line="360" w:lineRule="auto"/>
        <w:ind w:firstLine="709"/>
        <w:jc w:val="both"/>
        <w:rPr>
          <w:sz w:val="28"/>
          <w:szCs w:val="13"/>
          <w:lang w:val="uk-UA"/>
        </w:rPr>
      </w:pPr>
    </w:p>
    <w:p w:rsidR="00912036" w:rsidRDefault="00912036">
      <w:pPr>
        <w:spacing w:line="360" w:lineRule="auto"/>
        <w:ind w:firstLine="709"/>
        <w:jc w:val="both"/>
        <w:rPr>
          <w:sz w:val="28"/>
          <w:szCs w:val="13"/>
        </w:rPr>
        <w:sectPr w:rsidR="0091203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12036" w:rsidRDefault="005C3394">
      <w:pPr>
        <w:spacing w:line="360" w:lineRule="auto"/>
        <w:ind w:firstLine="709"/>
        <w:jc w:val="both"/>
        <w:rPr>
          <w:sz w:val="28"/>
          <w:szCs w:val="13"/>
        </w:rPr>
      </w:pPr>
      <w:r>
        <w:rPr>
          <w:sz w:val="28"/>
          <w:szCs w:val="13"/>
        </w:rPr>
        <w:t xml:space="preserve">Народився в Києві. Закінчив Новоросійський університет (1906 р.). Працював там на кафедрі патологічної фізіології. В 1911 р. стажувався у Сорбонні (Париж). </w:t>
      </w:r>
    </w:p>
    <w:p w:rsidR="00912036" w:rsidRDefault="005C3394">
      <w:pPr>
        <w:spacing w:line="360" w:lineRule="auto"/>
        <w:ind w:firstLine="709"/>
        <w:jc w:val="both"/>
        <w:rPr>
          <w:sz w:val="28"/>
          <w:szCs w:val="13"/>
          <w:lang w:val="uk-UA"/>
        </w:rPr>
      </w:pPr>
      <w:r>
        <w:rPr>
          <w:sz w:val="28"/>
          <w:szCs w:val="13"/>
        </w:rPr>
        <w:t> В 1911-1925 рр. — професор Саратовського університету, в 1925-1931 рр. — завідуючий кафедрою патофізіології 2-го Московського медичного інституту, в 1928-1931 рр. — директор Інституту   гематології і переливання крові в Москві. Організатор і директор Інституту експериментальної біології і патології Міністерства   охорони здоров’я України (1930 р.) та Інституту клінічної фізіології   АН України (1934 р.).</w:t>
      </w:r>
      <w:r>
        <w:rPr>
          <w:sz w:val="28"/>
          <w:szCs w:val="13"/>
          <w:lang w:val="uk-UA"/>
        </w:rPr>
        <w:t xml:space="preserve"> </w:t>
      </w:r>
    </w:p>
    <w:p w:rsidR="00912036" w:rsidRDefault="005C3394">
      <w:pPr>
        <w:spacing w:line="360" w:lineRule="auto"/>
        <w:ind w:firstLine="709"/>
        <w:jc w:val="both"/>
        <w:rPr>
          <w:sz w:val="28"/>
          <w:szCs w:val="13"/>
          <w:lang w:val="uk-UA"/>
        </w:rPr>
      </w:pPr>
      <w:r>
        <w:rPr>
          <w:sz w:val="28"/>
          <w:szCs w:val="13"/>
        </w:rPr>
        <w:t>  </w:t>
      </w:r>
      <w:r>
        <w:rPr>
          <w:sz w:val="28"/>
          <w:szCs w:val="13"/>
          <w:lang w:val="uk-UA"/>
        </w:rPr>
        <w:t xml:space="preserve">Основні наукові праці присвячено питанням патологічної фізіології, ендокринології, вегетативної нервової системи, онкології, проблемам довголіття. </w:t>
      </w:r>
      <w:r>
        <w:rPr>
          <w:sz w:val="28"/>
          <w:szCs w:val="13"/>
        </w:rPr>
        <w:t>Створив вчення про фізіологічну систему сполучної тканини, запропонувавши для підсилення її функцій при ряді захворювань антиретикулярну цитотоксичну сироватку, що широко застосовувалася в роки Великої Вітчизняної війни для прискорення зростання переломів і загоєння ран. Ініціатор і керівник робіт з консервування крові. Заклав основи геронтології, під його керівництвом проведено в СРСР перший у світі перепис довгожителів. Створив школу патофізіологів. Видатний організатор науки і громадський діяч.</w:t>
      </w:r>
    </w:p>
    <w:p w:rsidR="00912036" w:rsidRDefault="005C3394">
      <w:pPr>
        <w:spacing w:line="360" w:lineRule="auto"/>
        <w:ind w:firstLine="709"/>
        <w:jc w:val="both"/>
        <w:rPr>
          <w:sz w:val="28"/>
          <w:szCs w:val="13"/>
          <w:lang w:val="uk-UA"/>
        </w:rPr>
      </w:pPr>
      <w:r>
        <w:rPr>
          <w:sz w:val="28"/>
          <w:szCs w:val="13"/>
        </w:rPr>
        <w:t>  </w:t>
      </w:r>
      <w:r>
        <w:rPr>
          <w:sz w:val="28"/>
          <w:szCs w:val="13"/>
          <w:lang w:val="uk-UA"/>
        </w:rPr>
        <w:t xml:space="preserve">Найважливішим напрямком творчих пошуків О.О.Богомольця стало вчення про сполучну тканину, її морфогенез, клітинні компоненти та безклітинні структури, їх участь і роль у фізіологічних і патологічних процесах в організмі як цілому. </w:t>
      </w:r>
      <w:r>
        <w:rPr>
          <w:sz w:val="28"/>
          <w:szCs w:val="13"/>
        </w:rPr>
        <w:t>Вчений встановив, що сполучна тканина утворює в організмі своєрідну систему зі складними функціональними проявами, а її гістологічні елементи надзвичайно різноманітні. Ця так звана неоформлена тканина населена різними активними клітинними елементами. О.О.Богомолець запропонував нову, основану на глибокому аналізі світової літератури і власних фундаментальних дослідженнях, оригінальну концепцію сполучної тканини як фізіологічної системи, що відіграє важливу роль у життєдіяльності організму.</w:t>
      </w:r>
      <w:r>
        <w:rPr>
          <w:sz w:val="28"/>
          <w:szCs w:val="13"/>
          <w:lang w:val="uk-UA"/>
        </w:rPr>
        <w:t xml:space="preserve"> </w:t>
      </w:r>
      <w:r>
        <w:rPr>
          <w:sz w:val="28"/>
          <w:szCs w:val="13"/>
        </w:rPr>
        <w:t>  Упродовж тривалого часу в центрі наукових пошуків О.О.Богомольця перебувала проблема цитотоксинотерапії. Цитотоксини відкрив І. І. Мечников, який припускав, що вони діють як сильна клітинна отрута і могли б застосовуватися для стимулюючих ефектів. Однак як це зробити, вчені не знали. О.О.Богомолець блискуче вирішив цю проблему, застосувавши модифіковану ним реакцію зв’язування комплементу. З’явилася імовірність кількісного і якісного визначення біологічної активності цитотоксинів, їх дозування, вивчення ефекту дії залежно від дози.</w:t>
      </w:r>
    </w:p>
    <w:p w:rsidR="00912036" w:rsidRDefault="005C3394">
      <w:pPr>
        <w:spacing w:line="360" w:lineRule="auto"/>
        <w:ind w:firstLine="709"/>
        <w:jc w:val="both"/>
        <w:rPr>
          <w:sz w:val="28"/>
          <w:szCs w:val="13"/>
          <w:lang w:val="uk-UA"/>
        </w:rPr>
      </w:pPr>
      <w:r>
        <w:rPr>
          <w:sz w:val="28"/>
          <w:szCs w:val="13"/>
        </w:rPr>
        <w:t>  А це дало змогу встановити закономірність стимулювання малими дозами і пригнічення більшими функції тканин. Так було визначено антиген (матеріал) для приготування цитотоксичної сироватки.</w:t>
      </w:r>
    </w:p>
    <w:p w:rsidR="00912036" w:rsidRDefault="005C3394">
      <w:pPr>
        <w:spacing w:line="360" w:lineRule="auto"/>
        <w:ind w:firstLine="709"/>
        <w:jc w:val="both"/>
        <w:rPr>
          <w:sz w:val="28"/>
          <w:szCs w:val="13"/>
          <w:lang w:val="uk-UA"/>
        </w:rPr>
      </w:pPr>
      <w:r>
        <w:rPr>
          <w:sz w:val="28"/>
          <w:szCs w:val="13"/>
        </w:rPr>
        <w:t>  </w:t>
      </w:r>
      <w:r>
        <w:rPr>
          <w:sz w:val="28"/>
          <w:szCs w:val="13"/>
          <w:lang w:val="uk-UA"/>
        </w:rPr>
        <w:t xml:space="preserve">Створивши свою концепцію і показавши значення її реактивних можливостей при деяких патологічних процесах, учений писав: «Фізіологічна система сполучної тканини, яка в своєму стані відбиває стан інших фізіологічних систем, є тією ареною, на якій розігруються патологічні процеси. </w:t>
      </w:r>
      <w:r>
        <w:rPr>
          <w:sz w:val="28"/>
          <w:szCs w:val="13"/>
        </w:rPr>
        <w:t>Зі сказаного зрозуміло, що немає і не може бути захворювання організму, в розвитку і перебігу якого фізіологічна система сполучної тканини не брала б особливо діяльної участі. Ось чому можливість тримати реактивність фізіологічної системи сполучної тканини, її пластичні, трофічні і захисні функції на належній висоті є одним із найістотніших завдань патогенетичної терапії». Запропонована О.О.Богомольцем антиретикулярна сироватка вплинула не лише на збудників інфекції та їх токсини, а й на реактивність фізіологічної системи сполучної тканини, від стану якої значною мірою залежить знищення мікробів та їх токсинів при будь-якій інфекції. Показання до застосування антиретикулярної цитотоксичної сироватки визначалися не причиною захворювання, а станом реактивності фізіологічної системи сполучної тканини організму.</w:t>
      </w:r>
    </w:p>
    <w:p w:rsidR="00912036" w:rsidRDefault="005C3394">
      <w:pPr>
        <w:spacing w:line="360" w:lineRule="auto"/>
        <w:ind w:firstLine="709"/>
        <w:jc w:val="both"/>
        <w:rPr>
          <w:sz w:val="28"/>
          <w:szCs w:val="13"/>
          <w:lang w:val="uk-UA"/>
        </w:rPr>
      </w:pPr>
      <w:r>
        <w:rPr>
          <w:sz w:val="28"/>
          <w:szCs w:val="13"/>
        </w:rPr>
        <w:t>  </w:t>
      </w:r>
      <w:r>
        <w:rPr>
          <w:sz w:val="28"/>
          <w:szCs w:val="13"/>
          <w:lang w:val="uk-UA"/>
        </w:rPr>
        <w:t>Вчення О.О.Богомольця про фізіологічну систему сполучної тканини сприяло виникненню ряду нових наук, наприклад, алергології, а також різноманітних модифікацій вчення про імунітет, яким зараз надається важливого значення. Це вчення надало цілісності і багатьом іншим науковим досягненням О.О.Богомольця, як-от його розробкам проблем довголіття організму.</w:t>
      </w:r>
    </w:p>
    <w:p w:rsidR="00912036" w:rsidRDefault="005C3394">
      <w:pPr>
        <w:spacing w:line="360" w:lineRule="auto"/>
        <w:ind w:firstLine="709"/>
        <w:jc w:val="both"/>
        <w:rPr>
          <w:sz w:val="28"/>
          <w:szCs w:val="13"/>
          <w:lang w:val="uk-UA"/>
        </w:rPr>
      </w:pPr>
      <w:r>
        <w:rPr>
          <w:sz w:val="28"/>
          <w:szCs w:val="13"/>
        </w:rPr>
        <w:t> Подальша доля цього важливого наукового відкриття була складною. Після смерті О.О.Богомольця через певні ідеологічні кампанії в радянській науці проти генетики, фізіології та патофізіології розвиток його вчення було загальмовано, фактично припинила існування і його наукова школа, хоча розроблена ним антиретикулярна сироватка широко використовувалася.</w:t>
      </w:r>
    </w:p>
    <w:p w:rsidR="00912036" w:rsidRDefault="005C3394">
      <w:pPr>
        <w:spacing w:line="360" w:lineRule="auto"/>
        <w:ind w:firstLine="709"/>
        <w:jc w:val="both"/>
        <w:rPr>
          <w:sz w:val="28"/>
          <w:szCs w:val="13"/>
          <w:lang w:val="uk-UA"/>
        </w:rPr>
      </w:pPr>
      <w:r>
        <w:rPr>
          <w:sz w:val="28"/>
          <w:szCs w:val="13"/>
        </w:rPr>
        <w:t>  Зараз уже нема потреби доводити, що сполучна тканина бере участь у найважливіших функціях організму як чинник забезпечення його діяльності. Завдяки багатьом дослідженням встановлено і вивчено роль цієї системи у процесах норми і патології, що відбуваються в організмі. Підтверджено також положення О.О.Богомольця про активну участь фізіологічної системи сполучної тканини в реактивних можливостях організму у ролі важливого механізму, що забезпечує його нормальне існування.</w:t>
      </w:r>
    </w:p>
    <w:p w:rsidR="00912036" w:rsidRDefault="005C3394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13"/>
        </w:rPr>
        <w:t>  Антиретикулярна цитотоксична сироватка (у багатьох країнах її   називають сироваткою О.О.Богомольця) — ефективний засіб для стимуляції фізіологічної системи сполучної тканини. Вона не є панацеєю від усіх хвороб, але дуже ефективна при таких захворюваннях: відкриті і закриті переломи кісток, довго незагоювані мляво інфіковані гранульовані рани і загальна гнійна інфекція організму, гнійні запалення порожнин і тканин, затяжні пневмонії і абсцеси легень, тонзиліти, висипний тиф, гінекологічний сепсис, ревматизм, мастопатії, виразки шлунка і дванадцятипалої кишки, розсіяний склероз, ряд психозів тощо. Сироватка О.О.Богомольця — єдиний засіб специфічної стимуляції фізіологічної системи сполучної тканини, що є надзвичайно важливим у сучасних умовах, коли організм людини поставлено в складні екологічні умови, що порушують стан його компенсаторних механізмів.</w:t>
      </w:r>
      <w:bookmarkStart w:id="0" w:name="_GoBack"/>
      <w:bookmarkEnd w:id="0"/>
    </w:p>
    <w:sectPr w:rsidR="009120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71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394"/>
    <w:rsid w:val="00122583"/>
    <w:rsid w:val="005C3394"/>
    <w:rsid w:val="0091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E11C5-0836-4188-9C16-5F332165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both"/>
      <w:outlineLvl w:val="0"/>
    </w:pPr>
    <w:rPr>
      <w:b/>
      <w:bCs/>
      <w:sz w:val="28"/>
      <w:szCs w:val="1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Богомолець Олександр Олександрович</vt:lpstr>
    </vt:vector>
  </TitlesOfParts>
  <Manager>Медицина. Безпека життєдіяльності</Manager>
  <Company>Медицина. Безпека життєдіяльності</Company>
  <LinksUpToDate>false</LinksUpToDate>
  <CharactersWithSpaces>5914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Богомолець Олександр Олександрович</dc:title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dcterms:created xsi:type="dcterms:W3CDTF">2014-04-24T05:57:00Z</dcterms:created>
  <dcterms:modified xsi:type="dcterms:W3CDTF">2014-04-24T05:57:00Z</dcterms:modified>
  <cp:category>Медицина. Безпека життєдіяльності</cp:category>
</cp:coreProperties>
</file>