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44A" w:rsidRDefault="00AF444A" w:rsidP="00763A3D">
      <w:pPr>
        <w:pStyle w:val="1"/>
      </w:pPr>
    </w:p>
    <w:p w:rsidR="00763A3D" w:rsidRDefault="00763A3D" w:rsidP="00763A3D">
      <w:pPr>
        <w:pStyle w:val="1"/>
      </w:pPr>
      <w:r>
        <w:t>Проблемы финансового состояния промышленных предприятий в Российской Федерации</w:t>
      </w:r>
    </w:p>
    <w:p w:rsidR="00763A3D" w:rsidRDefault="00763A3D" w:rsidP="00763A3D">
      <w:pPr>
        <w:pStyle w:val="a3"/>
      </w:pPr>
      <w:r>
        <w:t>Развитие экономики во многом зависит от развития промышленности. Не составляет исключения и Россия. Промышленность в экономике нашей страны была и остается ведущей отраслью, без подъема и нормального функционирования которой невозможно дальнейшее развитие хозяйственных, финансовых и социально-культурных сфер экономики.</w:t>
      </w:r>
    </w:p>
    <w:p w:rsidR="00763A3D" w:rsidRDefault="00763A3D" w:rsidP="00763A3D">
      <w:pPr>
        <w:pStyle w:val="a3"/>
      </w:pPr>
      <w:r>
        <w:t>С переходом Российской Федерации от командно-административной системы к рыночным отношениям была осуществлена приватизация большего числа промышленных предприятий, которые остались без государственного финансирования. Промышленное производство заметно снизилось. Широкое распространение получили спекулятивные операции, приносящие участникам колоссальные прибыли без наращивания национального богатства.</w:t>
      </w:r>
    </w:p>
    <w:p w:rsidR="00763A3D" w:rsidRDefault="00763A3D" w:rsidP="00763A3D">
      <w:pPr>
        <w:pStyle w:val="a3"/>
      </w:pPr>
      <w:r>
        <w:t xml:space="preserve">В структуре ВВП на 01.01.2002 г. более 50% составляла сфера услуг. Российской Федерации. За январь-май 2002 года прибыль основных отраслей экономики составила 441,0 млрд. руб. Сальдированный финансовый результат крупных и средних организаций всех отраслей экономики снизился к уровню аналогичного периода прошлого года на 36,7%, в том числе в промышленности - на 45,4%. Доля убыточных организаций увеличилась на 4,7 процентного пункта и составила 43,2%. Данная ситуация отражается в табл. 1.1. </w:t>
      </w:r>
    </w:p>
    <w:p w:rsidR="00763A3D" w:rsidRDefault="00763A3D" w:rsidP="00763A3D">
      <w:pPr>
        <w:pStyle w:val="a3"/>
      </w:pPr>
      <w:r>
        <w:rPr>
          <w:b/>
          <w:bCs/>
        </w:rPr>
        <w:t xml:space="preserve">Таблица 1.1 </w:t>
      </w:r>
      <w:r>
        <w:rPr>
          <w:b/>
          <w:bCs/>
        </w:rPr>
        <w:br/>
        <w:t>Основные показатели работы отраслей промышленности РФ, 1997-2000 гг.</w:t>
      </w:r>
    </w:p>
    <w:tbl>
      <w:tblPr>
        <w:tblW w:w="5000" w:type="pct"/>
        <w:tblCellSpacing w:w="7" w:type="dxa"/>
        <w:shd w:val="clear" w:color="auto" w:fill="4F8CD0"/>
        <w:tblCellMar>
          <w:top w:w="30" w:type="dxa"/>
          <w:left w:w="30" w:type="dxa"/>
          <w:bottom w:w="30" w:type="dxa"/>
          <w:right w:w="30" w:type="dxa"/>
        </w:tblCellMar>
        <w:tblLook w:val="0000" w:firstRow="0" w:lastRow="0" w:firstColumn="0" w:lastColumn="0" w:noHBand="0" w:noVBand="0"/>
      </w:tblPr>
      <w:tblGrid>
        <w:gridCol w:w="3028"/>
        <w:gridCol w:w="598"/>
        <w:gridCol w:w="598"/>
        <w:gridCol w:w="598"/>
        <w:gridCol w:w="598"/>
        <w:gridCol w:w="914"/>
        <w:gridCol w:w="914"/>
        <w:gridCol w:w="1034"/>
        <w:gridCol w:w="1161"/>
      </w:tblGrid>
      <w:tr w:rsidR="00763A3D">
        <w:trPr>
          <w:tblCellSpacing w:w="7" w:type="dxa"/>
        </w:trPr>
        <w:tc>
          <w:tcPr>
            <w:tcW w:w="0" w:type="auto"/>
            <w:vMerge w:val="restart"/>
            <w:shd w:val="clear" w:color="auto" w:fill="FFFFFF"/>
            <w:vAlign w:val="center"/>
          </w:tcPr>
          <w:p w:rsidR="00763A3D" w:rsidRDefault="00763A3D">
            <w:r>
              <w:t>Отрасль промышленности</w:t>
            </w:r>
          </w:p>
        </w:tc>
        <w:tc>
          <w:tcPr>
            <w:tcW w:w="0" w:type="auto"/>
            <w:gridSpan w:val="4"/>
            <w:shd w:val="clear" w:color="auto" w:fill="FFFFFF"/>
            <w:vAlign w:val="center"/>
          </w:tcPr>
          <w:p w:rsidR="00763A3D" w:rsidRDefault="00763A3D">
            <w:r>
              <w:t>Уровень рентабельности продукции, %</w:t>
            </w:r>
          </w:p>
        </w:tc>
        <w:tc>
          <w:tcPr>
            <w:tcW w:w="0" w:type="auto"/>
            <w:gridSpan w:val="4"/>
            <w:shd w:val="clear" w:color="auto" w:fill="FFFFFF"/>
            <w:vAlign w:val="center"/>
          </w:tcPr>
          <w:p w:rsidR="00763A3D" w:rsidRDefault="00763A3D">
            <w:r>
              <w:t>Финансовый результат, млн рублей</w:t>
            </w:r>
          </w:p>
        </w:tc>
      </w:tr>
      <w:tr w:rsidR="00763A3D">
        <w:trPr>
          <w:tblCellSpacing w:w="7" w:type="dxa"/>
        </w:trPr>
        <w:tc>
          <w:tcPr>
            <w:tcW w:w="0" w:type="auto"/>
            <w:vMerge/>
            <w:shd w:val="clear" w:color="auto" w:fill="FFFFFF"/>
            <w:vAlign w:val="center"/>
          </w:tcPr>
          <w:p w:rsidR="00763A3D" w:rsidRDefault="00763A3D"/>
        </w:tc>
        <w:tc>
          <w:tcPr>
            <w:tcW w:w="0" w:type="auto"/>
            <w:shd w:val="clear" w:color="auto" w:fill="FFFFFF"/>
            <w:vAlign w:val="center"/>
          </w:tcPr>
          <w:p w:rsidR="00763A3D" w:rsidRDefault="00763A3D">
            <w:r>
              <w:t>1997</w:t>
            </w:r>
          </w:p>
        </w:tc>
        <w:tc>
          <w:tcPr>
            <w:tcW w:w="0" w:type="auto"/>
            <w:shd w:val="clear" w:color="auto" w:fill="FFFFFF"/>
            <w:vAlign w:val="center"/>
          </w:tcPr>
          <w:p w:rsidR="00763A3D" w:rsidRDefault="00763A3D">
            <w:r>
              <w:t>1998</w:t>
            </w:r>
          </w:p>
        </w:tc>
        <w:tc>
          <w:tcPr>
            <w:tcW w:w="0" w:type="auto"/>
            <w:shd w:val="clear" w:color="auto" w:fill="FFFFFF"/>
            <w:vAlign w:val="center"/>
          </w:tcPr>
          <w:p w:rsidR="00763A3D" w:rsidRDefault="00763A3D">
            <w:r>
              <w:t>1999</w:t>
            </w:r>
          </w:p>
        </w:tc>
        <w:tc>
          <w:tcPr>
            <w:tcW w:w="0" w:type="auto"/>
            <w:shd w:val="clear" w:color="auto" w:fill="FFFFFF"/>
            <w:vAlign w:val="center"/>
          </w:tcPr>
          <w:p w:rsidR="00763A3D" w:rsidRDefault="00763A3D">
            <w:r>
              <w:t>2000</w:t>
            </w:r>
          </w:p>
        </w:tc>
        <w:tc>
          <w:tcPr>
            <w:tcW w:w="0" w:type="auto"/>
            <w:shd w:val="clear" w:color="auto" w:fill="FFFFFF"/>
            <w:vAlign w:val="center"/>
          </w:tcPr>
          <w:p w:rsidR="00763A3D" w:rsidRDefault="00763A3D">
            <w:r>
              <w:t>1997</w:t>
            </w:r>
          </w:p>
        </w:tc>
        <w:tc>
          <w:tcPr>
            <w:tcW w:w="0" w:type="auto"/>
            <w:shd w:val="clear" w:color="auto" w:fill="FFFFFF"/>
            <w:vAlign w:val="center"/>
          </w:tcPr>
          <w:p w:rsidR="00763A3D" w:rsidRDefault="00763A3D">
            <w:r>
              <w:t>1998</w:t>
            </w:r>
          </w:p>
        </w:tc>
        <w:tc>
          <w:tcPr>
            <w:tcW w:w="0" w:type="auto"/>
            <w:shd w:val="clear" w:color="auto" w:fill="FFFFFF"/>
            <w:vAlign w:val="center"/>
          </w:tcPr>
          <w:p w:rsidR="00763A3D" w:rsidRDefault="00763A3D">
            <w:r>
              <w:t>1999</w:t>
            </w:r>
          </w:p>
        </w:tc>
        <w:tc>
          <w:tcPr>
            <w:tcW w:w="0" w:type="auto"/>
            <w:shd w:val="clear" w:color="auto" w:fill="FFFFFF"/>
            <w:vAlign w:val="center"/>
          </w:tcPr>
          <w:p w:rsidR="00763A3D" w:rsidRDefault="00763A3D">
            <w:r>
              <w:t>2000</w:t>
            </w:r>
          </w:p>
        </w:tc>
      </w:tr>
      <w:tr w:rsidR="00763A3D">
        <w:trPr>
          <w:tblCellSpacing w:w="7" w:type="dxa"/>
        </w:trPr>
        <w:tc>
          <w:tcPr>
            <w:tcW w:w="0" w:type="auto"/>
            <w:shd w:val="clear" w:color="auto" w:fill="FFFFFF"/>
            <w:vAlign w:val="center"/>
          </w:tcPr>
          <w:p w:rsidR="00763A3D" w:rsidRDefault="00763A3D">
            <w:r>
              <w:t>Электроэнергетика</w:t>
            </w:r>
          </w:p>
        </w:tc>
        <w:tc>
          <w:tcPr>
            <w:tcW w:w="0" w:type="auto"/>
            <w:shd w:val="clear" w:color="auto" w:fill="FFFFFF"/>
            <w:vAlign w:val="center"/>
          </w:tcPr>
          <w:p w:rsidR="00763A3D" w:rsidRDefault="00763A3D">
            <w:r>
              <w:t>14,3</w:t>
            </w:r>
          </w:p>
        </w:tc>
        <w:tc>
          <w:tcPr>
            <w:tcW w:w="0" w:type="auto"/>
            <w:shd w:val="clear" w:color="auto" w:fill="FFFFFF"/>
            <w:vAlign w:val="center"/>
          </w:tcPr>
          <w:p w:rsidR="00763A3D" w:rsidRDefault="00763A3D">
            <w:r>
              <w:t>14,1</w:t>
            </w:r>
          </w:p>
        </w:tc>
        <w:tc>
          <w:tcPr>
            <w:tcW w:w="0" w:type="auto"/>
            <w:shd w:val="clear" w:color="auto" w:fill="FFFFFF"/>
            <w:vAlign w:val="center"/>
          </w:tcPr>
          <w:p w:rsidR="00763A3D" w:rsidRDefault="00763A3D">
            <w:r>
              <w:t>12,0</w:t>
            </w:r>
          </w:p>
        </w:tc>
        <w:tc>
          <w:tcPr>
            <w:tcW w:w="0" w:type="auto"/>
            <w:shd w:val="clear" w:color="auto" w:fill="FFFFFF"/>
            <w:vAlign w:val="center"/>
          </w:tcPr>
          <w:p w:rsidR="00763A3D" w:rsidRDefault="00763A3D">
            <w:r>
              <w:t>13,7</w:t>
            </w:r>
          </w:p>
        </w:tc>
        <w:tc>
          <w:tcPr>
            <w:tcW w:w="0" w:type="auto"/>
            <w:shd w:val="clear" w:color="auto" w:fill="FFFFFF"/>
            <w:vAlign w:val="center"/>
          </w:tcPr>
          <w:p w:rsidR="00763A3D" w:rsidRDefault="00763A3D">
            <w:r>
              <w:t>2685200</w:t>
            </w:r>
          </w:p>
        </w:tc>
        <w:tc>
          <w:tcPr>
            <w:tcW w:w="0" w:type="auto"/>
            <w:shd w:val="clear" w:color="auto" w:fill="FFFFFF"/>
            <w:vAlign w:val="center"/>
          </w:tcPr>
          <w:p w:rsidR="00763A3D" w:rsidRDefault="00763A3D">
            <w:r>
              <w:t>3208600</w:t>
            </w:r>
          </w:p>
        </w:tc>
        <w:tc>
          <w:tcPr>
            <w:tcW w:w="0" w:type="auto"/>
            <w:shd w:val="clear" w:color="auto" w:fill="FFFFFF"/>
            <w:vAlign w:val="center"/>
          </w:tcPr>
          <w:p w:rsidR="00763A3D" w:rsidRDefault="00763A3D">
            <w:r>
              <w:t>20721000</w:t>
            </w:r>
          </w:p>
        </w:tc>
        <w:tc>
          <w:tcPr>
            <w:tcW w:w="0" w:type="auto"/>
            <w:shd w:val="clear" w:color="auto" w:fill="FFFFFF"/>
            <w:vAlign w:val="center"/>
          </w:tcPr>
          <w:p w:rsidR="00763A3D" w:rsidRDefault="00763A3D">
            <w:r>
              <w:t>36347000</w:t>
            </w:r>
          </w:p>
        </w:tc>
      </w:tr>
      <w:tr w:rsidR="00763A3D">
        <w:trPr>
          <w:tblCellSpacing w:w="7" w:type="dxa"/>
        </w:trPr>
        <w:tc>
          <w:tcPr>
            <w:tcW w:w="0" w:type="auto"/>
            <w:shd w:val="clear" w:color="auto" w:fill="FFFFFF"/>
            <w:vAlign w:val="center"/>
          </w:tcPr>
          <w:p w:rsidR="00763A3D" w:rsidRDefault="00763A3D">
            <w:r>
              <w:t>Угольная промышленность</w:t>
            </w:r>
          </w:p>
        </w:tc>
        <w:tc>
          <w:tcPr>
            <w:tcW w:w="0" w:type="auto"/>
            <w:shd w:val="clear" w:color="auto" w:fill="FFFFFF"/>
            <w:vAlign w:val="center"/>
          </w:tcPr>
          <w:p w:rsidR="00763A3D" w:rsidRDefault="00763A3D">
            <w:r>
              <w:t>10,8</w:t>
            </w:r>
          </w:p>
        </w:tc>
        <w:tc>
          <w:tcPr>
            <w:tcW w:w="0" w:type="auto"/>
            <w:shd w:val="clear" w:color="auto" w:fill="FFFFFF"/>
            <w:vAlign w:val="center"/>
          </w:tcPr>
          <w:p w:rsidR="00763A3D" w:rsidRDefault="00763A3D">
            <w:r>
              <w:t>9,4</w:t>
            </w:r>
          </w:p>
        </w:tc>
        <w:tc>
          <w:tcPr>
            <w:tcW w:w="0" w:type="auto"/>
            <w:shd w:val="clear" w:color="auto" w:fill="FFFFFF"/>
            <w:vAlign w:val="center"/>
          </w:tcPr>
          <w:p w:rsidR="00763A3D" w:rsidRDefault="00763A3D">
            <w:r>
              <w:t>12,5</w:t>
            </w:r>
          </w:p>
        </w:tc>
        <w:tc>
          <w:tcPr>
            <w:tcW w:w="0" w:type="auto"/>
            <w:shd w:val="clear" w:color="auto" w:fill="FFFFFF"/>
            <w:vAlign w:val="center"/>
          </w:tcPr>
          <w:p w:rsidR="00763A3D" w:rsidRDefault="00763A3D">
            <w:r>
              <w:t>25,1</w:t>
            </w:r>
          </w:p>
        </w:tc>
        <w:tc>
          <w:tcPr>
            <w:tcW w:w="0" w:type="auto"/>
            <w:shd w:val="clear" w:color="auto" w:fill="FFFFFF"/>
            <w:vAlign w:val="center"/>
          </w:tcPr>
          <w:p w:rsidR="00763A3D" w:rsidRDefault="00763A3D">
            <w:r>
              <w:t>503000</w:t>
            </w:r>
          </w:p>
        </w:tc>
        <w:tc>
          <w:tcPr>
            <w:tcW w:w="0" w:type="auto"/>
            <w:shd w:val="clear" w:color="auto" w:fill="FFFFFF"/>
            <w:vAlign w:val="center"/>
          </w:tcPr>
          <w:p w:rsidR="00763A3D" w:rsidRDefault="00763A3D">
            <w:r>
              <w:t>326800</w:t>
            </w:r>
          </w:p>
        </w:tc>
        <w:tc>
          <w:tcPr>
            <w:tcW w:w="0" w:type="auto"/>
            <w:shd w:val="clear" w:color="auto" w:fill="FFFFFF"/>
            <w:vAlign w:val="center"/>
          </w:tcPr>
          <w:p w:rsidR="00763A3D" w:rsidRDefault="00763A3D">
            <w:r>
              <w:t>213300</w:t>
            </w:r>
          </w:p>
        </w:tc>
        <w:tc>
          <w:tcPr>
            <w:tcW w:w="0" w:type="auto"/>
            <w:shd w:val="clear" w:color="auto" w:fill="FFFFFF"/>
            <w:vAlign w:val="center"/>
          </w:tcPr>
          <w:p w:rsidR="00763A3D" w:rsidRDefault="00763A3D">
            <w:r>
              <w:t>4627300</w:t>
            </w:r>
          </w:p>
        </w:tc>
      </w:tr>
      <w:tr w:rsidR="00763A3D">
        <w:trPr>
          <w:tblCellSpacing w:w="7" w:type="dxa"/>
        </w:trPr>
        <w:tc>
          <w:tcPr>
            <w:tcW w:w="0" w:type="auto"/>
            <w:shd w:val="clear" w:color="auto" w:fill="FFFFFF"/>
            <w:vAlign w:val="center"/>
          </w:tcPr>
          <w:p w:rsidR="00763A3D" w:rsidRDefault="00763A3D">
            <w:r>
              <w:t>Нефтедобывающая промышленность</w:t>
            </w:r>
          </w:p>
        </w:tc>
        <w:tc>
          <w:tcPr>
            <w:tcW w:w="0" w:type="auto"/>
            <w:shd w:val="clear" w:color="auto" w:fill="FFFFFF"/>
            <w:vAlign w:val="center"/>
          </w:tcPr>
          <w:p w:rsidR="00763A3D" w:rsidRDefault="00763A3D">
            <w:r>
              <w:t>11,7</w:t>
            </w:r>
          </w:p>
        </w:tc>
        <w:tc>
          <w:tcPr>
            <w:tcW w:w="0" w:type="auto"/>
            <w:shd w:val="clear" w:color="auto" w:fill="FFFFFF"/>
            <w:vAlign w:val="center"/>
          </w:tcPr>
          <w:p w:rsidR="00763A3D" w:rsidRDefault="00763A3D">
            <w:r>
              <w:t>13,1</w:t>
            </w:r>
          </w:p>
        </w:tc>
        <w:tc>
          <w:tcPr>
            <w:tcW w:w="0" w:type="auto"/>
            <w:shd w:val="clear" w:color="auto" w:fill="FFFFFF"/>
            <w:vAlign w:val="center"/>
          </w:tcPr>
          <w:p w:rsidR="00763A3D" w:rsidRDefault="00763A3D">
            <w:r>
              <w:t>15,7</w:t>
            </w:r>
          </w:p>
        </w:tc>
        <w:tc>
          <w:tcPr>
            <w:tcW w:w="0" w:type="auto"/>
            <w:shd w:val="clear" w:color="auto" w:fill="FFFFFF"/>
            <w:vAlign w:val="center"/>
          </w:tcPr>
          <w:p w:rsidR="00763A3D" w:rsidRDefault="00763A3D">
            <w:r>
              <w:t>44,5</w:t>
            </w:r>
          </w:p>
        </w:tc>
        <w:tc>
          <w:tcPr>
            <w:tcW w:w="0" w:type="auto"/>
            <w:shd w:val="clear" w:color="auto" w:fill="FFFFFF"/>
            <w:vAlign w:val="center"/>
          </w:tcPr>
          <w:p w:rsidR="00763A3D" w:rsidRDefault="00763A3D">
            <w:r>
              <w:t>2412800</w:t>
            </w:r>
          </w:p>
        </w:tc>
        <w:tc>
          <w:tcPr>
            <w:tcW w:w="0" w:type="auto"/>
            <w:shd w:val="clear" w:color="auto" w:fill="FFFFFF"/>
            <w:vAlign w:val="center"/>
          </w:tcPr>
          <w:p w:rsidR="00763A3D" w:rsidRDefault="00763A3D">
            <w:r>
              <w:t>2684400</w:t>
            </w:r>
          </w:p>
        </w:tc>
        <w:tc>
          <w:tcPr>
            <w:tcW w:w="0" w:type="auto"/>
            <w:shd w:val="clear" w:color="auto" w:fill="FFFFFF"/>
            <w:vAlign w:val="center"/>
          </w:tcPr>
          <w:p w:rsidR="00763A3D" w:rsidRDefault="00763A3D">
            <w:r>
              <w:t>9307000</w:t>
            </w:r>
          </w:p>
        </w:tc>
        <w:tc>
          <w:tcPr>
            <w:tcW w:w="0" w:type="auto"/>
            <w:shd w:val="clear" w:color="auto" w:fill="FFFFFF"/>
            <w:vAlign w:val="center"/>
          </w:tcPr>
          <w:p w:rsidR="00763A3D" w:rsidRDefault="00763A3D">
            <w:r>
              <w:t>161769000</w:t>
            </w:r>
          </w:p>
        </w:tc>
      </w:tr>
      <w:tr w:rsidR="00763A3D">
        <w:trPr>
          <w:tblCellSpacing w:w="7" w:type="dxa"/>
        </w:trPr>
        <w:tc>
          <w:tcPr>
            <w:tcW w:w="0" w:type="auto"/>
            <w:shd w:val="clear" w:color="auto" w:fill="FFFFFF"/>
            <w:vAlign w:val="center"/>
          </w:tcPr>
          <w:p w:rsidR="00763A3D" w:rsidRDefault="00763A3D">
            <w:r>
              <w:t>Газовая промышленность</w:t>
            </w:r>
          </w:p>
        </w:tc>
        <w:tc>
          <w:tcPr>
            <w:tcW w:w="0" w:type="auto"/>
            <w:shd w:val="clear" w:color="auto" w:fill="FFFFFF"/>
            <w:vAlign w:val="center"/>
          </w:tcPr>
          <w:p w:rsidR="00763A3D" w:rsidRDefault="00763A3D">
            <w:r>
              <w:t>12,6</w:t>
            </w:r>
          </w:p>
        </w:tc>
        <w:tc>
          <w:tcPr>
            <w:tcW w:w="0" w:type="auto"/>
            <w:shd w:val="clear" w:color="auto" w:fill="FFFFFF"/>
            <w:vAlign w:val="center"/>
          </w:tcPr>
          <w:p w:rsidR="00763A3D" w:rsidRDefault="00763A3D">
            <w:r>
              <w:t>23,3</w:t>
            </w:r>
          </w:p>
        </w:tc>
        <w:tc>
          <w:tcPr>
            <w:tcW w:w="0" w:type="auto"/>
            <w:shd w:val="clear" w:color="auto" w:fill="FFFFFF"/>
            <w:vAlign w:val="center"/>
          </w:tcPr>
          <w:p w:rsidR="00763A3D" w:rsidRDefault="00763A3D">
            <w:r>
              <w:t>31,1</w:t>
            </w:r>
          </w:p>
        </w:tc>
        <w:tc>
          <w:tcPr>
            <w:tcW w:w="0" w:type="auto"/>
            <w:shd w:val="clear" w:color="auto" w:fill="FFFFFF"/>
            <w:vAlign w:val="center"/>
          </w:tcPr>
          <w:p w:rsidR="00763A3D" w:rsidRDefault="00763A3D">
            <w:r>
              <w:t>22,6</w:t>
            </w:r>
          </w:p>
        </w:tc>
        <w:tc>
          <w:tcPr>
            <w:tcW w:w="0" w:type="auto"/>
            <w:shd w:val="clear" w:color="auto" w:fill="FFFFFF"/>
            <w:vAlign w:val="center"/>
          </w:tcPr>
          <w:p w:rsidR="00763A3D" w:rsidRDefault="00763A3D">
            <w:r>
              <w:t>271900</w:t>
            </w:r>
          </w:p>
        </w:tc>
        <w:tc>
          <w:tcPr>
            <w:tcW w:w="0" w:type="auto"/>
            <w:shd w:val="clear" w:color="auto" w:fill="FFFFFF"/>
            <w:vAlign w:val="center"/>
          </w:tcPr>
          <w:p w:rsidR="00763A3D" w:rsidRDefault="00763A3D">
            <w:r>
              <w:t>6584000</w:t>
            </w:r>
          </w:p>
        </w:tc>
        <w:tc>
          <w:tcPr>
            <w:tcW w:w="0" w:type="auto"/>
            <w:shd w:val="clear" w:color="auto" w:fill="FFFFFF"/>
            <w:vAlign w:val="center"/>
          </w:tcPr>
          <w:p w:rsidR="00763A3D" w:rsidRDefault="00763A3D">
            <w:r>
              <w:t>6113000</w:t>
            </w:r>
          </w:p>
        </w:tc>
        <w:tc>
          <w:tcPr>
            <w:tcW w:w="0" w:type="auto"/>
            <w:shd w:val="clear" w:color="auto" w:fill="FFFFFF"/>
            <w:vAlign w:val="center"/>
          </w:tcPr>
          <w:p w:rsidR="00763A3D" w:rsidRDefault="00763A3D">
            <w:r>
              <w:t>7771000</w:t>
            </w:r>
          </w:p>
        </w:tc>
      </w:tr>
      <w:tr w:rsidR="00763A3D">
        <w:trPr>
          <w:tblCellSpacing w:w="7" w:type="dxa"/>
        </w:trPr>
        <w:tc>
          <w:tcPr>
            <w:tcW w:w="0" w:type="auto"/>
            <w:shd w:val="clear" w:color="auto" w:fill="FFFFFF"/>
            <w:vAlign w:val="center"/>
          </w:tcPr>
          <w:p w:rsidR="00763A3D" w:rsidRDefault="00763A3D">
            <w:r>
              <w:t>Чёрная металлургия</w:t>
            </w:r>
          </w:p>
        </w:tc>
        <w:tc>
          <w:tcPr>
            <w:tcW w:w="0" w:type="auto"/>
            <w:shd w:val="clear" w:color="auto" w:fill="FFFFFF"/>
            <w:vAlign w:val="center"/>
          </w:tcPr>
          <w:p w:rsidR="00763A3D" w:rsidRDefault="00763A3D">
            <w:r>
              <w:t>5,0</w:t>
            </w:r>
          </w:p>
        </w:tc>
        <w:tc>
          <w:tcPr>
            <w:tcW w:w="0" w:type="auto"/>
            <w:shd w:val="clear" w:color="auto" w:fill="FFFFFF"/>
            <w:vAlign w:val="center"/>
          </w:tcPr>
          <w:p w:rsidR="00763A3D" w:rsidRDefault="00763A3D">
            <w:r>
              <w:t>3,6</w:t>
            </w:r>
          </w:p>
        </w:tc>
        <w:tc>
          <w:tcPr>
            <w:tcW w:w="0" w:type="auto"/>
            <w:shd w:val="clear" w:color="auto" w:fill="FFFFFF"/>
            <w:vAlign w:val="center"/>
          </w:tcPr>
          <w:p w:rsidR="00763A3D" w:rsidRDefault="00763A3D">
            <w:r>
              <w:t>10,3</w:t>
            </w:r>
          </w:p>
        </w:tc>
        <w:tc>
          <w:tcPr>
            <w:tcW w:w="0" w:type="auto"/>
            <w:shd w:val="clear" w:color="auto" w:fill="FFFFFF"/>
            <w:vAlign w:val="center"/>
          </w:tcPr>
          <w:p w:rsidR="00763A3D" w:rsidRDefault="00763A3D">
            <w:r>
              <w:t>28,2</w:t>
            </w:r>
          </w:p>
        </w:tc>
        <w:tc>
          <w:tcPr>
            <w:tcW w:w="0" w:type="auto"/>
            <w:shd w:val="clear" w:color="auto" w:fill="FFFFFF"/>
            <w:vAlign w:val="center"/>
          </w:tcPr>
          <w:p w:rsidR="00763A3D" w:rsidRDefault="00763A3D">
            <w:r>
              <w:t>223200</w:t>
            </w:r>
          </w:p>
        </w:tc>
        <w:tc>
          <w:tcPr>
            <w:tcW w:w="0" w:type="auto"/>
            <w:shd w:val="clear" w:color="auto" w:fill="FFFFFF"/>
            <w:vAlign w:val="center"/>
          </w:tcPr>
          <w:p w:rsidR="00763A3D" w:rsidRDefault="00763A3D">
            <w:r>
              <w:t>1293000</w:t>
            </w:r>
          </w:p>
        </w:tc>
        <w:tc>
          <w:tcPr>
            <w:tcW w:w="0" w:type="auto"/>
            <w:shd w:val="clear" w:color="auto" w:fill="FFFFFF"/>
            <w:vAlign w:val="center"/>
          </w:tcPr>
          <w:p w:rsidR="00763A3D" w:rsidRDefault="00763A3D">
            <w:r>
              <w:t>8980000</w:t>
            </w:r>
          </w:p>
        </w:tc>
        <w:tc>
          <w:tcPr>
            <w:tcW w:w="0" w:type="auto"/>
            <w:shd w:val="clear" w:color="auto" w:fill="FFFFFF"/>
            <w:vAlign w:val="center"/>
          </w:tcPr>
          <w:p w:rsidR="00763A3D" w:rsidRDefault="00763A3D">
            <w:r>
              <w:t>39709000</w:t>
            </w:r>
          </w:p>
        </w:tc>
      </w:tr>
      <w:tr w:rsidR="00763A3D">
        <w:trPr>
          <w:tblCellSpacing w:w="7" w:type="dxa"/>
        </w:trPr>
        <w:tc>
          <w:tcPr>
            <w:tcW w:w="0" w:type="auto"/>
            <w:shd w:val="clear" w:color="auto" w:fill="FFFFFF"/>
            <w:vAlign w:val="center"/>
          </w:tcPr>
          <w:p w:rsidR="00763A3D" w:rsidRDefault="00763A3D">
            <w:r>
              <w:t>Цветная металлургия</w:t>
            </w:r>
          </w:p>
        </w:tc>
        <w:tc>
          <w:tcPr>
            <w:tcW w:w="0" w:type="auto"/>
            <w:shd w:val="clear" w:color="auto" w:fill="FFFFFF"/>
            <w:vAlign w:val="center"/>
          </w:tcPr>
          <w:p w:rsidR="00763A3D" w:rsidRDefault="00763A3D">
            <w:r>
              <w:t>10,4</w:t>
            </w:r>
          </w:p>
        </w:tc>
        <w:tc>
          <w:tcPr>
            <w:tcW w:w="0" w:type="auto"/>
            <w:shd w:val="clear" w:color="auto" w:fill="FFFFFF"/>
            <w:vAlign w:val="center"/>
          </w:tcPr>
          <w:p w:rsidR="00763A3D" w:rsidRDefault="00763A3D">
            <w:r>
              <w:t>11,4</w:t>
            </w:r>
          </w:p>
        </w:tc>
        <w:tc>
          <w:tcPr>
            <w:tcW w:w="0" w:type="auto"/>
            <w:shd w:val="clear" w:color="auto" w:fill="FFFFFF"/>
            <w:vAlign w:val="center"/>
          </w:tcPr>
          <w:p w:rsidR="00763A3D" w:rsidRDefault="00763A3D">
            <w:r>
              <w:t>33,0</w:t>
            </w:r>
          </w:p>
        </w:tc>
        <w:tc>
          <w:tcPr>
            <w:tcW w:w="0" w:type="auto"/>
            <w:shd w:val="clear" w:color="auto" w:fill="FFFFFF"/>
            <w:vAlign w:val="center"/>
          </w:tcPr>
          <w:p w:rsidR="00763A3D" w:rsidRDefault="00763A3D">
            <w:r>
              <w:t>57,4</w:t>
            </w:r>
          </w:p>
        </w:tc>
        <w:tc>
          <w:tcPr>
            <w:tcW w:w="0" w:type="auto"/>
            <w:shd w:val="clear" w:color="auto" w:fill="FFFFFF"/>
            <w:vAlign w:val="center"/>
          </w:tcPr>
          <w:p w:rsidR="00763A3D" w:rsidRDefault="00763A3D">
            <w:r>
              <w:t>384800</w:t>
            </w:r>
          </w:p>
        </w:tc>
        <w:tc>
          <w:tcPr>
            <w:tcW w:w="0" w:type="auto"/>
            <w:shd w:val="clear" w:color="auto" w:fill="FFFFFF"/>
            <w:vAlign w:val="center"/>
          </w:tcPr>
          <w:p w:rsidR="00763A3D" w:rsidRDefault="00763A3D">
            <w:r>
              <w:t>506700</w:t>
            </w:r>
          </w:p>
        </w:tc>
        <w:tc>
          <w:tcPr>
            <w:tcW w:w="0" w:type="auto"/>
            <w:shd w:val="clear" w:color="auto" w:fill="FFFFFF"/>
            <w:vAlign w:val="center"/>
          </w:tcPr>
          <w:p w:rsidR="00763A3D" w:rsidRDefault="00763A3D">
            <w:r>
              <w:t>3350000</w:t>
            </w:r>
          </w:p>
        </w:tc>
        <w:tc>
          <w:tcPr>
            <w:tcW w:w="0" w:type="auto"/>
            <w:shd w:val="clear" w:color="auto" w:fill="FFFFFF"/>
            <w:vAlign w:val="center"/>
          </w:tcPr>
          <w:p w:rsidR="00763A3D" w:rsidRDefault="00763A3D">
            <w:r>
              <w:t>88701000</w:t>
            </w:r>
          </w:p>
        </w:tc>
      </w:tr>
      <w:tr w:rsidR="00763A3D">
        <w:trPr>
          <w:tblCellSpacing w:w="7" w:type="dxa"/>
        </w:trPr>
        <w:tc>
          <w:tcPr>
            <w:tcW w:w="0" w:type="auto"/>
            <w:shd w:val="clear" w:color="auto" w:fill="FFFFFF"/>
            <w:vAlign w:val="center"/>
          </w:tcPr>
          <w:p w:rsidR="00763A3D" w:rsidRDefault="00763A3D">
            <w:r>
              <w:t>Химическая и нефтехимическая промышленность</w:t>
            </w:r>
          </w:p>
        </w:tc>
        <w:tc>
          <w:tcPr>
            <w:tcW w:w="0" w:type="auto"/>
            <w:shd w:val="clear" w:color="auto" w:fill="FFFFFF"/>
            <w:vAlign w:val="center"/>
          </w:tcPr>
          <w:p w:rsidR="00763A3D" w:rsidRDefault="00763A3D">
            <w:r>
              <w:t>6,1</w:t>
            </w:r>
          </w:p>
        </w:tc>
        <w:tc>
          <w:tcPr>
            <w:tcW w:w="0" w:type="auto"/>
            <w:shd w:val="clear" w:color="auto" w:fill="FFFFFF"/>
            <w:vAlign w:val="center"/>
          </w:tcPr>
          <w:p w:rsidR="00763A3D" w:rsidRDefault="00763A3D">
            <w:r>
              <w:t>4,3</w:t>
            </w:r>
          </w:p>
        </w:tc>
        <w:tc>
          <w:tcPr>
            <w:tcW w:w="0" w:type="auto"/>
            <w:shd w:val="clear" w:color="auto" w:fill="FFFFFF"/>
            <w:vAlign w:val="center"/>
          </w:tcPr>
          <w:p w:rsidR="00763A3D" w:rsidRDefault="00763A3D">
            <w:r>
              <w:t>9,7</w:t>
            </w:r>
          </w:p>
        </w:tc>
        <w:tc>
          <w:tcPr>
            <w:tcW w:w="0" w:type="auto"/>
            <w:shd w:val="clear" w:color="auto" w:fill="FFFFFF"/>
            <w:vAlign w:val="center"/>
          </w:tcPr>
          <w:p w:rsidR="00763A3D" w:rsidRDefault="00763A3D">
            <w:r>
              <w:t>22,3</w:t>
            </w:r>
          </w:p>
        </w:tc>
        <w:tc>
          <w:tcPr>
            <w:tcW w:w="0" w:type="auto"/>
            <w:shd w:val="clear" w:color="auto" w:fill="FFFFFF"/>
            <w:vAlign w:val="center"/>
          </w:tcPr>
          <w:p w:rsidR="00763A3D" w:rsidRDefault="00763A3D">
            <w:r>
              <w:t>138400</w:t>
            </w:r>
          </w:p>
        </w:tc>
        <w:tc>
          <w:tcPr>
            <w:tcW w:w="0" w:type="auto"/>
            <w:shd w:val="clear" w:color="auto" w:fill="FFFFFF"/>
            <w:vAlign w:val="center"/>
          </w:tcPr>
          <w:p w:rsidR="00763A3D" w:rsidRDefault="00763A3D">
            <w:r>
              <w:t>761000</w:t>
            </w:r>
          </w:p>
        </w:tc>
        <w:tc>
          <w:tcPr>
            <w:tcW w:w="0" w:type="auto"/>
            <w:shd w:val="clear" w:color="auto" w:fill="FFFFFF"/>
            <w:vAlign w:val="center"/>
          </w:tcPr>
          <w:p w:rsidR="00763A3D" w:rsidRDefault="00763A3D">
            <w:r>
              <w:t>434000</w:t>
            </w:r>
          </w:p>
        </w:tc>
        <w:tc>
          <w:tcPr>
            <w:tcW w:w="0" w:type="auto"/>
            <w:shd w:val="clear" w:color="auto" w:fill="FFFFFF"/>
            <w:vAlign w:val="center"/>
          </w:tcPr>
          <w:p w:rsidR="00763A3D" w:rsidRDefault="00763A3D">
            <w:r>
              <w:t>33041000</w:t>
            </w:r>
          </w:p>
        </w:tc>
      </w:tr>
      <w:tr w:rsidR="00763A3D">
        <w:trPr>
          <w:tblCellSpacing w:w="7" w:type="dxa"/>
        </w:trPr>
        <w:tc>
          <w:tcPr>
            <w:tcW w:w="0" w:type="auto"/>
            <w:shd w:val="clear" w:color="auto" w:fill="FFFFFF"/>
            <w:vAlign w:val="center"/>
          </w:tcPr>
          <w:p w:rsidR="00763A3D" w:rsidRDefault="00763A3D">
            <w:r>
              <w:t>Машиностроение и металлообработка</w:t>
            </w:r>
          </w:p>
        </w:tc>
        <w:tc>
          <w:tcPr>
            <w:tcW w:w="0" w:type="auto"/>
            <w:shd w:val="clear" w:color="auto" w:fill="FFFFFF"/>
            <w:vAlign w:val="center"/>
          </w:tcPr>
          <w:p w:rsidR="00763A3D" w:rsidRDefault="00763A3D">
            <w:r>
              <w:t>10,9</w:t>
            </w:r>
          </w:p>
        </w:tc>
        <w:tc>
          <w:tcPr>
            <w:tcW w:w="0" w:type="auto"/>
            <w:shd w:val="clear" w:color="auto" w:fill="FFFFFF"/>
            <w:vAlign w:val="center"/>
          </w:tcPr>
          <w:p w:rsidR="00763A3D" w:rsidRDefault="00763A3D">
            <w:r>
              <w:t>8,0</w:t>
            </w:r>
          </w:p>
        </w:tc>
        <w:tc>
          <w:tcPr>
            <w:tcW w:w="0" w:type="auto"/>
            <w:shd w:val="clear" w:color="auto" w:fill="FFFFFF"/>
            <w:vAlign w:val="center"/>
          </w:tcPr>
          <w:p w:rsidR="00763A3D" w:rsidRDefault="00763A3D">
            <w:r>
              <w:t>10,0</w:t>
            </w:r>
          </w:p>
        </w:tc>
        <w:tc>
          <w:tcPr>
            <w:tcW w:w="0" w:type="auto"/>
            <w:shd w:val="clear" w:color="auto" w:fill="FFFFFF"/>
            <w:vAlign w:val="center"/>
          </w:tcPr>
          <w:p w:rsidR="00763A3D" w:rsidRDefault="00763A3D">
            <w:r>
              <w:t>17,4</w:t>
            </w:r>
          </w:p>
        </w:tc>
        <w:tc>
          <w:tcPr>
            <w:tcW w:w="0" w:type="auto"/>
            <w:shd w:val="clear" w:color="auto" w:fill="FFFFFF"/>
            <w:vAlign w:val="center"/>
          </w:tcPr>
          <w:p w:rsidR="00763A3D" w:rsidRDefault="00763A3D">
            <w:r>
              <w:t>1446300</w:t>
            </w:r>
          </w:p>
        </w:tc>
        <w:tc>
          <w:tcPr>
            <w:tcW w:w="0" w:type="auto"/>
            <w:shd w:val="clear" w:color="auto" w:fill="FFFFFF"/>
            <w:vAlign w:val="center"/>
          </w:tcPr>
          <w:p w:rsidR="00763A3D" w:rsidRDefault="00763A3D">
            <w:r>
              <w:t>1342300</w:t>
            </w:r>
          </w:p>
        </w:tc>
        <w:tc>
          <w:tcPr>
            <w:tcW w:w="0" w:type="auto"/>
            <w:shd w:val="clear" w:color="auto" w:fill="FFFFFF"/>
            <w:vAlign w:val="center"/>
          </w:tcPr>
          <w:p w:rsidR="00763A3D" w:rsidRDefault="00763A3D">
            <w:r>
              <w:t>9705000</w:t>
            </w:r>
          </w:p>
        </w:tc>
        <w:tc>
          <w:tcPr>
            <w:tcW w:w="0" w:type="auto"/>
            <w:shd w:val="clear" w:color="auto" w:fill="FFFFFF"/>
            <w:vAlign w:val="center"/>
          </w:tcPr>
          <w:p w:rsidR="00763A3D" w:rsidRDefault="00763A3D">
            <w:r>
              <w:t>47930000</w:t>
            </w:r>
          </w:p>
        </w:tc>
      </w:tr>
      <w:tr w:rsidR="00763A3D">
        <w:trPr>
          <w:tblCellSpacing w:w="7" w:type="dxa"/>
        </w:trPr>
        <w:tc>
          <w:tcPr>
            <w:tcW w:w="0" w:type="auto"/>
            <w:shd w:val="clear" w:color="auto" w:fill="FFFFFF"/>
            <w:vAlign w:val="center"/>
          </w:tcPr>
          <w:p w:rsidR="00763A3D" w:rsidRDefault="00763A3D">
            <w:r>
              <w:t>Лесная, деревообрабатывающая и целлюлозно- бумажная промышленность</w:t>
            </w:r>
          </w:p>
        </w:tc>
        <w:tc>
          <w:tcPr>
            <w:tcW w:w="0" w:type="auto"/>
            <w:shd w:val="clear" w:color="auto" w:fill="FFFFFF"/>
            <w:vAlign w:val="center"/>
          </w:tcPr>
          <w:p w:rsidR="00763A3D" w:rsidRDefault="00763A3D">
            <w:r>
              <w:t>-5,5</w:t>
            </w:r>
          </w:p>
        </w:tc>
        <w:tc>
          <w:tcPr>
            <w:tcW w:w="0" w:type="auto"/>
            <w:shd w:val="clear" w:color="auto" w:fill="FFFFFF"/>
            <w:vAlign w:val="center"/>
          </w:tcPr>
          <w:p w:rsidR="00763A3D" w:rsidRDefault="00763A3D">
            <w:r>
              <w:t>-5,5</w:t>
            </w:r>
          </w:p>
        </w:tc>
        <w:tc>
          <w:tcPr>
            <w:tcW w:w="0" w:type="auto"/>
            <w:shd w:val="clear" w:color="auto" w:fill="FFFFFF"/>
            <w:vAlign w:val="center"/>
          </w:tcPr>
          <w:p w:rsidR="00763A3D" w:rsidRDefault="00763A3D">
            <w:r>
              <w:t>5,0</w:t>
            </w:r>
          </w:p>
        </w:tc>
        <w:tc>
          <w:tcPr>
            <w:tcW w:w="0" w:type="auto"/>
            <w:shd w:val="clear" w:color="auto" w:fill="FFFFFF"/>
            <w:vAlign w:val="center"/>
          </w:tcPr>
          <w:p w:rsidR="00763A3D" w:rsidRDefault="00763A3D">
            <w:r>
              <w:t>23,9</w:t>
            </w:r>
          </w:p>
        </w:tc>
        <w:tc>
          <w:tcPr>
            <w:tcW w:w="0" w:type="auto"/>
            <w:shd w:val="clear" w:color="auto" w:fill="FFFFFF"/>
            <w:vAlign w:val="center"/>
          </w:tcPr>
          <w:p w:rsidR="00763A3D" w:rsidRDefault="00763A3D">
            <w:r>
              <w:t>-490700</w:t>
            </w:r>
          </w:p>
        </w:tc>
        <w:tc>
          <w:tcPr>
            <w:tcW w:w="0" w:type="auto"/>
            <w:shd w:val="clear" w:color="auto" w:fill="FFFFFF"/>
            <w:vAlign w:val="center"/>
          </w:tcPr>
          <w:p w:rsidR="00763A3D" w:rsidRDefault="00763A3D">
            <w:r>
              <w:t>-541600</w:t>
            </w:r>
          </w:p>
        </w:tc>
        <w:tc>
          <w:tcPr>
            <w:tcW w:w="0" w:type="auto"/>
            <w:shd w:val="clear" w:color="auto" w:fill="FFFFFF"/>
            <w:vAlign w:val="center"/>
          </w:tcPr>
          <w:p w:rsidR="00763A3D" w:rsidRDefault="00763A3D">
            <w:r>
              <w:t>11686000</w:t>
            </w:r>
          </w:p>
        </w:tc>
        <w:tc>
          <w:tcPr>
            <w:tcW w:w="0" w:type="auto"/>
            <w:shd w:val="clear" w:color="auto" w:fill="FFFFFF"/>
            <w:vAlign w:val="center"/>
          </w:tcPr>
          <w:p w:rsidR="00763A3D" w:rsidRDefault="00763A3D">
            <w:r>
              <w:t>17874000</w:t>
            </w:r>
          </w:p>
        </w:tc>
      </w:tr>
      <w:tr w:rsidR="00763A3D">
        <w:trPr>
          <w:tblCellSpacing w:w="7" w:type="dxa"/>
        </w:trPr>
        <w:tc>
          <w:tcPr>
            <w:tcW w:w="0" w:type="auto"/>
            <w:shd w:val="clear" w:color="auto" w:fill="FFFFFF"/>
            <w:vAlign w:val="center"/>
          </w:tcPr>
          <w:p w:rsidR="00763A3D" w:rsidRDefault="00763A3D">
            <w:r>
              <w:t>Промышленность строительных материалов</w:t>
            </w:r>
          </w:p>
        </w:tc>
        <w:tc>
          <w:tcPr>
            <w:tcW w:w="0" w:type="auto"/>
            <w:shd w:val="clear" w:color="auto" w:fill="FFFFFF"/>
            <w:vAlign w:val="center"/>
          </w:tcPr>
          <w:p w:rsidR="00763A3D" w:rsidRDefault="00763A3D">
            <w:r>
              <w:t>8,0</w:t>
            </w:r>
          </w:p>
        </w:tc>
        <w:tc>
          <w:tcPr>
            <w:tcW w:w="0" w:type="auto"/>
            <w:shd w:val="clear" w:color="auto" w:fill="FFFFFF"/>
            <w:vAlign w:val="center"/>
          </w:tcPr>
          <w:p w:rsidR="00763A3D" w:rsidRDefault="00763A3D">
            <w:r>
              <w:t>5,6</w:t>
            </w:r>
          </w:p>
        </w:tc>
        <w:tc>
          <w:tcPr>
            <w:tcW w:w="0" w:type="auto"/>
            <w:shd w:val="clear" w:color="auto" w:fill="FFFFFF"/>
            <w:vAlign w:val="center"/>
          </w:tcPr>
          <w:p w:rsidR="00763A3D" w:rsidRDefault="00763A3D">
            <w:r>
              <w:t>5,2</w:t>
            </w:r>
          </w:p>
        </w:tc>
        <w:tc>
          <w:tcPr>
            <w:tcW w:w="0" w:type="auto"/>
            <w:shd w:val="clear" w:color="auto" w:fill="FFFFFF"/>
            <w:vAlign w:val="center"/>
          </w:tcPr>
          <w:p w:rsidR="00763A3D" w:rsidRDefault="00763A3D">
            <w:r>
              <w:t>8,6</w:t>
            </w:r>
          </w:p>
        </w:tc>
        <w:tc>
          <w:tcPr>
            <w:tcW w:w="0" w:type="auto"/>
            <w:shd w:val="clear" w:color="auto" w:fill="FFFFFF"/>
            <w:vAlign w:val="center"/>
          </w:tcPr>
          <w:p w:rsidR="00763A3D" w:rsidRDefault="00763A3D">
            <w:r>
              <w:t>152800</w:t>
            </w:r>
          </w:p>
        </w:tc>
        <w:tc>
          <w:tcPr>
            <w:tcW w:w="0" w:type="auto"/>
            <w:shd w:val="clear" w:color="auto" w:fill="FFFFFF"/>
            <w:vAlign w:val="center"/>
          </w:tcPr>
          <w:p w:rsidR="00763A3D" w:rsidRDefault="00763A3D">
            <w:r>
              <w:t>907000</w:t>
            </w:r>
          </w:p>
        </w:tc>
        <w:tc>
          <w:tcPr>
            <w:tcW w:w="0" w:type="auto"/>
            <w:shd w:val="clear" w:color="auto" w:fill="FFFFFF"/>
            <w:vAlign w:val="center"/>
          </w:tcPr>
          <w:p w:rsidR="00763A3D" w:rsidRDefault="00763A3D">
            <w:r>
              <w:t>314000</w:t>
            </w:r>
          </w:p>
        </w:tc>
        <w:tc>
          <w:tcPr>
            <w:tcW w:w="0" w:type="auto"/>
            <w:shd w:val="clear" w:color="auto" w:fill="FFFFFF"/>
            <w:vAlign w:val="center"/>
          </w:tcPr>
          <w:p w:rsidR="00763A3D" w:rsidRDefault="00763A3D">
            <w:r>
              <w:t>3134000</w:t>
            </w:r>
          </w:p>
        </w:tc>
      </w:tr>
      <w:tr w:rsidR="00763A3D">
        <w:trPr>
          <w:tblCellSpacing w:w="7" w:type="dxa"/>
        </w:trPr>
        <w:tc>
          <w:tcPr>
            <w:tcW w:w="0" w:type="auto"/>
            <w:shd w:val="clear" w:color="auto" w:fill="FFFFFF"/>
            <w:vAlign w:val="center"/>
          </w:tcPr>
          <w:p w:rsidR="00763A3D" w:rsidRDefault="00763A3D">
            <w:r>
              <w:t>Лёгкая промышленность</w:t>
            </w:r>
          </w:p>
        </w:tc>
        <w:tc>
          <w:tcPr>
            <w:tcW w:w="0" w:type="auto"/>
            <w:shd w:val="clear" w:color="auto" w:fill="FFFFFF"/>
            <w:vAlign w:val="center"/>
          </w:tcPr>
          <w:p w:rsidR="00763A3D" w:rsidRDefault="00763A3D">
            <w:r>
              <w:t>1,0</w:t>
            </w:r>
          </w:p>
        </w:tc>
        <w:tc>
          <w:tcPr>
            <w:tcW w:w="0" w:type="auto"/>
            <w:shd w:val="clear" w:color="auto" w:fill="FFFFFF"/>
            <w:vAlign w:val="center"/>
          </w:tcPr>
          <w:p w:rsidR="00763A3D" w:rsidRDefault="00763A3D">
            <w:r>
              <w:t>-1,5</w:t>
            </w:r>
          </w:p>
        </w:tc>
        <w:tc>
          <w:tcPr>
            <w:tcW w:w="0" w:type="auto"/>
            <w:shd w:val="clear" w:color="auto" w:fill="FFFFFF"/>
            <w:vAlign w:val="center"/>
          </w:tcPr>
          <w:p w:rsidR="00763A3D" w:rsidRDefault="00763A3D">
            <w:r>
              <w:t>0,9</w:t>
            </w:r>
          </w:p>
        </w:tc>
        <w:tc>
          <w:tcPr>
            <w:tcW w:w="0" w:type="auto"/>
            <w:shd w:val="clear" w:color="auto" w:fill="FFFFFF"/>
            <w:vAlign w:val="center"/>
          </w:tcPr>
          <w:p w:rsidR="00763A3D" w:rsidRDefault="00763A3D">
            <w:r>
              <w:t>9,5</w:t>
            </w:r>
          </w:p>
        </w:tc>
        <w:tc>
          <w:tcPr>
            <w:tcW w:w="0" w:type="auto"/>
            <w:shd w:val="clear" w:color="auto" w:fill="FFFFFF"/>
            <w:vAlign w:val="center"/>
          </w:tcPr>
          <w:p w:rsidR="00763A3D" w:rsidRDefault="00763A3D">
            <w:r>
              <w:t>-34100</w:t>
            </w:r>
          </w:p>
        </w:tc>
        <w:tc>
          <w:tcPr>
            <w:tcW w:w="0" w:type="auto"/>
            <w:shd w:val="clear" w:color="auto" w:fill="FFFFFF"/>
            <w:vAlign w:val="center"/>
          </w:tcPr>
          <w:p w:rsidR="00763A3D" w:rsidRDefault="00763A3D">
            <w:r>
              <w:t>-85300</w:t>
            </w:r>
          </w:p>
        </w:tc>
        <w:tc>
          <w:tcPr>
            <w:tcW w:w="0" w:type="auto"/>
            <w:shd w:val="clear" w:color="auto" w:fill="FFFFFF"/>
            <w:vAlign w:val="center"/>
          </w:tcPr>
          <w:p w:rsidR="00763A3D" w:rsidRDefault="00763A3D">
            <w:r>
              <w:t>1435000</w:t>
            </w:r>
          </w:p>
        </w:tc>
        <w:tc>
          <w:tcPr>
            <w:tcW w:w="0" w:type="auto"/>
            <w:shd w:val="clear" w:color="auto" w:fill="FFFFFF"/>
            <w:vAlign w:val="center"/>
          </w:tcPr>
          <w:p w:rsidR="00763A3D" w:rsidRDefault="00763A3D">
            <w:r>
              <w:t>3015000</w:t>
            </w:r>
          </w:p>
        </w:tc>
      </w:tr>
      <w:tr w:rsidR="00763A3D">
        <w:trPr>
          <w:tblCellSpacing w:w="7" w:type="dxa"/>
        </w:trPr>
        <w:tc>
          <w:tcPr>
            <w:tcW w:w="0" w:type="auto"/>
            <w:shd w:val="clear" w:color="auto" w:fill="FFFFFF"/>
            <w:vAlign w:val="center"/>
          </w:tcPr>
          <w:p w:rsidR="00763A3D" w:rsidRDefault="00763A3D">
            <w:r>
              <w:t>Пищевая промышленность</w:t>
            </w:r>
          </w:p>
        </w:tc>
        <w:tc>
          <w:tcPr>
            <w:tcW w:w="0" w:type="auto"/>
            <w:shd w:val="clear" w:color="auto" w:fill="FFFFFF"/>
            <w:vAlign w:val="center"/>
          </w:tcPr>
          <w:p w:rsidR="00763A3D" w:rsidRDefault="00763A3D">
            <w:r>
              <w:t>5,5</w:t>
            </w:r>
          </w:p>
        </w:tc>
        <w:tc>
          <w:tcPr>
            <w:tcW w:w="0" w:type="auto"/>
            <w:shd w:val="clear" w:color="auto" w:fill="FFFFFF"/>
            <w:vAlign w:val="center"/>
          </w:tcPr>
          <w:p w:rsidR="00763A3D" w:rsidRDefault="00763A3D">
            <w:r>
              <w:t>8,4</w:t>
            </w:r>
          </w:p>
        </w:tc>
        <w:tc>
          <w:tcPr>
            <w:tcW w:w="0" w:type="auto"/>
            <w:shd w:val="clear" w:color="auto" w:fill="FFFFFF"/>
            <w:vAlign w:val="center"/>
          </w:tcPr>
          <w:p w:rsidR="00763A3D" w:rsidRDefault="00763A3D">
            <w:r>
              <w:t>12,8</w:t>
            </w:r>
          </w:p>
        </w:tc>
        <w:tc>
          <w:tcPr>
            <w:tcW w:w="0" w:type="auto"/>
            <w:shd w:val="clear" w:color="auto" w:fill="FFFFFF"/>
            <w:vAlign w:val="center"/>
          </w:tcPr>
          <w:p w:rsidR="00763A3D" w:rsidRDefault="00763A3D">
            <w:r>
              <w:t>13,0</w:t>
            </w:r>
          </w:p>
        </w:tc>
        <w:tc>
          <w:tcPr>
            <w:tcW w:w="0" w:type="auto"/>
            <w:shd w:val="clear" w:color="auto" w:fill="FFFFFF"/>
            <w:vAlign w:val="center"/>
          </w:tcPr>
          <w:p w:rsidR="00763A3D" w:rsidRDefault="00763A3D">
            <w:r>
              <w:t>764500</w:t>
            </w:r>
          </w:p>
        </w:tc>
        <w:tc>
          <w:tcPr>
            <w:tcW w:w="0" w:type="auto"/>
            <w:shd w:val="clear" w:color="auto" w:fill="FFFFFF"/>
            <w:vAlign w:val="center"/>
          </w:tcPr>
          <w:p w:rsidR="00763A3D" w:rsidRDefault="00763A3D">
            <w:r>
              <w:t>1043600</w:t>
            </w:r>
          </w:p>
        </w:tc>
        <w:tc>
          <w:tcPr>
            <w:tcW w:w="0" w:type="auto"/>
            <w:shd w:val="clear" w:color="auto" w:fill="FFFFFF"/>
            <w:vAlign w:val="center"/>
          </w:tcPr>
          <w:p w:rsidR="00763A3D" w:rsidRDefault="00763A3D">
            <w:r>
              <w:t>14312000</w:t>
            </w:r>
          </w:p>
        </w:tc>
        <w:tc>
          <w:tcPr>
            <w:tcW w:w="0" w:type="auto"/>
            <w:shd w:val="clear" w:color="auto" w:fill="FFFFFF"/>
            <w:vAlign w:val="center"/>
          </w:tcPr>
          <w:p w:rsidR="00763A3D" w:rsidRDefault="00763A3D">
            <w:r>
              <w:t>27154000</w:t>
            </w:r>
          </w:p>
        </w:tc>
      </w:tr>
    </w:tbl>
    <w:p w:rsidR="00763A3D" w:rsidRDefault="00763A3D" w:rsidP="00763A3D">
      <w:pPr>
        <w:pStyle w:val="a3"/>
      </w:pPr>
      <w:r>
        <w:t>Анализ табл. 1.1 позволяет сделать следующий вывод: уровень рентабельности продукции предприятий газовой промышленности уменьшился с 31,1% в 1999 году до 22,6% в 2000 году. Вместе с тем уровень рентабельности продукции предприятий угольной промышленности и нефтедобывающей промышленности увеличился в 2000 году до 25,1% и 44,5% соответственно. Сальдированный финансовый результат по итогам 2000 года нефтедобывающей промышленности превышает соответствующий результат газовой промышленности в 20,81 раза. Данная ситуация показывает, что среди отраслей топливной промышленности, являющейся стратегической для Российской Федерации, наименее эффективной является газовая отрасль промышленности.</w:t>
      </w:r>
    </w:p>
    <w:p w:rsidR="00763A3D" w:rsidRDefault="00763A3D" w:rsidP="00763A3D">
      <w:pPr>
        <w:pStyle w:val="a3"/>
      </w:pPr>
      <w:r>
        <w:t>Данные табл. 1.2 показывают, что в период с 1992 по 2000 гг. наблюдался рост убыточных предприятий, особенно усилившийся после 1993 года, когда была принята жесткая денежно-кредитная политика, направленная на ограничение денежной массы.</w:t>
      </w:r>
    </w:p>
    <w:p w:rsidR="00763A3D" w:rsidRDefault="00763A3D" w:rsidP="00763A3D">
      <w:pPr>
        <w:pStyle w:val="a3"/>
      </w:pPr>
      <w:r>
        <w:rPr>
          <w:b/>
          <w:bCs/>
        </w:rPr>
        <w:t xml:space="preserve">Таблица 1.2 </w:t>
      </w:r>
      <w:r>
        <w:rPr>
          <w:b/>
          <w:bCs/>
        </w:rPr>
        <w:br/>
        <w:t>Удельный вес убыточных организаций по основным отраслям экономики РФ (в процентах от общего числа предприятий)</w:t>
      </w:r>
    </w:p>
    <w:tbl>
      <w:tblPr>
        <w:tblW w:w="5000" w:type="pct"/>
        <w:tblCellSpacing w:w="7" w:type="dxa"/>
        <w:shd w:val="clear" w:color="auto" w:fill="4F8CD0"/>
        <w:tblCellMar>
          <w:top w:w="30" w:type="dxa"/>
          <w:left w:w="30" w:type="dxa"/>
          <w:bottom w:w="30" w:type="dxa"/>
          <w:right w:w="30" w:type="dxa"/>
        </w:tblCellMar>
        <w:tblLook w:val="0000" w:firstRow="0" w:lastRow="0" w:firstColumn="0" w:lastColumn="0" w:noHBand="0" w:noVBand="0"/>
      </w:tblPr>
      <w:tblGrid>
        <w:gridCol w:w="4450"/>
        <w:gridCol w:w="554"/>
        <w:gridCol w:w="554"/>
        <w:gridCol w:w="554"/>
        <w:gridCol w:w="554"/>
        <w:gridCol w:w="554"/>
        <w:gridCol w:w="554"/>
        <w:gridCol w:w="554"/>
        <w:gridCol w:w="554"/>
        <w:gridCol w:w="561"/>
      </w:tblGrid>
      <w:tr w:rsidR="00763A3D">
        <w:trPr>
          <w:tblCellSpacing w:w="7" w:type="dxa"/>
        </w:trPr>
        <w:tc>
          <w:tcPr>
            <w:tcW w:w="0" w:type="auto"/>
            <w:shd w:val="clear" w:color="auto" w:fill="FFFFFF"/>
            <w:vAlign w:val="center"/>
          </w:tcPr>
          <w:p w:rsidR="00763A3D" w:rsidRDefault="00763A3D"/>
        </w:tc>
        <w:tc>
          <w:tcPr>
            <w:tcW w:w="0" w:type="auto"/>
            <w:shd w:val="clear" w:color="auto" w:fill="FFFFFF"/>
            <w:vAlign w:val="center"/>
          </w:tcPr>
          <w:p w:rsidR="00763A3D" w:rsidRDefault="00763A3D">
            <w:r>
              <w:t>1992</w:t>
            </w:r>
          </w:p>
        </w:tc>
        <w:tc>
          <w:tcPr>
            <w:tcW w:w="0" w:type="auto"/>
            <w:shd w:val="clear" w:color="auto" w:fill="FFFFFF"/>
            <w:vAlign w:val="center"/>
          </w:tcPr>
          <w:p w:rsidR="00763A3D" w:rsidRDefault="00763A3D">
            <w:r>
              <w:t>1993</w:t>
            </w:r>
          </w:p>
        </w:tc>
        <w:tc>
          <w:tcPr>
            <w:tcW w:w="0" w:type="auto"/>
            <w:shd w:val="clear" w:color="auto" w:fill="FFFFFF"/>
            <w:vAlign w:val="center"/>
          </w:tcPr>
          <w:p w:rsidR="00763A3D" w:rsidRDefault="00763A3D">
            <w:r>
              <w:t>1994</w:t>
            </w:r>
          </w:p>
        </w:tc>
        <w:tc>
          <w:tcPr>
            <w:tcW w:w="0" w:type="auto"/>
            <w:shd w:val="clear" w:color="auto" w:fill="FFFFFF"/>
            <w:vAlign w:val="center"/>
          </w:tcPr>
          <w:p w:rsidR="00763A3D" w:rsidRDefault="00763A3D">
            <w:r>
              <w:t>1995</w:t>
            </w:r>
          </w:p>
        </w:tc>
        <w:tc>
          <w:tcPr>
            <w:tcW w:w="0" w:type="auto"/>
            <w:shd w:val="clear" w:color="auto" w:fill="FFFFFF"/>
            <w:vAlign w:val="center"/>
          </w:tcPr>
          <w:p w:rsidR="00763A3D" w:rsidRDefault="00763A3D">
            <w:r>
              <w:t>1996</w:t>
            </w:r>
          </w:p>
        </w:tc>
        <w:tc>
          <w:tcPr>
            <w:tcW w:w="0" w:type="auto"/>
            <w:shd w:val="clear" w:color="auto" w:fill="FFFFFF"/>
            <w:vAlign w:val="center"/>
          </w:tcPr>
          <w:p w:rsidR="00763A3D" w:rsidRDefault="00763A3D">
            <w:r>
              <w:t>1997</w:t>
            </w:r>
          </w:p>
        </w:tc>
        <w:tc>
          <w:tcPr>
            <w:tcW w:w="0" w:type="auto"/>
            <w:shd w:val="clear" w:color="auto" w:fill="FFFFFF"/>
            <w:vAlign w:val="center"/>
          </w:tcPr>
          <w:p w:rsidR="00763A3D" w:rsidRDefault="00763A3D">
            <w:r>
              <w:t>1998</w:t>
            </w:r>
          </w:p>
        </w:tc>
        <w:tc>
          <w:tcPr>
            <w:tcW w:w="0" w:type="auto"/>
            <w:shd w:val="clear" w:color="auto" w:fill="FFFFFF"/>
            <w:vAlign w:val="center"/>
          </w:tcPr>
          <w:p w:rsidR="00763A3D" w:rsidRDefault="00763A3D">
            <w:r>
              <w:t>1999</w:t>
            </w:r>
          </w:p>
        </w:tc>
        <w:tc>
          <w:tcPr>
            <w:tcW w:w="0" w:type="auto"/>
            <w:shd w:val="clear" w:color="auto" w:fill="FFFFFF"/>
            <w:vAlign w:val="center"/>
          </w:tcPr>
          <w:p w:rsidR="00763A3D" w:rsidRDefault="00763A3D">
            <w:r>
              <w:t>2000</w:t>
            </w:r>
          </w:p>
        </w:tc>
      </w:tr>
      <w:tr w:rsidR="00763A3D">
        <w:trPr>
          <w:tblCellSpacing w:w="7" w:type="dxa"/>
        </w:trPr>
        <w:tc>
          <w:tcPr>
            <w:tcW w:w="0" w:type="auto"/>
            <w:shd w:val="clear" w:color="auto" w:fill="FFFFFF"/>
            <w:vAlign w:val="center"/>
          </w:tcPr>
          <w:p w:rsidR="00763A3D" w:rsidRDefault="00763A3D">
            <w:r>
              <w:t>Всего</w:t>
            </w:r>
          </w:p>
        </w:tc>
        <w:tc>
          <w:tcPr>
            <w:tcW w:w="0" w:type="auto"/>
            <w:shd w:val="clear" w:color="auto" w:fill="FFFFFF"/>
            <w:vAlign w:val="center"/>
          </w:tcPr>
          <w:p w:rsidR="00763A3D" w:rsidRDefault="00763A3D">
            <w:r>
              <w:t>15,3</w:t>
            </w:r>
          </w:p>
        </w:tc>
        <w:tc>
          <w:tcPr>
            <w:tcW w:w="0" w:type="auto"/>
            <w:shd w:val="clear" w:color="auto" w:fill="FFFFFF"/>
            <w:vAlign w:val="center"/>
          </w:tcPr>
          <w:p w:rsidR="00763A3D" w:rsidRDefault="00763A3D">
            <w:r>
              <w:t>14,0</w:t>
            </w:r>
          </w:p>
        </w:tc>
        <w:tc>
          <w:tcPr>
            <w:tcW w:w="0" w:type="auto"/>
            <w:shd w:val="clear" w:color="auto" w:fill="FFFFFF"/>
            <w:vAlign w:val="center"/>
          </w:tcPr>
          <w:p w:rsidR="00763A3D" w:rsidRDefault="00763A3D">
            <w:r>
              <w:t>32,5</w:t>
            </w:r>
          </w:p>
        </w:tc>
        <w:tc>
          <w:tcPr>
            <w:tcW w:w="0" w:type="auto"/>
            <w:shd w:val="clear" w:color="auto" w:fill="FFFFFF"/>
            <w:vAlign w:val="center"/>
          </w:tcPr>
          <w:p w:rsidR="00763A3D" w:rsidRDefault="00763A3D">
            <w:r>
              <w:t>34,2</w:t>
            </w:r>
          </w:p>
        </w:tc>
        <w:tc>
          <w:tcPr>
            <w:tcW w:w="0" w:type="auto"/>
            <w:shd w:val="clear" w:color="auto" w:fill="FFFFFF"/>
            <w:vAlign w:val="center"/>
          </w:tcPr>
          <w:p w:rsidR="00763A3D" w:rsidRDefault="00763A3D">
            <w:r>
              <w:t>50,6</w:t>
            </w:r>
          </w:p>
        </w:tc>
        <w:tc>
          <w:tcPr>
            <w:tcW w:w="0" w:type="auto"/>
            <w:shd w:val="clear" w:color="auto" w:fill="FFFFFF"/>
            <w:vAlign w:val="center"/>
          </w:tcPr>
          <w:p w:rsidR="00763A3D" w:rsidRDefault="00763A3D">
            <w:r>
              <w:t>50,1</w:t>
            </w:r>
          </w:p>
        </w:tc>
        <w:tc>
          <w:tcPr>
            <w:tcW w:w="0" w:type="auto"/>
            <w:shd w:val="clear" w:color="auto" w:fill="FFFFFF"/>
            <w:vAlign w:val="center"/>
          </w:tcPr>
          <w:p w:rsidR="00763A3D" w:rsidRDefault="00763A3D">
            <w:r>
              <w:t>53,2</w:t>
            </w:r>
          </w:p>
        </w:tc>
        <w:tc>
          <w:tcPr>
            <w:tcW w:w="0" w:type="auto"/>
            <w:shd w:val="clear" w:color="auto" w:fill="FFFFFF"/>
            <w:vAlign w:val="center"/>
          </w:tcPr>
          <w:p w:rsidR="00763A3D" w:rsidRDefault="00763A3D">
            <w:r>
              <w:t>55,8</w:t>
            </w:r>
          </w:p>
        </w:tc>
        <w:tc>
          <w:tcPr>
            <w:tcW w:w="0" w:type="auto"/>
            <w:shd w:val="clear" w:color="auto" w:fill="FFFFFF"/>
            <w:vAlign w:val="center"/>
          </w:tcPr>
          <w:p w:rsidR="00763A3D" w:rsidRDefault="00763A3D">
            <w:r>
              <w:t>53,1</w:t>
            </w:r>
          </w:p>
        </w:tc>
      </w:tr>
      <w:tr w:rsidR="00763A3D">
        <w:trPr>
          <w:tblCellSpacing w:w="7" w:type="dxa"/>
        </w:trPr>
        <w:tc>
          <w:tcPr>
            <w:tcW w:w="0" w:type="auto"/>
            <w:shd w:val="clear" w:color="auto" w:fill="FFFFFF"/>
            <w:vAlign w:val="center"/>
          </w:tcPr>
          <w:p w:rsidR="00763A3D" w:rsidRDefault="00763A3D">
            <w:r>
              <w:t>Промышленность</w:t>
            </w:r>
          </w:p>
        </w:tc>
        <w:tc>
          <w:tcPr>
            <w:tcW w:w="0" w:type="auto"/>
            <w:shd w:val="clear" w:color="auto" w:fill="FFFFFF"/>
            <w:vAlign w:val="center"/>
          </w:tcPr>
          <w:p w:rsidR="00763A3D" w:rsidRDefault="00763A3D">
            <w:r>
              <w:t>7,2</w:t>
            </w:r>
          </w:p>
        </w:tc>
        <w:tc>
          <w:tcPr>
            <w:tcW w:w="0" w:type="auto"/>
            <w:shd w:val="clear" w:color="auto" w:fill="FFFFFF"/>
            <w:vAlign w:val="center"/>
          </w:tcPr>
          <w:p w:rsidR="00763A3D" w:rsidRDefault="00763A3D">
            <w:r>
              <w:t>7,8</w:t>
            </w:r>
          </w:p>
        </w:tc>
        <w:tc>
          <w:tcPr>
            <w:tcW w:w="0" w:type="auto"/>
            <w:shd w:val="clear" w:color="auto" w:fill="FFFFFF"/>
            <w:vAlign w:val="center"/>
          </w:tcPr>
          <w:p w:rsidR="00763A3D" w:rsidRDefault="00763A3D">
            <w:r>
              <w:t>22,6</w:t>
            </w:r>
          </w:p>
        </w:tc>
        <w:tc>
          <w:tcPr>
            <w:tcW w:w="0" w:type="auto"/>
            <w:shd w:val="clear" w:color="auto" w:fill="FFFFFF"/>
            <w:vAlign w:val="center"/>
          </w:tcPr>
          <w:p w:rsidR="00763A3D" w:rsidRDefault="00763A3D">
            <w:r>
              <w:t>26,4</w:t>
            </w:r>
          </w:p>
        </w:tc>
        <w:tc>
          <w:tcPr>
            <w:tcW w:w="0" w:type="auto"/>
            <w:shd w:val="clear" w:color="auto" w:fill="FFFFFF"/>
            <w:vAlign w:val="center"/>
          </w:tcPr>
          <w:p w:rsidR="00763A3D" w:rsidRDefault="00763A3D">
            <w:r>
              <w:t>43,5</w:t>
            </w:r>
          </w:p>
        </w:tc>
        <w:tc>
          <w:tcPr>
            <w:tcW w:w="0" w:type="auto"/>
            <w:shd w:val="clear" w:color="auto" w:fill="FFFFFF"/>
            <w:vAlign w:val="center"/>
          </w:tcPr>
          <w:p w:rsidR="00763A3D" w:rsidRDefault="00763A3D">
            <w:r>
              <w:t>46,9</w:t>
            </w:r>
          </w:p>
        </w:tc>
        <w:tc>
          <w:tcPr>
            <w:tcW w:w="0" w:type="auto"/>
            <w:shd w:val="clear" w:color="auto" w:fill="FFFFFF"/>
            <w:vAlign w:val="center"/>
          </w:tcPr>
          <w:p w:rsidR="00763A3D" w:rsidRDefault="00763A3D">
            <w:r>
              <w:t>48,8</w:t>
            </w:r>
          </w:p>
        </w:tc>
        <w:tc>
          <w:tcPr>
            <w:tcW w:w="0" w:type="auto"/>
            <w:shd w:val="clear" w:color="auto" w:fill="FFFFFF"/>
            <w:vAlign w:val="center"/>
          </w:tcPr>
          <w:p w:rsidR="00763A3D" w:rsidRDefault="00763A3D">
            <w:r>
              <w:t>50,1</w:t>
            </w:r>
          </w:p>
        </w:tc>
        <w:tc>
          <w:tcPr>
            <w:tcW w:w="0" w:type="auto"/>
            <w:shd w:val="clear" w:color="auto" w:fill="FFFFFF"/>
            <w:vAlign w:val="center"/>
          </w:tcPr>
          <w:p w:rsidR="00763A3D" w:rsidRDefault="00763A3D">
            <w:r>
              <w:t>48,2</w:t>
            </w:r>
          </w:p>
        </w:tc>
      </w:tr>
      <w:tr w:rsidR="00763A3D">
        <w:trPr>
          <w:tblCellSpacing w:w="7" w:type="dxa"/>
        </w:trPr>
        <w:tc>
          <w:tcPr>
            <w:tcW w:w="0" w:type="auto"/>
            <w:shd w:val="clear" w:color="auto" w:fill="FFFFFF"/>
            <w:vAlign w:val="center"/>
          </w:tcPr>
          <w:p w:rsidR="00763A3D" w:rsidRDefault="00763A3D">
            <w:r>
              <w:t>Нефтяная промышленность</w:t>
            </w:r>
          </w:p>
        </w:tc>
        <w:tc>
          <w:tcPr>
            <w:tcW w:w="0" w:type="auto"/>
            <w:shd w:val="clear" w:color="auto" w:fill="FFFFFF"/>
            <w:vAlign w:val="center"/>
          </w:tcPr>
          <w:p w:rsidR="00763A3D" w:rsidRDefault="00763A3D">
            <w:r>
              <w:t>3,8</w:t>
            </w:r>
          </w:p>
        </w:tc>
        <w:tc>
          <w:tcPr>
            <w:tcW w:w="0" w:type="auto"/>
            <w:shd w:val="clear" w:color="auto" w:fill="FFFFFF"/>
            <w:vAlign w:val="center"/>
          </w:tcPr>
          <w:p w:rsidR="00763A3D" w:rsidRDefault="00763A3D">
            <w:r>
              <w:t>2,9</w:t>
            </w:r>
          </w:p>
        </w:tc>
        <w:tc>
          <w:tcPr>
            <w:tcW w:w="0" w:type="auto"/>
            <w:shd w:val="clear" w:color="auto" w:fill="FFFFFF"/>
            <w:vAlign w:val="center"/>
          </w:tcPr>
          <w:p w:rsidR="00763A3D" w:rsidRDefault="00763A3D">
            <w:r>
              <w:t>7,8</w:t>
            </w:r>
          </w:p>
        </w:tc>
        <w:tc>
          <w:tcPr>
            <w:tcW w:w="0" w:type="auto"/>
            <w:shd w:val="clear" w:color="auto" w:fill="FFFFFF"/>
            <w:vAlign w:val="center"/>
          </w:tcPr>
          <w:p w:rsidR="00763A3D" w:rsidRDefault="00763A3D">
            <w:r>
              <w:t>8,6</w:t>
            </w:r>
          </w:p>
        </w:tc>
        <w:tc>
          <w:tcPr>
            <w:tcW w:w="0" w:type="auto"/>
            <w:shd w:val="clear" w:color="auto" w:fill="FFFFFF"/>
            <w:vAlign w:val="center"/>
          </w:tcPr>
          <w:p w:rsidR="00763A3D" w:rsidRDefault="00763A3D">
            <w:r>
              <w:t>11,9</w:t>
            </w:r>
          </w:p>
        </w:tc>
        <w:tc>
          <w:tcPr>
            <w:tcW w:w="0" w:type="auto"/>
            <w:shd w:val="clear" w:color="auto" w:fill="FFFFFF"/>
            <w:vAlign w:val="center"/>
          </w:tcPr>
          <w:p w:rsidR="00763A3D" w:rsidRDefault="00763A3D">
            <w:r>
              <w:t>9,6</w:t>
            </w:r>
          </w:p>
        </w:tc>
        <w:tc>
          <w:tcPr>
            <w:tcW w:w="0" w:type="auto"/>
            <w:shd w:val="clear" w:color="auto" w:fill="FFFFFF"/>
            <w:vAlign w:val="center"/>
          </w:tcPr>
          <w:p w:rsidR="00763A3D" w:rsidRDefault="00763A3D">
            <w:r>
              <w:t>8,9</w:t>
            </w:r>
          </w:p>
        </w:tc>
        <w:tc>
          <w:tcPr>
            <w:tcW w:w="0" w:type="auto"/>
            <w:shd w:val="clear" w:color="auto" w:fill="FFFFFF"/>
            <w:vAlign w:val="center"/>
          </w:tcPr>
          <w:p w:rsidR="00763A3D" w:rsidRDefault="00763A3D">
            <w:r>
              <w:t>9,1</w:t>
            </w:r>
          </w:p>
        </w:tc>
        <w:tc>
          <w:tcPr>
            <w:tcW w:w="0" w:type="auto"/>
            <w:shd w:val="clear" w:color="auto" w:fill="FFFFFF"/>
            <w:vAlign w:val="center"/>
          </w:tcPr>
          <w:p w:rsidR="00763A3D" w:rsidRDefault="00763A3D">
            <w:r>
              <w:t>8,5</w:t>
            </w:r>
          </w:p>
        </w:tc>
      </w:tr>
      <w:tr w:rsidR="00763A3D">
        <w:trPr>
          <w:tblCellSpacing w:w="7" w:type="dxa"/>
        </w:trPr>
        <w:tc>
          <w:tcPr>
            <w:tcW w:w="0" w:type="auto"/>
            <w:shd w:val="clear" w:color="auto" w:fill="FFFFFF"/>
            <w:vAlign w:val="center"/>
          </w:tcPr>
          <w:p w:rsidR="00763A3D" w:rsidRDefault="00763A3D">
            <w:r>
              <w:t>Газовая промышленность</w:t>
            </w:r>
          </w:p>
        </w:tc>
        <w:tc>
          <w:tcPr>
            <w:tcW w:w="0" w:type="auto"/>
            <w:shd w:val="clear" w:color="auto" w:fill="FFFFFF"/>
            <w:vAlign w:val="center"/>
          </w:tcPr>
          <w:p w:rsidR="00763A3D" w:rsidRDefault="00763A3D">
            <w:r>
              <w:t>6,1</w:t>
            </w:r>
          </w:p>
        </w:tc>
        <w:tc>
          <w:tcPr>
            <w:tcW w:w="0" w:type="auto"/>
            <w:shd w:val="clear" w:color="auto" w:fill="FFFFFF"/>
            <w:vAlign w:val="center"/>
          </w:tcPr>
          <w:p w:rsidR="00763A3D" w:rsidRDefault="00763A3D">
            <w:r>
              <w:t>6,5</w:t>
            </w:r>
          </w:p>
        </w:tc>
        <w:tc>
          <w:tcPr>
            <w:tcW w:w="0" w:type="auto"/>
            <w:shd w:val="clear" w:color="auto" w:fill="FFFFFF"/>
            <w:vAlign w:val="center"/>
          </w:tcPr>
          <w:p w:rsidR="00763A3D" w:rsidRDefault="00763A3D">
            <w:r>
              <w:t>18,2</w:t>
            </w:r>
          </w:p>
        </w:tc>
        <w:tc>
          <w:tcPr>
            <w:tcW w:w="0" w:type="auto"/>
            <w:shd w:val="clear" w:color="auto" w:fill="FFFFFF"/>
            <w:vAlign w:val="center"/>
          </w:tcPr>
          <w:p w:rsidR="00763A3D" w:rsidRDefault="00763A3D">
            <w:r>
              <w:t>21,3</w:t>
            </w:r>
          </w:p>
        </w:tc>
        <w:tc>
          <w:tcPr>
            <w:tcW w:w="0" w:type="auto"/>
            <w:shd w:val="clear" w:color="auto" w:fill="FFFFFF"/>
            <w:vAlign w:val="center"/>
          </w:tcPr>
          <w:p w:rsidR="00763A3D" w:rsidRDefault="00763A3D">
            <w:r>
              <w:t>28,1</w:t>
            </w:r>
          </w:p>
        </w:tc>
        <w:tc>
          <w:tcPr>
            <w:tcW w:w="0" w:type="auto"/>
            <w:shd w:val="clear" w:color="auto" w:fill="FFFFFF"/>
            <w:vAlign w:val="center"/>
          </w:tcPr>
          <w:p w:rsidR="00763A3D" w:rsidRDefault="00763A3D">
            <w:r>
              <w:t>28,6</w:t>
            </w:r>
          </w:p>
        </w:tc>
        <w:tc>
          <w:tcPr>
            <w:tcW w:w="0" w:type="auto"/>
            <w:shd w:val="clear" w:color="auto" w:fill="FFFFFF"/>
            <w:vAlign w:val="center"/>
          </w:tcPr>
          <w:p w:rsidR="00763A3D" w:rsidRDefault="00763A3D">
            <w:r>
              <w:t>27,3</w:t>
            </w:r>
          </w:p>
        </w:tc>
        <w:tc>
          <w:tcPr>
            <w:tcW w:w="0" w:type="auto"/>
            <w:shd w:val="clear" w:color="auto" w:fill="FFFFFF"/>
            <w:vAlign w:val="center"/>
          </w:tcPr>
          <w:p w:rsidR="00763A3D" w:rsidRDefault="00763A3D">
            <w:r>
              <w:t>29,4</w:t>
            </w:r>
          </w:p>
        </w:tc>
        <w:tc>
          <w:tcPr>
            <w:tcW w:w="0" w:type="auto"/>
            <w:shd w:val="clear" w:color="auto" w:fill="FFFFFF"/>
            <w:vAlign w:val="center"/>
          </w:tcPr>
          <w:p w:rsidR="00763A3D" w:rsidRDefault="00763A3D">
            <w:r>
              <w:t>25,1</w:t>
            </w:r>
          </w:p>
        </w:tc>
      </w:tr>
      <w:tr w:rsidR="00763A3D">
        <w:trPr>
          <w:tblCellSpacing w:w="7" w:type="dxa"/>
        </w:trPr>
        <w:tc>
          <w:tcPr>
            <w:tcW w:w="0" w:type="auto"/>
            <w:shd w:val="clear" w:color="auto" w:fill="FFFFFF"/>
            <w:vAlign w:val="center"/>
          </w:tcPr>
          <w:p w:rsidR="00763A3D" w:rsidRDefault="00763A3D">
            <w:r>
              <w:t>В том числе машиностроение и металлообработка</w:t>
            </w:r>
          </w:p>
        </w:tc>
        <w:tc>
          <w:tcPr>
            <w:tcW w:w="0" w:type="auto"/>
            <w:shd w:val="clear" w:color="auto" w:fill="FFFFFF"/>
            <w:vAlign w:val="center"/>
          </w:tcPr>
          <w:p w:rsidR="00763A3D" w:rsidRDefault="00763A3D">
            <w:r>
              <w:t>4,9</w:t>
            </w:r>
          </w:p>
        </w:tc>
        <w:tc>
          <w:tcPr>
            <w:tcW w:w="0" w:type="auto"/>
            <w:shd w:val="clear" w:color="auto" w:fill="FFFFFF"/>
            <w:vAlign w:val="center"/>
          </w:tcPr>
          <w:p w:rsidR="00763A3D" w:rsidRDefault="00763A3D">
            <w:r>
              <w:t>5,2</w:t>
            </w:r>
          </w:p>
        </w:tc>
        <w:tc>
          <w:tcPr>
            <w:tcW w:w="0" w:type="auto"/>
            <w:shd w:val="clear" w:color="auto" w:fill="FFFFFF"/>
            <w:vAlign w:val="center"/>
          </w:tcPr>
          <w:p w:rsidR="00763A3D" w:rsidRDefault="00763A3D">
            <w:r>
              <w:t>20,6</w:t>
            </w:r>
          </w:p>
        </w:tc>
        <w:tc>
          <w:tcPr>
            <w:tcW w:w="0" w:type="auto"/>
            <w:shd w:val="clear" w:color="auto" w:fill="FFFFFF"/>
            <w:vAlign w:val="center"/>
          </w:tcPr>
          <w:p w:rsidR="00763A3D" w:rsidRDefault="00763A3D">
            <w:r>
              <w:t>24,5</w:t>
            </w:r>
          </w:p>
        </w:tc>
        <w:tc>
          <w:tcPr>
            <w:tcW w:w="0" w:type="auto"/>
            <w:shd w:val="clear" w:color="auto" w:fill="FFFFFF"/>
            <w:vAlign w:val="center"/>
          </w:tcPr>
          <w:p w:rsidR="00763A3D" w:rsidRDefault="00763A3D">
            <w:r>
              <w:t>40,4</w:t>
            </w:r>
          </w:p>
        </w:tc>
        <w:tc>
          <w:tcPr>
            <w:tcW w:w="0" w:type="auto"/>
            <w:shd w:val="clear" w:color="auto" w:fill="FFFFFF"/>
            <w:vAlign w:val="center"/>
          </w:tcPr>
          <w:p w:rsidR="00763A3D" w:rsidRDefault="00763A3D">
            <w:r>
              <w:t>43,0</w:t>
            </w:r>
          </w:p>
        </w:tc>
        <w:tc>
          <w:tcPr>
            <w:tcW w:w="0" w:type="auto"/>
            <w:shd w:val="clear" w:color="auto" w:fill="FFFFFF"/>
            <w:vAlign w:val="center"/>
          </w:tcPr>
          <w:p w:rsidR="00763A3D" w:rsidRDefault="00763A3D">
            <w:r>
              <w:t>47,3</w:t>
            </w:r>
          </w:p>
        </w:tc>
        <w:tc>
          <w:tcPr>
            <w:tcW w:w="0" w:type="auto"/>
            <w:shd w:val="clear" w:color="auto" w:fill="FFFFFF"/>
            <w:vAlign w:val="center"/>
          </w:tcPr>
          <w:p w:rsidR="00763A3D" w:rsidRDefault="00763A3D">
            <w:r>
              <w:t>51,2</w:t>
            </w:r>
          </w:p>
        </w:tc>
        <w:tc>
          <w:tcPr>
            <w:tcW w:w="0" w:type="auto"/>
            <w:shd w:val="clear" w:color="auto" w:fill="FFFFFF"/>
            <w:vAlign w:val="center"/>
          </w:tcPr>
          <w:p w:rsidR="00763A3D" w:rsidRDefault="00763A3D">
            <w:r>
              <w:t>49,2</w:t>
            </w:r>
          </w:p>
        </w:tc>
      </w:tr>
      <w:tr w:rsidR="00763A3D">
        <w:trPr>
          <w:tblCellSpacing w:w="7" w:type="dxa"/>
        </w:trPr>
        <w:tc>
          <w:tcPr>
            <w:tcW w:w="0" w:type="auto"/>
            <w:shd w:val="clear" w:color="auto" w:fill="FFFFFF"/>
            <w:vAlign w:val="center"/>
          </w:tcPr>
          <w:p w:rsidR="00763A3D" w:rsidRDefault="00763A3D">
            <w:r>
              <w:t>Сельское хозяйство</w:t>
            </w:r>
          </w:p>
        </w:tc>
        <w:tc>
          <w:tcPr>
            <w:tcW w:w="0" w:type="auto"/>
            <w:shd w:val="clear" w:color="auto" w:fill="FFFFFF"/>
            <w:vAlign w:val="center"/>
          </w:tcPr>
          <w:p w:rsidR="00763A3D" w:rsidRDefault="00763A3D">
            <w:r>
              <w:t>14,7</w:t>
            </w:r>
          </w:p>
        </w:tc>
        <w:tc>
          <w:tcPr>
            <w:tcW w:w="0" w:type="auto"/>
            <w:shd w:val="clear" w:color="auto" w:fill="FFFFFF"/>
            <w:vAlign w:val="center"/>
          </w:tcPr>
          <w:p w:rsidR="00763A3D" w:rsidRDefault="00763A3D">
            <w:r>
              <w:t>10,0</w:t>
            </w:r>
          </w:p>
        </w:tc>
        <w:tc>
          <w:tcPr>
            <w:tcW w:w="0" w:type="auto"/>
            <w:shd w:val="clear" w:color="auto" w:fill="FFFFFF"/>
            <w:vAlign w:val="center"/>
          </w:tcPr>
          <w:p w:rsidR="00763A3D" w:rsidRDefault="00763A3D">
            <w:r>
              <w:t>58,7</w:t>
            </w:r>
          </w:p>
        </w:tc>
        <w:tc>
          <w:tcPr>
            <w:tcW w:w="0" w:type="auto"/>
            <w:shd w:val="clear" w:color="auto" w:fill="FFFFFF"/>
            <w:vAlign w:val="center"/>
          </w:tcPr>
          <w:p w:rsidR="00763A3D" w:rsidRDefault="00763A3D">
            <w:r>
              <w:t>55,0</w:t>
            </w:r>
          </w:p>
        </w:tc>
        <w:tc>
          <w:tcPr>
            <w:tcW w:w="0" w:type="auto"/>
            <w:shd w:val="clear" w:color="auto" w:fill="FFFFFF"/>
            <w:vAlign w:val="center"/>
          </w:tcPr>
          <w:p w:rsidR="00763A3D" w:rsidRDefault="00763A3D">
            <w:r>
              <w:t>76,5</w:t>
            </w:r>
          </w:p>
        </w:tc>
        <w:tc>
          <w:tcPr>
            <w:tcW w:w="0" w:type="auto"/>
            <w:shd w:val="clear" w:color="auto" w:fill="FFFFFF"/>
            <w:vAlign w:val="center"/>
          </w:tcPr>
          <w:p w:rsidR="00763A3D" w:rsidRDefault="00763A3D">
            <w:r>
              <w:t>78,1</w:t>
            </w:r>
          </w:p>
        </w:tc>
        <w:tc>
          <w:tcPr>
            <w:tcW w:w="0" w:type="auto"/>
            <w:shd w:val="clear" w:color="auto" w:fill="FFFFFF"/>
            <w:vAlign w:val="center"/>
          </w:tcPr>
          <w:p w:rsidR="00763A3D" w:rsidRDefault="00763A3D">
            <w:r>
              <w:t>84,4</w:t>
            </w:r>
          </w:p>
        </w:tc>
        <w:tc>
          <w:tcPr>
            <w:tcW w:w="0" w:type="auto"/>
            <w:shd w:val="clear" w:color="auto" w:fill="FFFFFF"/>
            <w:vAlign w:val="center"/>
          </w:tcPr>
          <w:p w:rsidR="00763A3D" w:rsidRDefault="00763A3D">
            <w:r>
              <w:t>87,4</w:t>
            </w:r>
          </w:p>
        </w:tc>
        <w:tc>
          <w:tcPr>
            <w:tcW w:w="0" w:type="auto"/>
            <w:shd w:val="clear" w:color="auto" w:fill="FFFFFF"/>
            <w:vAlign w:val="center"/>
          </w:tcPr>
          <w:p w:rsidR="00763A3D" w:rsidRDefault="00763A3D">
            <w:r>
              <w:t>8,7</w:t>
            </w:r>
          </w:p>
        </w:tc>
      </w:tr>
      <w:tr w:rsidR="00763A3D">
        <w:trPr>
          <w:tblCellSpacing w:w="7" w:type="dxa"/>
        </w:trPr>
        <w:tc>
          <w:tcPr>
            <w:tcW w:w="0" w:type="auto"/>
            <w:shd w:val="clear" w:color="auto" w:fill="FFFFFF"/>
            <w:vAlign w:val="center"/>
          </w:tcPr>
          <w:p w:rsidR="00763A3D" w:rsidRDefault="00763A3D">
            <w:r>
              <w:t>Строительство</w:t>
            </w:r>
          </w:p>
        </w:tc>
        <w:tc>
          <w:tcPr>
            <w:tcW w:w="0" w:type="auto"/>
            <w:shd w:val="clear" w:color="auto" w:fill="FFFFFF"/>
            <w:vAlign w:val="center"/>
          </w:tcPr>
          <w:p w:rsidR="00763A3D" w:rsidRDefault="00763A3D">
            <w:r>
              <w:t>7,6</w:t>
            </w:r>
          </w:p>
        </w:tc>
        <w:tc>
          <w:tcPr>
            <w:tcW w:w="0" w:type="auto"/>
            <w:shd w:val="clear" w:color="auto" w:fill="FFFFFF"/>
            <w:vAlign w:val="center"/>
          </w:tcPr>
          <w:p w:rsidR="00763A3D" w:rsidRDefault="00763A3D">
            <w:r>
              <w:t>5,9</w:t>
            </w:r>
          </w:p>
        </w:tc>
        <w:tc>
          <w:tcPr>
            <w:tcW w:w="0" w:type="auto"/>
            <w:shd w:val="clear" w:color="auto" w:fill="FFFFFF"/>
            <w:vAlign w:val="center"/>
          </w:tcPr>
          <w:p w:rsidR="00763A3D" w:rsidRDefault="00763A3D">
            <w:r>
              <w:t>14,5</w:t>
            </w:r>
          </w:p>
        </w:tc>
        <w:tc>
          <w:tcPr>
            <w:tcW w:w="0" w:type="auto"/>
            <w:shd w:val="clear" w:color="auto" w:fill="FFFFFF"/>
            <w:vAlign w:val="center"/>
          </w:tcPr>
          <w:p w:rsidR="00763A3D" w:rsidRDefault="00763A3D">
            <w:r>
              <w:t>17,7</w:t>
            </w:r>
          </w:p>
        </w:tc>
        <w:tc>
          <w:tcPr>
            <w:tcW w:w="0" w:type="auto"/>
            <w:shd w:val="clear" w:color="auto" w:fill="FFFFFF"/>
            <w:vAlign w:val="center"/>
          </w:tcPr>
          <w:p w:rsidR="00763A3D" w:rsidRDefault="00763A3D">
            <w:r>
              <w:t>33,4</w:t>
            </w:r>
          </w:p>
        </w:tc>
        <w:tc>
          <w:tcPr>
            <w:tcW w:w="0" w:type="auto"/>
            <w:shd w:val="clear" w:color="auto" w:fill="FFFFFF"/>
            <w:vAlign w:val="center"/>
          </w:tcPr>
          <w:p w:rsidR="00763A3D" w:rsidRDefault="00763A3D">
            <w:r>
              <w:t>36,6</w:t>
            </w:r>
          </w:p>
        </w:tc>
        <w:tc>
          <w:tcPr>
            <w:tcW w:w="0" w:type="auto"/>
            <w:shd w:val="clear" w:color="auto" w:fill="FFFFFF"/>
            <w:vAlign w:val="center"/>
          </w:tcPr>
          <w:p w:rsidR="00763A3D" w:rsidRDefault="00763A3D">
            <w:r>
              <w:t>40,6</w:t>
            </w:r>
          </w:p>
        </w:tc>
        <w:tc>
          <w:tcPr>
            <w:tcW w:w="0" w:type="auto"/>
            <w:shd w:val="clear" w:color="auto" w:fill="FFFFFF"/>
            <w:vAlign w:val="center"/>
          </w:tcPr>
          <w:p w:rsidR="00763A3D" w:rsidRDefault="00763A3D">
            <w:r>
              <w:t>44,8</w:t>
            </w:r>
          </w:p>
        </w:tc>
        <w:tc>
          <w:tcPr>
            <w:tcW w:w="0" w:type="auto"/>
            <w:shd w:val="clear" w:color="auto" w:fill="FFFFFF"/>
            <w:vAlign w:val="center"/>
          </w:tcPr>
          <w:p w:rsidR="00763A3D" w:rsidRDefault="00763A3D">
            <w:r>
              <w:t>45,2</w:t>
            </w:r>
          </w:p>
        </w:tc>
      </w:tr>
      <w:tr w:rsidR="00763A3D">
        <w:trPr>
          <w:tblCellSpacing w:w="7" w:type="dxa"/>
        </w:trPr>
        <w:tc>
          <w:tcPr>
            <w:tcW w:w="0" w:type="auto"/>
            <w:shd w:val="clear" w:color="auto" w:fill="FFFFFF"/>
            <w:vAlign w:val="center"/>
          </w:tcPr>
          <w:p w:rsidR="00763A3D" w:rsidRDefault="00763A3D">
            <w:r>
              <w:t>Транспорт</w:t>
            </w:r>
          </w:p>
        </w:tc>
        <w:tc>
          <w:tcPr>
            <w:tcW w:w="0" w:type="auto"/>
            <w:shd w:val="clear" w:color="auto" w:fill="FFFFFF"/>
            <w:vAlign w:val="center"/>
          </w:tcPr>
          <w:p w:rsidR="00763A3D" w:rsidRDefault="00763A3D">
            <w:r>
              <w:t>20,7</w:t>
            </w:r>
          </w:p>
        </w:tc>
        <w:tc>
          <w:tcPr>
            <w:tcW w:w="0" w:type="auto"/>
            <w:shd w:val="clear" w:color="auto" w:fill="FFFFFF"/>
            <w:vAlign w:val="center"/>
          </w:tcPr>
          <w:p w:rsidR="00763A3D" w:rsidRDefault="00763A3D">
            <w:r>
              <w:t>16,6</w:t>
            </w:r>
          </w:p>
        </w:tc>
        <w:tc>
          <w:tcPr>
            <w:tcW w:w="0" w:type="auto"/>
            <w:shd w:val="clear" w:color="auto" w:fill="FFFFFF"/>
            <w:vAlign w:val="center"/>
          </w:tcPr>
          <w:p w:rsidR="00763A3D" w:rsidRDefault="00763A3D">
            <w:r>
              <w:t>28,8</w:t>
            </w:r>
          </w:p>
        </w:tc>
        <w:tc>
          <w:tcPr>
            <w:tcW w:w="0" w:type="auto"/>
            <w:shd w:val="clear" w:color="auto" w:fill="FFFFFF"/>
            <w:vAlign w:val="center"/>
          </w:tcPr>
          <w:p w:rsidR="00763A3D" w:rsidRDefault="00763A3D">
            <w:r>
              <w:t>31,5</w:t>
            </w:r>
          </w:p>
        </w:tc>
        <w:tc>
          <w:tcPr>
            <w:tcW w:w="0" w:type="auto"/>
            <w:shd w:val="clear" w:color="auto" w:fill="FFFFFF"/>
            <w:vAlign w:val="center"/>
          </w:tcPr>
          <w:p w:rsidR="00763A3D" w:rsidRDefault="00763A3D">
            <w:r>
              <w:t>54,0</w:t>
            </w:r>
          </w:p>
        </w:tc>
        <w:tc>
          <w:tcPr>
            <w:tcW w:w="0" w:type="auto"/>
            <w:shd w:val="clear" w:color="auto" w:fill="FFFFFF"/>
            <w:vAlign w:val="center"/>
          </w:tcPr>
          <w:p w:rsidR="00763A3D" w:rsidRDefault="00763A3D">
            <w:r>
              <w:t>54,0</w:t>
            </w:r>
          </w:p>
        </w:tc>
        <w:tc>
          <w:tcPr>
            <w:tcW w:w="0" w:type="auto"/>
            <w:shd w:val="clear" w:color="auto" w:fill="FFFFFF"/>
            <w:vAlign w:val="center"/>
          </w:tcPr>
          <w:p w:rsidR="00763A3D" w:rsidRDefault="00763A3D">
            <w:r>
              <w:t>53,4</w:t>
            </w:r>
          </w:p>
        </w:tc>
        <w:tc>
          <w:tcPr>
            <w:tcW w:w="0" w:type="auto"/>
            <w:shd w:val="clear" w:color="auto" w:fill="FFFFFF"/>
            <w:vAlign w:val="center"/>
          </w:tcPr>
          <w:p w:rsidR="00763A3D" w:rsidRDefault="00763A3D">
            <w:r>
              <w:t>56,2</w:t>
            </w:r>
          </w:p>
        </w:tc>
        <w:tc>
          <w:tcPr>
            <w:tcW w:w="0" w:type="auto"/>
            <w:shd w:val="clear" w:color="auto" w:fill="FFFFFF"/>
            <w:vAlign w:val="center"/>
          </w:tcPr>
          <w:p w:rsidR="00763A3D" w:rsidRDefault="00763A3D">
            <w:r>
              <w:t>54,8</w:t>
            </w:r>
          </w:p>
        </w:tc>
      </w:tr>
    </w:tbl>
    <w:p w:rsidR="00763A3D" w:rsidRDefault="00763A3D" w:rsidP="00763A3D">
      <w:pPr>
        <w:pStyle w:val="a3"/>
      </w:pPr>
      <w:r>
        <w:t>Анализ табл. 1.2 позволяет сделать вывод о том, что удельный вес убыточных предприятий промышленности РФ составляет почти 50%. Несмотря на то, что газовая промышленность является одной из отраслей топливной промышленности, являющейся наиболее "благополучной", удельный вес убыточных предприятий в газовой промышленности достигает 25% от общего числа предприятий газовой промышленности. В этот же период, как показывает анализ табл. 1.3, резко возросла кредиторская и дебиторская задолженность предприятий промышленности РФ, что, с одной стороны, является следствием нарастания трудностей в финансовом состоянии предприятий всех отраслей экономики, а с другой - обусловливает снижение внутреннего платежеспособного спроса на продукцию промышленных предприятий.</w:t>
      </w:r>
    </w:p>
    <w:p w:rsidR="00763A3D" w:rsidRDefault="00763A3D" w:rsidP="00763A3D">
      <w:pPr>
        <w:pStyle w:val="a3"/>
      </w:pPr>
      <w:r>
        <w:rPr>
          <w:b/>
          <w:bCs/>
        </w:rPr>
        <w:t xml:space="preserve">Таблица 1.3 </w:t>
      </w:r>
      <w:r>
        <w:rPr>
          <w:b/>
          <w:bCs/>
        </w:rPr>
        <w:br/>
        <w:t>Задолженность предприятий и организаций отраслей экономики РФ (на конец; трлн руб.)</w:t>
      </w:r>
    </w:p>
    <w:tbl>
      <w:tblPr>
        <w:tblW w:w="5000" w:type="pct"/>
        <w:tblCellSpacing w:w="7" w:type="dxa"/>
        <w:shd w:val="clear" w:color="auto" w:fill="4F8CD0"/>
        <w:tblCellMar>
          <w:top w:w="30" w:type="dxa"/>
          <w:left w:w="30" w:type="dxa"/>
          <w:bottom w:w="30" w:type="dxa"/>
          <w:right w:w="30" w:type="dxa"/>
        </w:tblCellMar>
        <w:tblLook w:val="0000" w:firstRow="0" w:lastRow="0" w:firstColumn="0" w:lastColumn="0" w:noHBand="0" w:noVBand="0"/>
      </w:tblPr>
      <w:tblGrid>
        <w:gridCol w:w="4764"/>
        <w:gridCol w:w="554"/>
        <w:gridCol w:w="554"/>
        <w:gridCol w:w="554"/>
        <w:gridCol w:w="554"/>
        <w:gridCol w:w="554"/>
        <w:gridCol w:w="634"/>
        <w:gridCol w:w="634"/>
        <w:gridCol w:w="641"/>
      </w:tblGrid>
      <w:tr w:rsidR="00763A3D">
        <w:trPr>
          <w:tblCellSpacing w:w="7" w:type="dxa"/>
        </w:trPr>
        <w:tc>
          <w:tcPr>
            <w:tcW w:w="0" w:type="auto"/>
            <w:shd w:val="clear" w:color="auto" w:fill="FFFFFF"/>
            <w:vAlign w:val="center"/>
          </w:tcPr>
          <w:p w:rsidR="00763A3D" w:rsidRDefault="00763A3D">
            <w:r>
              <w:t>Задолженность</w:t>
            </w:r>
          </w:p>
        </w:tc>
        <w:tc>
          <w:tcPr>
            <w:tcW w:w="0" w:type="auto"/>
            <w:shd w:val="clear" w:color="auto" w:fill="FFFFFF"/>
            <w:vAlign w:val="center"/>
          </w:tcPr>
          <w:p w:rsidR="00763A3D" w:rsidRDefault="00763A3D">
            <w:r>
              <w:t>1993</w:t>
            </w:r>
          </w:p>
        </w:tc>
        <w:tc>
          <w:tcPr>
            <w:tcW w:w="0" w:type="auto"/>
            <w:shd w:val="clear" w:color="auto" w:fill="FFFFFF"/>
            <w:vAlign w:val="center"/>
          </w:tcPr>
          <w:p w:rsidR="00763A3D" w:rsidRDefault="00763A3D">
            <w:r>
              <w:t>1994</w:t>
            </w:r>
          </w:p>
        </w:tc>
        <w:tc>
          <w:tcPr>
            <w:tcW w:w="0" w:type="auto"/>
            <w:shd w:val="clear" w:color="auto" w:fill="FFFFFF"/>
            <w:vAlign w:val="center"/>
          </w:tcPr>
          <w:p w:rsidR="00763A3D" w:rsidRDefault="00763A3D">
            <w:r>
              <w:t>1995</w:t>
            </w:r>
          </w:p>
        </w:tc>
        <w:tc>
          <w:tcPr>
            <w:tcW w:w="0" w:type="auto"/>
            <w:shd w:val="clear" w:color="auto" w:fill="FFFFFF"/>
            <w:vAlign w:val="center"/>
          </w:tcPr>
          <w:p w:rsidR="00763A3D" w:rsidRDefault="00763A3D">
            <w:r>
              <w:t>1996</w:t>
            </w:r>
          </w:p>
        </w:tc>
        <w:tc>
          <w:tcPr>
            <w:tcW w:w="0" w:type="auto"/>
            <w:shd w:val="clear" w:color="auto" w:fill="FFFFFF"/>
            <w:vAlign w:val="center"/>
          </w:tcPr>
          <w:p w:rsidR="00763A3D" w:rsidRDefault="00763A3D">
            <w:r>
              <w:t>1997</w:t>
            </w:r>
          </w:p>
        </w:tc>
        <w:tc>
          <w:tcPr>
            <w:tcW w:w="0" w:type="auto"/>
            <w:shd w:val="clear" w:color="auto" w:fill="FFFFFF"/>
            <w:vAlign w:val="center"/>
          </w:tcPr>
          <w:p w:rsidR="00763A3D" w:rsidRDefault="00763A3D">
            <w:r>
              <w:t>1998</w:t>
            </w:r>
            <w:r>
              <w:rPr>
                <w:vertAlign w:val="superscript"/>
              </w:rPr>
              <w:t>*</w:t>
            </w:r>
          </w:p>
        </w:tc>
        <w:tc>
          <w:tcPr>
            <w:tcW w:w="0" w:type="auto"/>
            <w:shd w:val="clear" w:color="auto" w:fill="FFFFFF"/>
            <w:vAlign w:val="center"/>
          </w:tcPr>
          <w:p w:rsidR="00763A3D" w:rsidRDefault="00763A3D">
            <w:r>
              <w:t>1999</w:t>
            </w:r>
            <w:r>
              <w:rPr>
                <w:vertAlign w:val="superscript"/>
              </w:rPr>
              <w:t>*</w:t>
            </w:r>
          </w:p>
        </w:tc>
        <w:tc>
          <w:tcPr>
            <w:tcW w:w="0" w:type="auto"/>
            <w:shd w:val="clear" w:color="auto" w:fill="FFFFFF"/>
            <w:vAlign w:val="center"/>
          </w:tcPr>
          <w:p w:rsidR="00763A3D" w:rsidRDefault="00763A3D">
            <w:r>
              <w:t>2000</w:t>
            </w:r>
            <w:r>
              <w:rPr>
                <w:vertAlign w:val="superscript"/>
              </w:rPr>
              <w:t>*</w:t>
            </w:r>
          </w:p>
        </w:tc>
      </w:tr>
      <w:tr w:rsidR="00763A3D">
        <w:trPr>
          <w:tblCellSpacing w:w="7" w:type="dxa"/>
        </w:trPr>
        <w:tc>
          <w:tcPr>
            <w:tcW w:w="0" w:type="auto"/>
            <w:shd w:val="clear" w:color="auto" w:fill="FFFFFF"/>
            <w:vAlign w:val="center"/>
          </w:tcPr>
          <w:p w:rsidR="00763A3D" w:rsidRDefault="00763A3D">
            <w:r>
              <w:t>Суммарная задолженность по обязательствам</w:t>
            </w:r>
          </w:p>
        </w:tc>
        <w:tc>
          <w:tcPr>
            <w:tcW w:w="0" w:type="auto"/>
            <w:shd w:val="clear" w:color="auto" w:fill="FFFFFF"/>
            <w:vAlign w:val="center"/>
          </w:tcPr>
          <w:p w:rsidR="00763A3D" w:rsidRDefault="00763A3D">
            <w:r>
              <w:t>58,3</w:t>
            </w:r>
          </w:p>
        </w:tc>
        <w:tc>
          <w:tcPr>
            <w:tcW w:w="0" w:type="auto"/>
            <w:shd w:val="clear" w:color="auto" w:fill="FFFFFF"/>
            <w:vAlign w:val="center"/>
          </w:tcPr>
          <w:p w:rsidR="00763A3D" w:rsidRDefault="00763A3D">
            <w:r>
              <w:t>219</w:t>
            </w:r>
          </w:p>
        </w:tc>
        <w:tc>
          <w:tcPr>
            <w:tcW w:w="0" w:type="auto"/>
            <w:shd w:val="clear" w:color="auto" w:fill="FFFFFF"/>
            <w:vAlign w:val="center"/>
          </w:tcPr>
          <w:p w:rsidR="00763A3D" w:rsidRDefault="00763A3D">
            <w:r>
              <w:t>574</w:t>
            </w:r>
          </w:p>
        </w:tc>
        <w:tc>
          <w:tcPr>
            <w:tcW w:w="0" w:type="auto"/>
            <w:shd w:val="clear" w:color="auto" w:fill="FFFFFF"/>
            <w:vAlign w:val="center"/>
          </w:tcPr>
          <w:p w:rsidR="00763A3D" w:rsidRDefault="00763A3D">
            <w:r>
              <w:t>1065</w:t>
            </w:r>
          </w:p>
        </w:tc>
        <w:tc>
          <w:tcPr>
            <w:tcW w:w="0" w:type="auto"/>
            <w:shd w:val="clear" w:color="auto" w:fill="FFFFFF"/>
            <w:vAlign w:val="center"/>
          </w:tcPr>
          <w:p w:rsidR="00763A3D" w:rsidRDefault="00763A3D">
            <w:r>
              <w:t>1453</w:t>
            </w:r>
          </w:p>
        </w:tc>
        <w:tc>
          <w:tcPr>
            <w:tcW w:w="0" w:type="auto"/>
            <w:shd w:val="clear" w:color="auto" w:fill="FFFFFF"/>
            <w:vAlign w:val="center"/>
          </w:tcPr>
          <w:p w:rsidR="00763A3D" w:rsidRDefault="00763A3D">
            <w:r>
              <w:t>2811</w:t>
            </w:r>
          </w:p>
        </w:tc>
        <w:tc>
          <w:tcPr>
            <w:tcW w:w="0" w:type="auto"/>
            <w:shd w:val="clear" w:color="auto" w:fill="FFFFFF"/>
            <w:vAlign w:val="center"/>
          </w:tcPr>
          <w:p w:rsidR="00763A3D" w:rsidRDefault="00763A3D">
            <w:r>
              <w:t>6811</w:t>
            </w:r>
          </w:p>
        </w:tc>
        <w:tc>
          <w:tcPr>
            <w:tcW w:w="0" w:type="auto"/>
            <w:shd w:val="clear" w:color="auto" w:fill="FFFFFF"/>
            <w:vAlign w:val="center"/>
          </w:tcPr>
          <w:p w:rsidR="00763A3D" w:rsidRDefault="00763A3D">
            <w:r>
              <w:t>5113</w:t>
            </w:r>
          </w:p>
        </w:tc>
      </w:tr>
      <w:tr w:rsidR="00763A3D">
        <w:trPr>
          <w:tblCellSpacing w:w="7" w:type="dxa"/>
        </w:trPr>
        <w:tc>
          <w:tcPr>
            <w:tcW w:w="0" w:type="auto"/>
            <w:shd w:val="clear" w:color="auto" w:fill="FFFFFF"/>
            <w:vAlign w:val="center"/>
          </w:tcPr>
          <w:p w:rsidR="00763A3D" w:rsidRDefault="00763A3D">
            <w:r>
              <w:t>В том числе просроченная</w:t>
            </w:r>
          </w:p>
        </w:tc>
        <w:tc>
          <w:tcPr>
            <w:tcW w:w="0" w:type="auto"/>
            <w:shd w:val="clear" w:color="auto" w:fill="FFFFFF"/>
            <w:vAlign w:val="center"/>
          </w:tcPr>
          <w:p w:rsidR="00763A3D" w:rsidRDefault="00763A3D">
            <w:r>
              <w:t>17,4</w:t>
            </w:r>
          </w:p>
        </w:tc>
        <w:tc>
          <w:tcPr>
            <w:tcW w:w="0" w:type="auto"/>
            <w:shd w:val="clear" w:color="auto" w:fill="FFFFFF"/>
            <w:vAlign w:val="center"/>
          </w:tcPr>
          <w:p w:rsidR="00763A3D" w:rsidRDefault="00763A3D">
            <w:r>
              <w:t>96</w:t>
            </w:r>
          </w:p>
        </w:tc>
        <w:tc>
          <w:tcPr>
            <w:tcW w:w="0" w:type="auto"/>
            <w:shd w:val="clear" w:color="auto" w:fill="FFFFFF"/>
            <w:vAlign w:val="center"/>
          </w:tcPr>
          <w:p w:rsidR="00763A3D" w:rsidRDefault="00763A3D">
            <w:r>
              <w:t>250</w:t>
            </w:r>
          </w:p>
        </w:tc>
        <w:tc>
          <w:tcPr>
            <w:tcW w:w="0" w:type="auto"/>
            <w:shd w:val="clear" w:color="auto" w:fill="FFFFFF"/>
            <w:vAlign w:val="center"/>
          </w:tcPr>
          <w:p w:rsidR="00763A3D" w:rsidRDefault="00763A3D">
            <w:r>
              <w:t>538</w:t>
            </w:r>
          </w:p>
        </w:tc>
        <w:tc>
          <w:tcPr>
            <w:tcW w:w="0" w:type="auto"/>
            <w:shd w:val="clear" w:color="auto" w:fill="FFFFFF"/>
            <w:vAlign w:val="center"/>
          </w:tcPr>
          <w:p w:rsidR="00763A3D" w:rsidRDefault="00763A3D">
            <w:r>
              <w:t>782</w:t>
            </w:r>
          </w:p>
        </w:tc>
        <w:tc>
          <w:tcPr>
            <w:tcW w:w="0" w:type="auto"/>
            <w:shd w:val="clear" w:color="auto" w:fill="FFFFFF"/>
            <w:vAlign w:val="center"/>
          </w:tcPr>
          <w:p w:rsidR="00763A3D" w:rsidRDefault="00763A3D">
            <w:r>
              <w:t>1309</w:t>
            </w:r>
          </w:p>
        </w:tc>
        <w:tc>
          <w:tcPr>
            <w:tcW w:w="0" w:type="auto"/>
            <w:shd w:val="clear" w:color="auto" w:fill="FFFFFF"/>
            <w:vAlign w:val="center"/>
          </w:tcPr>
          <w:p w:rsidR="00763A3D" w:rsidRDefault="00763A3D">
            <w:r>
              <w:t>4539</w:t>
            </w:r>
          </w:p>
        </w:tc>
        <w:tc>
          <w:tcPr>
            <w:tcW w:w="0" w:type="auto"/>
            <w:shd w:val="clear" w:color="auto" w:fill="FFFFFF"/>
            <w:vAlign w:val="center"/>
          </w:tcPr>
          <w:p w:rsidR="00763A3D" w:rsidRDefault="00763A3D">
            <w:r>
              <w:t>3809</w:t>
            </w:r>
          </w:p>
        </w:tc>
      </w:tr>
      <w:tr w:rsidR="00763A3D">
        <w:trPr>
          <w:tblCellSpacing w:w="7" w:type="dxa"/>
        </w:trPr>
        <w:tc>
          <w:tcPr>
            <w:tcW w:w="0" w:type="auto"/>
            <w:shd w:val="clear" w:color="auto" w:fill="FFFFFF"/>
            <w:vAlign w:val="center"/>
          </w:tcPr>
          <w:p w:rsidR="00763A3D" w:rsidRDefault="00763A3D">
            <w:r>
              <w:t>Кредиторская задолженность</w:t>
            </w:r>
          </w:p>
        </w:tc>
        <w:tc>
          <w:tcPr>
            <w:tcW w:w="0" w:type="auto"/>
            <w:shd w:val="clear" w:color="auto" w:fill="FFFFFF"/>
            <w:vAlign w:val="center"/>
          </w:tcPr>
          <w:p w:rsidR="00763A3D" w:rsidRDefault="00763A3D">
            <w:r>
              <w:t>47,0</w:t>
            </w:r>
          </w:p>
        </w:tc>
        <w:tc>
          <w:tcPr>
            <w:tcW w:w="0" w:type="auto"/>
            <w:shd w:val="clear" w:color="auto" w:fill="FFFFFF"/>
            <w:vAlign w:val="center"/>
          </w:tcPr>
          <w:p w:rsidR="00763A3D" w:rsidRDefault="00763A3D">
            <w:r>
              <w:t>174</w:t>
            </w:r>
          </w:p>
        </w:tc>
        <w:tc>
          <w:tcPr>
            <w:tcW w:w="0" w:type="auto"/>
            <w:shd w:val="clear" w:color="auto" w:fill="FFFFFF"/>
            <w:vAlign w:val="center"/>
          </w:tcPr>
          <w:p w:rsidR="00763A3D" w:rsidRDefault="00763A3D">
            <w:r>
              <w:t>483</w:t>
            </w:r>
          </w:p>
        </w:tc>
        <w:tc>
          <w:tcPr>
            <w:tcW w:w="0" w:type="auto"/>
            <w:shd w:val="clear" w:color="auto" w:fill="FFFFFF"/>
            <w:vAlign w:val="center"/>
          </w:tcPr>
          <w:p w:rsidR="00763A3D" w:rsidRDefault="00763A3D">
            <w:r>
              <w:t>941</w:t>
            </w:r>
          </w:p>
        </w:tc>
        <w:tc>
          <w:tcPr>
            <w:tcW w:w="0" w:type="auto"/>
            <w:shd w:val="clear" w:color="auto" w:fill="FFFFFF"/>
            <w:vAlign w:val="center"/>
          </w:tcPr>
          <w:p w:rsidR="00763A3D" w:rsidRDefault="00763A3D">
            <w:r>
              <w:t>1288</w:t>
            </w:r>
          </w:p>
        </w:tc>
        <w:tc>
          <w:tcPr>
            <w:tcW w:w="0" w:type="auto"/>
            <w:shd w:val="clear" w:color="auto" w:fill="FFFFFF"/>
            <w:vAlign w:val="center"/>
          </w:tcPr>
          <w:p w:rsidR="00763A3D" w:rsidRDefault="00763A3D">
            <w:r>
              <w:t>2297</w:t>
            </w:r>
          </w:p>
        </w:tc>
        <w:tc>
          <w:tcPr>
            <w:tcW w:w="0" w:type="auto"/>
            <w:shd w:val="clear" w:color="auto" w:fill="FFFFFF"/>
            <w:vAlign w:val="center"/>
          </w:tcPr>
          <w:p w:rsidR="00763A3D" w:rsidRDefault="00763A3D">
            <w:r>
              <w:t>3162</w:t>
            </w:r>
          </w:p>
        </w:tc>
        <w:tc>
          <w:tcPr>
            <w:tcW w:w="0" w:type="auto"/>
            <w:shd w:val="clear" w:color="auto" w:fill="FFFFFF"/>
            <w:vAlign w:val="center"/>
          </w:tcPr>
          <w:p w:rsidR="00763A3D" w:rsidRDefault="00763A3D">
            <w:r>
              <w:t>3925</w:t>
            </w:r>
          </w:p>
        </w:tc>
      </w:tr>
      <w:tr w:rsidR="00763A3D">
        <w:trPr>
          <w:tblCellSpacing w:w="7" w:type="dxa"/>
        </w:trPr>
        <w:tc>
          <w:tcPr>
            <w:tcW w:w="0" w:type="auto"/>
            <w:shd w:val="clear" w:color="auto" w:fill="FFFFFF"/>
            <w:vAlign w:val="center"/>
          </w:tcPr>
          <w:p w:rsidR="00763A3D" w:rsidRDefault="00763A3D">
            <w:r>
              <w:t>В том числе просроченная</w:t>
            </w:r>
          </w:p>
        </w:tc>
        <w:tc>
          <w:tcPr>
            <w:tcW w:w="0" w:type="auto"/>
            <w:shd w:val="clear" w:color="auto" w:fill="FFFFFF"/>
            <w:vAlign w:val="center"/>
          </w:tcPr>
          <w:p w:rsidR="00763A3D" w:rsidRDefault="00763A3D">
            <w:r>
              <w:t>16,4</w:t>
            </w:r>
          </w:p>
        </w:tc>
        <w:tc>
          <w:tcPr>
            <w:tcW w:w="0" w:type="auto"/>
            <w:shd w:val="clear" w:color="auto" w:fill="FFFFFF"/>
            <w:vAlign w:val="center"/>
          </w:tcPr>
          <w:p w:rsidR="00763A3D" w:rsidRDefault="00763A3D">
            <w:r>
              <w:t>90,4</w:t>
            </w:r>
          </w:p>
        </w:tc>
        <w:tc>
          <w:tcPr>
            <w:tcW w:w="0" w:type="auto"/>
            <w:shd w:val="clear" w:color="auto" w:fill="FFFFFF"/>
            <w:vAlign w:val="center"/>
          </w:tcPr>
          <w:p w:rsidR="00763A3D" w:rsidRDefault="00763A3D">
            <w:r>
              <w:t>239</w:t>
            </w:r>
          </w:p>
        </w:tc>
        <w:tc>
          <w:tcPr>
            <w:tcW w:w="0" w:type="auto"/>
            <w:shd w:val="clear" w:color="auto" w:fill="FFFFFF"/>
            <w:vAlign w:val="center"/>
          </w:tcPr>
          <w:p w:rsidR="00763A3D" w:rsidRDefault="00763A3D">
            <w:r>
              <w:t>514</w:t>
            </w:r>
          </w:p>
        </w:tc>
        <w:tc>
          <w:tcPr>
            <w:tcW w:w="0" w:type="auto"/>
            <w:shd w:val="clear" w:color="auto" w:fill="FFFFFF"/>
            <w:vAlign w:val="center"/>
          </w:tcPr>
          <w:p w:rsidR="00763A3D" w:rsidRDefault="00763A3D">
            <w:r>
              <w:t>756</w:t>
            </w:r>
          </w:p>
        </w:tc>
        <w:tc>
          <w:tcPr>
            <w:tcW w:w="0" w:type="auto"/>
            <w:shd w:val="clear" w:color="auto" w:fill="FFFFFF"/>
            <w:vAlign w:val="center"/>
          </w:tcPr>
          <w:p w:rsidR="00763A3D" w:rsidRDefault="00763A3D">
            <w:r>
              <w:t>1230</w:t>
            </w:r>
          </w:p>
        </w:tc>
        <w:tc>
          <w:tcPr>
            <w:tcW w:w="0" w:type="auto"/>
            <w:shd w:val="clear" w:color="auto" w:fill="FFFFFF"/>
            <w:vAlign w:val="center"/>
          </w:tcPr>
          <w:p w:rsidR="00763A3D" w:rsidRDefault="00763A3D">
            <w:r>
              <w:t>1980</w:t>
            </w:r>
          </w:p>
        </w:tc>
        <w:tc>
          <w:tcPr>
            <w:tcW w:w="0" w:type="auto"/>
            <w:shd w:val="clear" w:color="auto" w:fill="FFFFFF"/>
            <w:vAlign w:val="center"/>
          </w:tcPr>
          <w:p w:rsidR="00763A3D" w:rsidRDefault="00763A3D">
            <w:r>
              <w:t>1796</w:t>
            </w:r>
          </w:p>
        </w:tc>
      </w:tr>
      <w:tr w:rsidR="00763A3D">
        <w:trPr>
          <w:tblCellSpacing w:w="7" w:type="dxa"/>
        </w:trPr>
        <w:tc>
          <w:tcPr>
            <w:tcW w:w="0" w:type="auto"/>
            <w:shd w:val="clear" w:color="auto" w:fill="FFFFFF"/>
            <w:vAlign w:val="center"/>
          </w:tcPr>
          <w:p w:rsidR="00763A3D" w:rsidRDefault="00763A3D">
            <w:r>
              <w:t>Задолженность по кредитам банков и займам</w:t>
            </w:r>
          </w:p>
        </w:tc>
        <w:tc>
          <w:tcPr>
            <w:tcW w:w="0" w:type="auto"/>
            <w:shd w:val="clear" w:color="auto" w:fill="FFFFFF"/>
            <w:vAlign w:val="center"/>
          </w:tcPr>
          <w:p w:rsidR="00763A3D" w:rsidRDefault="00763A3D">
            <w:r>
              <w:t>11,3</w:t>
            </w:r>
          </w:p>
        </w:tc>
        <w:tc>
          <w:tcPr>
            <w:tcW w:w="0" w:type="auto"/>
            <w:shd w:val="clear" w:color="auto" w:fill="FFFFFF"/>
            <w:vAlign w:val="center"/>
          </w:tcPr>
          <w:p w:rsidR="00763A3D" w:rsidRDefault="00763A3D">
            <w:r>
              <w:t>45,1</w:t>
            </w:r>
          </w:p>
        </w:tc>
        <w:tc>
          <w:tcPr>
            <w:tcW w:w="0" w:type="auto"/>
            <w:shd w:val="clear" w:color="auto" w:fill="FFFFFF"/>
            <w:vAlign w:val="center"/>
          </w:tcPr>
          <w:p w:rsidR="00763A3D" w:rsidRDefault="00763A3D">
            <w:r>
              <w:t>91,4</w:t>
            </w:r>
          </w:p>
        </w:tc>
        <w:tc>
          <w:tcPr>
            <w:tcW w:w="0" w:type="auto"/>
            <w:shd w:val="clear" w:color="auto" w:fill="FFFFFF"/>
            <w:vAlign w:val="center"/>
          </w:tcPr>
          <w:p w:rsidR="00763A3D" w:rsidRDefault="00763A3D">
            <w:r>
              <w:t>124</w:t>
            </w:r>
          </w:p>
        </w:tc>
        <w:tc>
          <w:tcPr>
            <w:tcW w:w="0" w:type="auto"/>
            <w:shd w:val="clear" w:color="auto" w:fill="FFFFFF"/>
            <w:vAlign w:val="center"/>
          </w:tcPr>
          <w:p w:rsidR="00763A3D" w:rsidRDefault="00763A3D">
            <w:r>
              <w:t>165</w:t>
            </w:r>
          </w:p>
        </w:tc>
        <w:tc>
          <w:tcPr>
            <w:tcW w:w="0" w:type="auto"/>
            <w:shd w:val="clear" w:color="auto" w:fill="FFFFFF"/>
            <w:vAlign w:val="center"/>
          </w:tcPr>
          <w:p w:rsidR="00763A3D" w:rsidRDefault="00763A3D">
            <w:r>
              <w:t>514</w:t>
            </w:r>
          </w:p>
        </w:tc>
        <w:tc>
          <w:tcPr>
            <w:tcW w:w="0" w:type="auto"/>
            <w:shd w:val="clear" w:color="auto" w:fill="FFFFFF"/>
            <w:vAlign w:val="center"/>
          </w:tcPr>
          <w:p w:rsidR="00763A3D" w:rsidRDefault="00763A3D">
            <w:r>
              <w:t>1025</w:t>
            </w:r>
          </w:p>
        </w:tc>
        <w:tc>
          <w:tcPr>
            <w:tcW w:w="0" w:type="auto"/>
            <w:shd w:val="clear" w:color="auto" w:fill="FFFFFF"/>
            <w:vAlign w:val="center"/>
          </w:tcPr>
          <w:p w:rsidR="00763A3D" w:rsidRDefault="00763A3D">
            <w:r>
              <w:t>867</w:t>
            </w:r>
          </w:p>
        </w:tc>
      </w:tr>
      <w:tr w:rsidR="00763A3D">
        <w:trPr>
          <w:tblCellSpacing w:w="7" w:type="dxa"/>
        </w:trPr>
        <w:tc>
          <w:tcPr>
            <w:tcW w:w="0" w:type="auto"/>
            <w:shd w:val="clear" w:color="auto" w:fill="FFFFFF"/>
            <w:vAlign w:val="center"/>
          </w:tcPr>
          <w:p w:rsidR="00763A3D" w:rsidRDefault="00763A3D">
            <w:r>
              <w:t>В том числе просроченная</w:t>
            </w:r>
          </w:p>
        </w:tc>
        <w:tc>
          <w:tcPr>
            <w:tcW w:w="0" w:type="auto"/>
            <w:shd w:val="clear" w:color="auto" w:fill="FFFFFF"/>
            <w:vAlign w:val="center"/>
          </w:tcPr>
          <w:p w:rsidR="00763A3D" w:rsidRDefault="00763A3D">
            <w:r>
              <w:t>1,0</w:t>
            </w:r>
          </w:p>
        </w:tc>
        <w:tc>
          <w:tcPr>
            <w:tcW w:w="0" w:type="auto"/>
            <w:shd w:val="clear" w:color="auto" w:fill="FFFFFF"/>
            <w:vAlign w:val="center"/>
          </w:tcPr>
          <w:p w:rsidR="00763A3D" w:rsidRDefault="00763A3D">
            <w:r>
              <w:t>5,6</w:t>
            </w:r>
          </w:p>
        </w:tc>
        <w:tc>
          <w:tcPr>
            <w:tcW w:w="0" w:type="auto"/>
            <w:shd w:val="clear" w:color="auto" w:fill="FFFFFF"/>
            <w:vAlign w:val="center"/>
          </w:tcPr>
          <w:p w:rsidR="00763A3D" w:rsidRDefault="00763A3D">
            <w:r>
              <w:t>10,6</w:t>
            </w:r>
          </w:p>
        </w:tc>
        <w:tc>
          <w:tcPr>
            <w:tcW w:w="0" w:type="auto"/>
            <w:shd w:val="clear" w:color="auto" w:fill="FFFFFF"/>
            <w:vAlign w:val="center"/>
          </w:tcPr>
          <w:p w:rsidR="00763A3D" w:rsidRDefault="00763A3D">
            <w:r>
              <w:t>23,5</w:t>
            </w:r>
          </w:p>
        </w:tc>
        <w:tc>
          <w:tcPr>
            <w:tcW w:w="0" w:type="auto"/>
            <w:shd w:val="clear" w:color="auto" w:fill="FFFFFF"/>
            <w:vAlign w:val="center"/>
          </w:tcPr>
          <w:p w:rsidR="00763A3D" w:rsidRDefault="00763A3D">
            <w:r>
              <w:t>26</w:t>
            </w:r>
          </w:p>
        </w:tc>
        <w:tc>
          <w:tcPr>
            <w:tcW w:w="0" w:type="auto"/>
            <w:shd w:val="clear" w:color="auto" w:fill="FFFFFF"/>
            <w:vAlign w:val="center"/>
          </w:tcPr>
          <w:p w:rsidR="00763A3D" w:rsidRDefault="00763A3D">
            <w:r>
              <w:t>78</w:t>
            </w:r>
          </w:p>
        </w:tc>
        <w:tc>
          <w:tcPr>
            <w:tcW w:w="0" w:type="auto"/>
            <w:shd w:val="clear" w:color="auto" w:fill="FFFFFF"/>
            <w:vAlign w:val="center"/>
          </w:tcPr>
          <w:p w:rsidR="00763A3D" w:rsidRDefault="00763A3D">
            <w:r>
              <w:t>126</w:t>
            </w:r>
          </w:p>
        </w:tc>
        <w:tc>
          <w:tcPr>
            <w:tcW w:w="0" w:type="auto"/>
            <w:shd w:val="clear" w:color="auto" w:fill="FFFFFF"/>
            <w:vAlign w:val="center"/>
          </w:tcPr>
          <w:p w:rsidR="00763A3D" w:rsidRDefault="00763A3D">
            <w:r>
              <w:t>96</w:t>
            </w:r>
          </w:p>
        </w:tc>
      </w:tr>
      <w:tr w:rsidR="00763A3D">
        <w:trPr>
          <w:tblCellSpacing w:w="7" w:type="dxa"/>
        </w:trPr>
        <w:tc>
          <w:tcPr>
            <w:tcW w:w="0" w:type="auto"/>
            <w:shd w:val="clear" w:color="auto" w:fill="FFFFFF"/>
            <w:vAlign w:val="center"/>
          </w:tcPr>
          <w:p w:rsidR="00763A3D" w:rsidRDefault="00763A3D">
            <w:r>
              <w:t>Дебиторская задолженность</w:t>
            </w:r>
          </w:p>
        </w:tc>
        <w:tc>
          <w:tcPr>
            <w:tcW w:w="0" w:type="auto"/>
            <w:shd w:val="clear" w:color="auto" w:fill="FFFFFF"/>
            <w:vAlign w:val="center"/>
          </w:tcPr>
          <w:p w:rsidR="00763A3D" w:rsidRDefault="00763A3D">
            <w:r>
              <w:t>43,8</w:t>
            </w:r>
          </w:p>
        </w:tc>
        <w:tc>
          <w:tcPr>
            <w:tcW w:w="0" w:type="auto"/>
            <w:shd w:val="clear" w:color="auto" w:fill="FFFFFF"/>
            <w:vAlign w:val="center"/>
          </w:tcPr>
          <w:p w:rsidR="00763A3D" w:rsidRDefault="00763A3D">
            <w:r>
              <w:t>150</w:t>
            </w:r>
          </w:p>
        </w:tc>
        <w:tc>
          <w:tcPr>
            <w:tcW w:w="0" w:type="auto"/>
            <w:shd w:val="clear" w:color="auto" w:fill="FFFFFF"/>
            <w:vAlign w:val="center"/>
          </w:tcPr>
          <w:p w:rsidR="00763A3D" w:rsidRDefault="00763A3D">
            <w:r>
              <w:t>362</w:t>
            </w:r>
          </w:p>
        </w:tc>
        <w:tc>
          <w:tcPr>
            <w:tcW w:w="0" w:type="auto"/>
            <w:shd w:val="clear" w:color="auto" w:fill="FFFFFF"/>
            <w:vAlign w:val="center"/>
          </w:tcPr>
          <w:p w:rsidR="00763A3D" w:rsidRDefault="00763A3D">
            <w:r>
              <w:t>663</w:t>
            </w:r>
          </w:p>
        </w:tc>
        <w:tc>
          <w:tcPr>
            <w:tcW w:w="0" w:type="auto"/>
            <w:shd w:val="clear" w:color="auto" w:fill="FFFFFF"/>
            <w:vAlign w:val="center"/>
          </w:tcPr>
          <w:p w:rsidR="00763A3D" w:rsidRDefault="00763A3D">
            <w:r>
              <w:t>846</w:t>
            </w:r>
          </w:p>
        </w:tc>
        <w:tc>
          <w:tcPr>
            <w:tcW w:w="0" w:type="auto"/>
            <w:shd w:val="clear" w:color="auto" w:fill="FFFFFF"/>
            <w:vAlign w:val="center"/>
          </w:tcPr>
          <w:p w:rsidR="00763A3D" w:rsidRDefault="00763A3D">
            <w:r>
              <w:t>1542</w:t>
            </w:r>
          </w:p>
        </w:tc>
        <w:tc>
          <w:tcPr>
            <w:tcW w:w="0" w:type="auto"/>
            <w:shd w:val="clear" w:color="auto" w:fill="FFFFFF"/>
            <w:vAlign w:val="center"/>
          </w:tcPr>
          <w:p w:rsidR="00763A3D" w:rsidRDefault="00763A3D">
            <w:r>
              <w:t>1843</w:t>
            </w:r>
          </w:p>
        </w:tc>
        <w:tc>
          <w:tcPr>
            <w:tcW w:w="0" w:type="auto"/>
            <w:shd w:val="clear" w:color="auto" w:fill="FFFFFF"/>
            <w:vAlign w:val="center"/>
          </w:tcPr>
          <w:p w:rsidR="00763A3D" w:rsidRDefault="00763A3D">
            <w:r>
              <w:t>1729</w:t>
            </w:r>
          </w:p>
        </w:tc>
      </w:tr>
      <w:tr w:rsidR="00763A3D">
        <w:trPr>
          <w:tblCellSpacing w:w="7" w:type="dxa"/>
        </w:trPr>
        <w:tc>
          <w:tcPr>
            <w:tcW w:w="0" w:type="auto"/>
            <w:shd w:val="clear" w:color="auto" w:fill="FFFFFF"/>
            <w:vAlign w:val="center"/>
          </w:tcPr>
          <w:p w:rsidR="00763A3D" w:rsidRDefault="00763A3D">
            <w:r>
              <w:t>В том числе просроченная</w:t>
            </w:r>
          </w:p>
        </w:tc>
        <w:tc>
          <w:tcPr>
            <w:tcW w:w="0" w:type="auto"/>
            <w:shd w:val="clear" w:color="auto" w:fill="FFFFFF"/>
            <w:vAlign w:val="center"/>
          </w:tcPr>
          <w:p w:rsidR="00763A3D" w:rsidRDefault="00763A3D">
            <w:r>
              <w:t>18,1</w:t>
            </w:r>
          </w:p>
        </w:tc>
        <w:tc>
          <w:tcPr>
            <w:tcW w:w="0" w:type="auto"/>
            <w:shd w:val="clear" w:color="auto" w:fill="FFFFFF"/>
            <w:vAlign w:val="center"/>
          </w:tcPr>
          <w:p w:rsidR="00763A3D" w:rsidRDefault="00763A3D">
            <w:r>
              <w:t>80,4</w:t>
            </w:r>
          </w:p>
        </w:tc>
        <w:tc>
          <w:tcPr>
            <w:tcW w:w="0" w:type="auto"/>
            <w:shd w:val="clear" w:color="auto" w:fill="FFFFFF"/>
            <w:vAlign w:val="center"/>
          </w:tcPr>
          <w:p w:rsidR="00763A3D" w:rsidRDefault="00763A3D">
            <w:r>
              <w:t>165</w:t>
            </w:r>
          </w:p>
        </w:tc>
        <w:tc>
          <w:tcPr>
            <w:tcW w:w="0" w:type="auto"/>
            <w:shd w:val="clear" w:color="auto" w:fill="FFFFFF"/>
            <w:vAlign w:val="center"/>
          </w:tcPr>
          <w:p w:rsidR="00763A3D" w:rsidRDefault="00763A3D">
            <w:r>
              <w:t>336</w:t>
            </w:r>
          </w:p>
        </w:tc>
        <w:tc>
          <w:tcPr>
            <w:tcW w:w="0" w:type="auto"/>
            <w:shd w:val="clear" w:color="auto" w:fill="FFFFFF"/>
            <w:vAlign w:val="center"/>
          </w:tcPr>
          <w:p w:rsidR="00763A3D" w:rsidRDefault="00763A3D">
            <w:r>
              <w:t>458</w:t>
            </w:r>
          </w:p>
        </w:tc>
        <w:tc>
          <w:tcPr>
            <w:tcW w:w="0" w:type="auto"/>
            <w:shd w:val="clear" w:color="auto" w:fill="FFFFFF"/>
            <w:vAlign w:val="center"/>
          </w:tcPr>
          <w:p w:rsidR="00763A3D" w:rsidRDefault="00763A3D">
            <w:r>
              <w:t>762</w:t>
            </w:r>
          </w:p>
        </w:tc>
        <w:tc>
          <w:tcPr>
            <w:tcW w:w="0" w:type="auto"/>
            <w:shd w:val="clear" w:color="auto" w:fill="FFFFFF"/>
            <w:vAlign w:val="center"/>
          </w:tcPr>
          <w:p w:rsidR="00763A3D" w:rsidRDefault="00763A3D">
            <w:r>
              <w:t>921</w:t>
            </w:r>
          </w:p>
        </w:tc>
        <w:tc>
          <w:tcPr>
            <w:tcW w:w="0" w:type="auto"/>
            <w:shd w:val="clear" w:color="auto" w:fill="FFFFFF"/>
            <w:vAlign w:val="center"/>
          </w:tcPr>
          <w:p w:rsidR="00763A3D" w:rsidRDefault="00763A3D">
            <w:r>
              <w:t>861</w:t>
            </w:r>
          </w:p>
        </w:tc>
      </w:tr>
    </w:tbl>
    <w:p w:rsidR="00763A3D" w:rsidRDefault="00763A3D" w:rsidP="00763A3D">
      <w:r>
        <w:br/>
      </w:r>
      <w:r>
        <w:rPr>
          <w:vertAlign w:val="superscript"/>
        </w:rPr>
        <w:t>*</w:t>
      </w:r>
      <w:r>
        <w:t xml:space="preserve">С </w:t>
      </w:r>
      <w:smartTag w:uri="urn:schemas-microsoft-com:office:smarttags" w:element="metricconverter">
        <w:smartTagPr>
          <w:attr w:name="ProductID" w:val="1998 г"/>
        </w:smartTagPr>
        <w:r>
          <w:t>1998 г</w:t>
        </w:r>
      </w:smartTag>
      <w:r>
        <w:t xml:space="preserve">. - млрд руб. </w:t>
      </w:r>
    </w:p>
    <w:p w:rsidR="00763A3D" w:rsidRDefault="00763A3D" w:rsidP="00763A3D">
      <w:pPr>
        <w:pStyle w:val="a3"/>
      </w:pPr>
      <w:r>
        <w:t>Основным показателем, свидетельствующим о снижении эффективности деятельности промышленных предприятий в РФ, является динамика снижения производства продукции по отраслям промышленности, которая приведена в табл. 1.4.</w:t>
      </w:r>
    </w:p>
    <w:p w:rsidR="00763A3D" w:rsidRDefault="00763A3D" w:rsidP="00763A3D">
      <w:pPr>
        <w:pStyle w:val="a3"/>
      </w:pPr>
      <w:r>
        <w:t>Анализ табл. 1.2 позволяет сделать вывод о том, что удельный вес убыточных предприятий промышленности РФ составляет почти 50%. Несмотря на то, что газовая промышленность является одной из отраслей топливной промышленности, являющейся наиболее "благополучной", удельный вес убыточных предприятий в газовой промышленности достигает 25% от общего числа предприятий газовой промышленности. В этот же период, как показывает анализ табл. 1.3, резко возросла кредиторская и дебиторская задолженность предприятий промышленности РФ, что, с одной стороны, является следствием нарастания трудностей в финансовом состоянии предприятий всех отраслей экономики, а с другой - обусловливает снижение внутреннего платежеспособного спроса на продукцию промышленных предприятий.</w:t>
      </w:r>
    </w:p>
    <w:p w:rsidR="00763A3D" w:rsidRDefault="00763A3D" w:rsidP="00763A3D">
      <w:pPr>
        <w:pStyle w:val="a3"/>
      </w:pPr>
      <w:r>
        <w:rPr>
          <w:b/>
          <w:bCs/>
        </w:rPr>
        <w:t xml:space="preserve">Таблица 1.4 </w:t>
      </w:r>
      <w:r>
        <w:rPr>
          <w:b/>
          <w:bCs/>
        </w:rPr>
        <w:br/>
        <w:t xml:space="preserve">Снижение производства продукции в РФ в </w:t>
      </w:r>
      <w:smartTag w:uri="urn:schemas-microsoft-com:office:smarttags" w:element="metricconverter">
        <w:smartTagPr>
          <w:attr w:name="ProductID" w:val="2001 г"/>
        </w:smartTagPr>
        <w:r>
          <w:rPr>
            <w:b/>
            <w:bCs/>
          </w:rPr>
          <w:t>2001 г</w:t>
        </w:r>
      </w:smartTag>
      <w:r>
        <w:rPr>
          <w:b/>
          <w:bCs/>
        </w:rPr>
        <w:t xml:space="preserve">. в процентах к </w:t>
      </w:r>
      <w:smartTag w:uri="urn:schemas-microsoft-com:office:smarttags" w:element="metricconverter">
        <w:smartTagPr>
          <w:attr w:name="ProductID" w:val="1992 г"/>
        </w:smartTagPr>
        <w:r>
          <w:rPr>
            <w:b/>
            <w:bCs/>
          </w:rPr>
          <w:t>1992 г</w:t>
        </w:r>
      </w:smartTag>
      <w:r>
        <w:rPr>
          <w:b/>
          <w:bCs/>
        </w:rPr>
        <w:t>.</w:t>
      </w:r>
    </w:p>
    <w:tbl>
      <w:tblPr>
        <w:tblW w:w="5000" w:type="pct"/>
        <w:tblCellSpacing w:w="7" w:type="dxa"/>
        <w:shd w:val="clear" w:color="auto" w:fill="4F8CD0"/>
        <w:tblCellMar>
          <w:top w:w="30" w:type="dxa"/>
          <w:left w:w="30" w:type="dxa"/>
          <w:bottom w:w="30" w:type="dxa"/>
          <w:right w:w="30" w:type="dxa"/>
        </w:tblCellMar>
        <w:tblLook w:val="0000" w:firstRow="0" w:lastRow="0" w:firstColumn="0" w:lastColumn="0" w:noHBand="0" w:noVBand="0"/>
      </w:tblPr>
      <w:tblGrid>
        <w:gridCol w:w="5041"/>
        <w:gridCol w:w="4402"/>
      </w:tblGrid>
      <w:tr w:rsidR="00763A3D">
        <w:trPr>
          <w:tblCellSpacing w:w="7" w:type="dxa"/>
        </w:trPr>
        <w:tc>
          <w:tcPr>
            <w:tcW w:w="0" w:type="auto"/>
            <w:shd w:val="clear" w:color="auto" w:fill="4F8CD0"/>
            <w:vAlign w:val="center"/>
          </w:tcPr>
          <w:p w:rsidR="00763A3D" w:rsidRDefault="00763A3D">
            <w:r>
              <w:t>Отрасль/подотрасль</w:t>
            </w:r>
          </w:p>
        </w:tc>
        <w:tc>
          <w:tcPr>
            <w:tcW w:w="0" w:type="auto"/>
            <w:shd w:val="clear" w:color="auto" w:fill="4F8CD0"/>
            <w:vAlign w:val="center"/>
          </w:tcPr>
          <w:p w:rsidR="00763A3D" w:rsidRDefault="00763A3D">
            <w:r>
              <w:t>Процент снижения производства продукции</w:t>
            </w:r>
          </w:p>
        </w:tc>
      </w:tr>
      <w:tr w:rsidR="00763A3D">
        <w:trPr>
          <w:tblCellSpacing w:w="7" w:type="dxa"/>
        </w:trPr>
        <w:tc>
          <w:tcPr>
            <w:tcW w:w="0" w:type="auto"/>
            <w:shd w:val="clear" w:color="auto" w:fill="FFFFFF"/>
            <w:vAlign w:val="center"/>
          </w:tcPr>
          <w:p w:rsidR="00763A3D" w:rsidRDefault="00763A3D">
            <w:r>
              <w:t>Промышленность</w:t>
            </w:r>
          </w:p>
        </w:tc>
        <w:tc>
          <w:tcPr>
            <w:tcW w:w="0" w:type="auto"/>
            <w:shd w:val="clear" w:color="auto" w:fill="FFFFFF"/>
            <w:vAlign w:val="center"/>
          </w:tcPr>
          <w:p w:rsidR="00763A3D" w:rsidRDefault="00763A3D">
            <w:r>
              <w:t>42</w:t>
            </w:r>
          </w:p>
        </w:tc>
      </w:tr>
      <w:tr w:rsidR="00763A3D">
        <w:trPr>
          <w:tblCellSpacing w:w="7" w:type="dxa"/>
        </w:trPr>
        <w:tc>
          <w:tcPr>
            <w:tcW w:w="0" w:type="auto"/>
            <w:shd w:val="clear" w:color="auto" w:fill="FFFFFF"/>
            <w:vAlign w:val="center"/>
          </w:tcPr>
          <w:p w:rsidR="00763A3D" w:rsidRDefault="00763A3D">
            <w:r>
              <w:t>Топливно-энергетический комплекс</w:t>
            </w:r>
          </w:p>
        </w:tc>
        <w:tc>
          <w:tcPr>
            <w:tcW w:w="0" w:type="auto"/>
            <w:shd w:val="clear" w:color="auto" w:fill="FFFFFF"/>
            <w:vAlign w:val="center"/>
          </w:tcPr>
          <w:p w:rsidR="00763A3D" w:rsidRDefault="00763A3D">
            <w:r>
              <w:t>65</w:t>
            </w:r>
          </w:p>
        </w:tc>
      </w:tr>
      <w:tr w:rsidR="00763A3D">
        <w:trPr>
          <w:tblCellSpacing w:w="7" w:type="dxa"/>
        </w:trPr>
        <w:tc>
          <w:tcPr>
            <w:tcW w:w="0" w:type="auto"/>
            <w:shd w:val="clear" w:color="auto" w:fill="FFFFFF"/>
            <w:vAlign w:val="center"/>
          </w:tcPr>
          <w:p w:rsidR="00763A3D" w:rsidRDefault="00763A3D">
            <w:r>
              <w:t>Электроэнергетика</w:t>
            </w:r>
          </w:p>
        </w:tc>
        <w:tc>
          <w:tcPr>
            <w:tcW w:w="0" w:type="auto"/>
            <w:shd w:val="clear" w:color="auto" w:fill="FFFFFF"/>
            <w:vAlign w:val="center"/>
          </w:tcPr>
          <w:p w:rsidR="00763A3D" w:rsidRDefault="00763A3D">
            <w:r>
              <w:t>78</w:t>
            </w:r>
          </w:p>
        </w:tc>
      </w:tr>
      <w:tr w:rsidR="00763A3D">
        <w:trPr>
          <w:tblCellSpacing w:w="7" w:type="dxa"/>
        </w:trPr>
        <w:tc>
          <w:tcPr>
            <w:tcW w:w="0" w:type="auto"/>
            <w:shd w:val="clear" w:color="auto" w:fill="FFFFFF"/>
            <w:vAlign w:val="center"/>
          </w:tcPr>
          <w:p w:rsidR="00763A3D" w:rsidRDefault="00763A3D">
            <w:r>
              <w:t>Нефтедобывающая промышленность</w:t>
            </w:r>
          </w:p>
        </w:tc>
        <w:tc>
          <w:tcPr>
            <w:tcW w:w="0" w:type="auto"/>
            <w:shd w:val="clear" w:color="auto" w:fill="FFFFFF"/>
            <w:vAlign w:val="center"/>
          </w:tcPr>
          <w:p w:rsidR="00763A3D" w:rsidRDefault="00763A3D">
            <w:r>
              <w:t>54</w:t>
            </w:r>
          </w:p>
        </w:tc>
      </w:tr>
      <w:tr w:rsidR="00763A3D">
        <w:trPr>
          <w:tblCellSpacing w:w="7" w:type="dxa"/>
        </w:trPr>
        <w:tc>
          <w:tcPr>
            <w:tcW w:w="0" w:type="auto"/>
            <w:shd w:val="clear" w:color="auto" w:fill="FFFFFF"/>
            <w:vAlign w:val="center"/>
          </w:tcPr>
          <w:p w:rsidR="00763A3D" w:rsidRDefault="00763A3D">
            <w:r>
              <w:t>Нефтеперерабатывающая промышленность</w:t>
            </w:r>
          </w:p>
        </w:tc>
        <w:tc>
          <w:tcPr>
            <w:tcW w:w="0" w:type="auto"/>
            <w:shd w:val="clear" w:color="auto" w:fill="FFFFFF"/>
            <w:vAlign w:val="center"/>
          </w:tcPr>
          <w:p w:rsidR="00763A3D" w:rsidRDefault="00763A3D">
            <w:r>
              <w:t>60</w:t>
            </w:r>
          </w:p>
        </w:tc>
      </w:tr>
      <w:tr w:rsidR="00763A3D">
        <w:trPr>
          <w:tblCellSpacing w:w="7" w:type="dxa"/>
        </w:trPr>
        <w:tc>
          <w:tcPr>
            <w:tcW w:w="0" w:type="auto"/>
            <w:shd w:val="clear" w:color="auto" w:fill="FFFFFF"/>
            <w:vAlign w:val="center"/>
          </w:tcPr>
          <w:p w:rsidR="00763A3D" w:rsidRDefault="00763A3D">
            <w:r>
              <w:t>Газовая промышленность</w:t>
            </w:r>
          </w:p>
        </w:tc>
        <w:tc>
          <w:tcPr>
            <w:tcW w:w="0" w:type="auto"/>
            <w:shd w:val="clear" w:color="auto" w:fill="FFFFFF"/>
            <w:vAlign w:val="center"/>
          </w:tcPr>
          <w:p w:rsidR="00763A3D" w:rsidRDefault="00763A3D">
            <w:r>
              <w:t>69</w:t>
            </w:r>
          </w:p>
        </w:tc>
      </w:tr>
      <w:tr w:rsidR="00763A3D">
        <w:trPr>
          <w:tblCellSpacing w:w="7" w:type="dxa"/>
        </w:trPr>
        <w:tc>
          <w:tcPr>
            <w:tcW w:w="0" w:type="auto"/>
            <w:shd w:val="clear" w:color="auto" w:fill="FFFFFF"/>
            <w:vAlign w:val="center"/>
          </w:tcPr>
          <w:p w:rsidR="00763A3D" w:rsidRDefault="00763A3D">
            <w:r>
              <w:t>Угольная промышленность</w:t>
            </w:r>
          </w:p>
        </w:tc>
        <w:tc>
          <w:tcPr>
            <w:tcW w:w="0" w:type="auto"/>
            <w:shd w:val="clear" w:color="auto" w:fill="FFFFFF"/>
            <w:vAlign w:val="center"/>
          </w:tcPr>
          <w:p w:rsidR="00763A3D" w:rsidRDefault="00763A3D">
            <w:r>
              <w:t>59</w:t>
            </w:r>
          </w:p>
        </w:tc>
      </w:tr>
      <w:tr w:rsidR="00763A3D">
        <w:trPr>
          <w:tblCellSpacing w:w="7" w:type="dxa"/>
        </w:trPr>
        <w:tc>
          <w:tcPr>
            <w:tcW w:w="0" w:type="auto"/>
            <w:shd w:val="clear" w:color="auto" w:fill="FFFFFF"/>
            <w:vAlign w:val="center"/>
          </w:tcPr>
          <w:p w:rsidR="00763A3D" w:rsidRDefault="00763A3D">
            <w:r>
              <w:t>Цветная металлургия</w:t>
            </w:r>
          </w:p>
        </w:tc>
        <w:tc>
          <w:tcPr>
            <w:tcW w:w="0" w:type="auto"/>
            <w:shd w:val="clear" w:color="auto" w:fill="FFFFFF"/>
            <w:vAlign w:val="center"/>
          </w:tcPr>
          <w:p w:rsidR="00763A3D" w:rsidRDefault="00763A3D">
            <w:r>
              <w:t>93</w:t>
            </w:r>
          </w:p>
        </w:tc>
      </w:tr>
      <w:tr w:rsidR="00763A3D">
        <w:trPr>
          <w:tblCellSpacing w:w="7" w:type="dxa"/>
        </w:trPr>
        <w:tc>
          <w:tcPr>
            <w:tcW w:w="0" w:type="auto"/>
            <w:shd w:val="clear" w:color="auto" w:fill="FFFFFF"/>
            <w:vAlign w:val="center"/>
          </w:tcPr>
          <w:p w:rsidR="00763A3D" w:rsidRDefault="00763A3D">
            <w:r>
              <w:t>Машиностроение</w:t>
            </w:r>
          </w:p>
        </w:tc>
        <w:tc>
          <w:tcPr>
            <w:tcW w:w="0" w:type="auto"/>
            <w:shd w:val="clear" w:color="auto" w:fill="FFFFFF"/>
            <w:vAlign w:val="center"/>
          </w:tcPr>
          <w:p w:rsidR="00763A3D" w:rsidRDefault="00763A3D">
            <w:r>
              <w:t>30</w:t>
            </w:r>
          </w:p>
        </w:tc>
      </w:tr>
      <w:tr w:rsidR="00763A3D">
        <w:trPr>
          <w:tblCellSpacing w:w="7" w:type="dxa"/>
        </w:trPr>
        <w:tc>
          <w:tcPr>
            <w:tcW w:w="0" w:type="auto"/>
            <w:shd w:val="clear" w:color="auto" w:fill="FFFFFF"/>
            <w:vAlign w:val="center"/>
          </w:tcPr>
          <w:p w:rsidR="00763A3D" w:rsidRDefault="00763A3D">
            <w:r>
              <w:t>Химическая и нефтехимическая промышленность</w:t>
            </w:r>
          </w:p>
        </w:tc>
        <w:tc>
          <w:tcPr>
            <w:tcW w:w="0" w:type="auto"/>
            <w:shd w:val="clear" w:color="auto" w:fill="FFFFFF"/>
            <w:vAlign w:val="center"/>
          </w:tcPr>
          <w:p w:rsidR="00763A3D" w:rsidRDefault="00763A3D">
            <w:r>
              <w:t>44</w:t>
            </w:r>
          </w:p>
        </w:tc>
      </w:tr>
      <w:tr w:rsidR="00763A3D">
        <w:trPr>
          <w:tblCellSpacing w:w="7" w:type="dxa"/>
        </w:trPr>
        <w:tc>
          <w:tcPr>
            <w:tcW w:w="0" w:type="auto"/>
            <w:shd w:val="clear" w:color="auto" w:fill="FFFFFF"/>
            <w:vAlign w:val="center"/>
          </w:tcPr>
          <w:p w:rsidR="00763A3D" w:rsidRDefault="00763A3D">
            <w:r>
              <w:t>Промышленность строительных материалов</w:t>
            </w:r>
          </w:p>
        </w:tc>
        <w:tc>
          <w:tcPr>
            <w:tcW w:w="0" w:type="auto"/>
            <w:shd w:val="clear" w:color="auto" w:fill="FFFFFF"/>
            <w:vAlign w:val="center"/>
          </w:tcPr>
          <w:p w:rsidR="00763A3D" w:rsidRDefault="00763A3D">
            <w:r>
              <w:t>26</w:t>
            </w:r>
          </w:p>
        </w:tc>
      </w:tr>
      <w:tr w:rsidR="00763A3D">
        <w:trPr>
          <w:tblCellSpacing w:w="7" w:type="dxa"/>
        </w:trPr>
        <w:tc>
          <w:tcPr>
            <w:tcW w:w="0" w:type="auto"/>
            <w:shd w:val="clear" w:color="auto" w:fill="FFFFFF"/>
            <w:vAlign w:val="center"/>
          </w:tcPr>
          <w:p w:rsidR="00763A3D" w:rsidRDefault="00763A3D">
            <w:r>
              <w:t>Пищевая промышленность</w:t>
            </w:r>
          </w:p>
        </w:tc>
        <w:tc>
          <w:tcPr>
            <w:tcW w:w="0" w:type="auto"/>
            <w:shd w:val="clear" w:color="auto" w:fill="FFFFFF"/>
            <w:vAlign w:val="center"/>
          </w:tcPr>
          <w:p w:rsidR="00763A3D" w:rsidRDefault="00763A3D">
            <w:r>
              <w:t>36</w:t>
            </w:r>
          </w:p>
        </w:tc>
      </w:tr>
      <w:tr w:rsidR="00763A3D">
        <w:trPr>
          <w:tblCellSpacing w:w="7" w:type="dxa"/>
        </w:trPr>
        <w:tc>
          <w:tcPr>
            <w:tcW w:w="0" w:type="auto"/>
            <w:shd w:val="clear" w:color="auto" w:fill="FFFFFF"/>
            <w:vAlign w:val="center"/>
          </w:tcPr>
          <w:p w:rsidR="00763A3D" w:rsidRDefault="00763A3D">
            <w:r>
              <w:t>Лёгкая промышленность</w:t>
            </w:r>
          </w:p>
        </w:tc>
        <w:tc>
          <w:tcPr>
            <w:tcW w:w="0" w:type="auto"/>
            <w:shd w:val="clear" w:color="auto" w:fill="FFFFFF"/>
            <w:vAlign w:val="center"/>
          </w:tcPr>
          <w:p w:rsidR="00763A3D" w:rsidRDefault="00763A3D">
            <w:r>
              <w:t>12</w:t>
            </w:r>
          </w:p>
        </w:tc>
      </w:tr>
    </w:tbl>
    <w:p w:rsidR="00763A3D" w:rsidRDefault="00763A3D" w:rsidP="00763A3D">
      <w:pPr>
        <w:pStyle w:val="a3"/>
      </w:pPr>
      <w:r>
        <w:t xml:space="preserve">Источник: </w:t>
      </w:r>
      <w:hyperlink r:id="rId4" w:history="1">
        <w:r>
          <w:rPr>
            <w:rStyle w:val="a4"/>
          </w:rPr>
          <w:t>www.statistics.mck.ru</w:t>
        </w:r>
      </w:hyperlink>
      <w:r>
        <w:t xml:space="preserve"> </w:t>
      </w:r>
    </w:p>
    <w:p w:rsidR="00763A3D" w:rsidRDefault="00763A3D" w:rsidP="00763A3D">
      <w:pPr>
        <w:pStyle w:val="a3"/>
      </w:pPr>
      <w:r>
        <w:t>Анализ данных табл. 1.3 позволяет сделать вывод о том, что стабильное положение сохранялось в электроэнергетике и цветной металлургии. В наиболее сложном финансовом положении среди отраслей промышленности оказалась легкая промышленность. Такая ситуация сложилась из-за высокой доли импорта продукции данного вида на российском рынке и из-за повышения цен на сырье, что привело к проблеме сбыта продукции предприятиями легкой промышленности.</w:t>
      </w:r>
    </w:p>
    <w:p w:rsidR="00763A3D" w:rsidRDefault="00763A3D" w:rsidP="00763A3D">
      <w:pPr>
        <w:pStyle w:val="a3"/>
      </w:pPr>
      <w:r>
        <w:t>Нестабильное положение российской промышленности подтверждает и динамика валового внутреннего продукта РФ (ВВП).</w:t>
      </w:r>
    </w:p>
    <w:p w:rsidR="00763A3D" w:rsidRDefault="00763A3D" w:rsidP="00763A3D">
      <w:pPr>
        <w:pStyle w:val="a3"/>
      </w:pPr>
      <w:r>
        <w:t xml:space="preserve">По данным Государственного комитета статистики, объем </w:t>
      </w:r>
      <w:r>
        <w:rPr>
          <w:b/>
          <w:bCs/>
        </w:rPr>
        <w:t>валового внутреннего продукта</w:t>
      </w:r>
      <w:r>
        <w:t xml:space="preserve"> за январь </w:t>
      </w:r>
      <w:smartTag w:uri="urn:schemas-microsoft-com:office:smarttags" w:element="metricconverter">
        <w:smartTagPr>
          <w:attr w:name="ProductID" w:val="2001 г"/>
        </w:smartTagPr>
        <w:r>
          <w:t>2001 г</w:t>
        </w:r>
      </w:smartTag>
      <w:r>
        <w:t xml:space="preserve">. составил в текущих ценах 966,7 млрд. руб. По сравнению с соответствующим периодом </w:t>
      </w:r>
      <w:smartTag w:uri="urn:schemas-microsoft-com:office:smarttags" w:element="metricconverter">
        <w:smartTagPr>
          <w:attr w:name="ProductID" w:val="2000 г"/>
        </w:smartTagPr>
        <w:r>
          <w:t>2000 г</w:t>
        </w:r>
      </w:smartTag>
      <w:r>
        <w:t xml:space="preserve">. его объем в сопоставимых ценах увеличился на 2%. Темп роста ВВП в январе </w:t>
      </w:r>
      <w:smartTag w:uri="urn:schemas-microsoft-com:office:smarttags" w:element="metricconverter">
        <w:smartTagPr>
          <w:attr w:name="ProductID" w:val="2000 г"/>
        </w:smartTagPr>
        <w:r>
          <w:t>2000 г</w:t>
        </w:r>
      </w:smartTag>
      <w:r>
        <w:t xml:space="preserve">. по отношению к январю </w:t>
      </w:r>
      <w:smartTag w:uri="urn:schemas-microsoft-com:office:smarttags" w:element="metricconverter">
        <w:smartTagPr>
          <w:attr w:name="ProductID" w:val="1999 г"/>
        </w:smartTagPr>
        <w:r>
          <w:t>1999 г</w:t>
        </w:r>
      </w:smartTag>
      <w:r>
        <w:t>. составлял 105%.</w:t>
      </w:r>
    </w:p>
    <w:p w:rsidR="00763A3D" w:rsidRDefault="00763A3D" w:rsidP="00763A3D">
      <w:pPr>
        <w:pStyle w:val="a3"/>
      </w:pPr>
      <w:r>
        <w:t xml:space="preserve">В январе 2001 года отмечено замедление экономического развития страны по сравнению с началом </w:t>
      </w:r>
      <w:smartTag w:uri="urn:schemas-microsoft-com:office:smarttags" w:element="metricconverter">
        <w:smartTagPr>
          <w:attr w:name="ProductID" w:val="2000 г"/>
        </w:smartTagPr>
        <w:r>
          <w:t>2000 г</w:t>
        </w:r>
      </w:smartTag>
      <w:r>
        <w:t xml:space="preserve">. Темпы роста основных макроэкономических показателей несколько ниже уровня января </w:t>
      </w:r>
      <w:smartTag w:uri="urn:schemas-microsoft-com:office:smarttags" w:element="metricconverter">
        <w:smartTagPr>
          <w:attr w:name="ProductID" w:val="2000 г"/>
        </w:smartTagPr>
        <w:r>
          <w:t>2000 г</w:t>
        </w:r>
      </w:smartTag>
      <w:r>
        <w:t>., что показано на рис. 1.1.</w:t>
      </w:r>
    </w:p>
    <w:tbl>
      <w:tblPr>
        <w:tblW w:w="1000" w:type="pct"/>
        <w:jc w:val="center"/>
        <w:tblCellSpacing w:w="0" w:type="dxa"/>
        <w:tblCellMar>
          <w:top w:w="75" w:type="dxa"/>
          <w:left w:w="75" w:type="dxa"/>
          <w:bottom w:w="75" w:type="dxa"/>
          <w:right w:w="75" w:type="dxa"/>
        </w:tblCellMar>
        <w:tblLook w:val="0000" w:firstRow="0" w:lastRow="0" w:firstColumn="0" w:lastColumn="0" w:noHBand="0" w:noVBand="0"/>
      </w:tblPr>
      <w:tblGrid>
        <w:gridCol w:w="7005"/>
      </w:tblGrid>
      <w:tr w:rsidR="00763A3D">
        <w:trPr>
          <w:tblCellSpacing w:w="0" w:type="dxa"/>
          <w:jc w:val="center"/>
        </w:trPr>
        <w:tc>
          <w:tcPr>
            <w:tcW w:w="0" w:type="auto"/>
            <w:vAlign w:val="center"/>
          </w:tcPr>
          <w:p w:rsidR="00763A3D" w:rsidRDefault="00763A3D">
            <w:r>
              <w:rPr>
                <w:rStyle w:val="a5"/>
              </w:rPr>
              <w:t xml:space="preserve">Рис. 1.1 Изменение основных показателей развития экономики в % к соответствующему периоду предыдущего года (экспорт и импорт - январь-декабрь </w:t>
            </w:r>
            <w:smartTag w:uri="urn:schemas-microsoft-com:office:smarttags" w:element="metricconverter">
              <w:smartTagPr>
                <w:attr w:name="ProductID" w:val="2001 г"/>
              </w:smartTagPr>
              <w:r>
                <w:rPr>
                  <w:rStyle w:val="a5"/>
                </w:rPr>
                <w:t>2001 г</w:t>
              </w:r>
            </w:smartTag>
            <w:r>
              <w:rPr>
                <w:rStyle w:val="a5"/>
              </w:rPr>
              <w:t xml:space="preserve">. к январю-декабрю </w:t>
            </w:r>
            <w:smartTag w:uri="urn:schemas-microsoft-com:office:smarttags" w:element="metricconverter">
              <w:smartTagPr>
                <w:attr w:name="ProductID" w:val="2000 г"/>
              </w:smartTagPr>
              <w:r>
                <w:rPr>
                  <w:rStyle w:val="a5"/>
                </w:rPr>
                <w:t>2000 г</w:t>
              </w:r>
            </w:smartTag>
            <w:r>
              <w:rPr>
                <w:rStyle w:val="a5"/>
              </w:rPr>
              <w:t xml:space="preserve">. и январь-декабрь </w:t>
            </w:r>
            <w:smartTag w:uri="urn:schemas-microsoft-com:office:smarttags" w:element="metricconverter">
              <w:smartTagPr>
                <w:attr w:name="ProductID" w:val="2000 г"/>
              </w:smartTagPr>
              <w:r>
                <w:rPr>
                  <w:rStyle w:val="a5"/>
                </w:rPr>
                <w:t>2000 г</w:t>
              </w:r>
            </w:smartTag>
            <w:r>
              <w:rPr>
                <w:rStyle w:val="a5"/>
              </w:rPr>
              <w:t xml:space="preserve">. к январю-декабрю </w:t>
            </w:r>
            <w:smartTag w:uri="urn:schemas-microsoft-com:office:smarttags" w:element="metricconverter">
              <w:smartTagPr>
                <w:attr w:name="ProductID" w:val="1999 г"/>
              </w:smartTagPr>
              <w:r>
                <w:rPr>
                  <w:rStyle w:val="a5"/>
                </w:rPr>
                <w:t>1999 г</w:t>
              </w:r>
            </w:smartTag>
            <w:r>
              <w:rPr>
                <w:rStyle w:val="a5"/>
              </w:rPr>
              <w:t>.)</w:t>
            </w:r>
          </w:p>
        </w:tc>
      </w:tr>
      <w:tr w:rsidR="00763A3D">
        <w:trPr>
          <w:tblCellSpacing w:w="0" w:type="dxa"/>
          <w:jc w:val="center"/>
        </w:trPr>
        <w:tc>
          <w:tcPr>
            <w:tcW w:w="0" w:type="auto"/>
            <w:vAlign w:val="center"/>
          </w:tcPr>
          <w:p w:rsidR="00763A3D" w:rsidRDefault="000868F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42.75pt;height:188.25pt">
                  <v:imagedata r:id="rId5" o:title=""/>
                </v:shape>
              </w:pict>
            </w:r>
          </w:p>
        </w:tc>
      </w:tr>
      <w:tr w:rsidR="00763A3D">
        <w:trPr>
          <w:tblCellSpacing w:w="0" w:type="dxa"/>
          <w:jc w:val="center"/>
        </w:trPr>
        <w:tc>
          <w:tcPr>
            <w:tcW w:w="0" w:type="auto"/>
            <w:vAlign w:val="center"/>
          </w:tcPr>
          <w:p w:rsidR="00763A3D" w:rsidRDefault="00763A3D"/>
        </w:tc>
      </w:tr>
    </w:tbl>
    <w:p w:rsidR="00763A3D" w:rsidRDefault="00763A3D" w:rsidP="00763A3D">
      <w:pPr>
        <w:pStyle w:val="a3"/>
      </w:pPr>
      <w:r>
        <w:t xml:space="preserve">Анализ данных, отраженных на рис. 1.1, показывает, что промышленной продукции (работ, услуг) в </w:t>
      </w:r>
      <w:smartTag w:uri="urn:schemas-microsoft-com:office:smarttags" w:element="metricconverter">
        <w:smartTagPr>
          <w:attr w:name="ProductID" w:val="2001 г"/>
        </w:smartTagPr>
        <w:r>
          <w:t>2001 г</w:t>
        </w:r>
      </w:smartTag>
      <w:r>
        <w:t xml:space="preserve">. произведено на сумму 11280 млрд. руб., что составило 103,7% к соответствующему периоду </w:t>
      </w:r>
      <w:smartTag w:uri="urn:schemas-microsoft-com:office:smarttags" w:element="metricconverter">
        <w:smartTagPr>
          <w:attr w:name="ProductID" w:val="2000 г"/>
        </w:smartTagPr>
        <w:r>
          <w:t>2000 г</w:t>
        </w:r>
      </w:smartTag>
      <w:r>
        <w:t>. Снижение объемов производства наблюдалось в химической и нефтехимической промышленности (8%), электроэнергетике (7,4%) и легкой промышленности (1,4%).</w:t>
      </w:r>
    </w:p>
    <w:p w:rsidR="00763A3D" w:rsidRDefault="00763A3D" w:rsidP="00763A3D">
      <w:pPr>
        <w:pStyle w:val="a3"/>
      </w:pPr>
      <w:r>
        <w:t xml:space="preserve">Нестабильное функционирование российских промышленных предприятий, по нашему мнению, объясняется рядом факторов, к внешним из которых относятся: </w:t>
      </w:r>
    </w:p>
    <w:p w:rsidR="00763A3D" w:rsidRDefault="00763A3D" w:rsidP="00763A3D">
      <w:pPr>
        <w:ind w:left="720"/>
      </w:pPr>
      <w:r>
        <w:t xml:space="preserve">1. Уровень инвестиций в промышленное производство; </w:t>
      </w:r>
    </w:p>
    <w:p w:rsidR="00763A3D" w:rsidRDefault="00763A3D" w:rsidP="00763A3D">
      <w:pPr>
        <w:ind w:left="720"/>
      </w:pPr>
      <w:r>
        <w:t xml:space="preserve">2. Уровень неплатежей в экономике РФ; </w:t>
      </w:r>
    </w:p>
    <w:p w:rsidR="00763A3D" w:rsidRDefault="00763A3D" w:rsidP="00763A3D">
      <w:pPr>
        <w:ind w:left="720"/>
      </w:pPr>
      <w:r>
        <w:t xml:space="preserve">3. Уровень инфляции в РФ; </w:t>
      </w:r>
    </w:p>
    <w:p w:rsidR="00763A3D" w:rsidRDefault="00763A3D" w:rsidP="00763A3D">
      <w:pPr>
        <w:ind w:left="720"/>
      </w:pPr>
      <w:r>
        <w:t xml:space="preserve">4. Изменения налогового законодательства в РФ; </w:t>
      </w:r>
    </w:p>
    <w:p w:rsidR="00763A3D" w:rsidRDefault="00763A3D" w:rsidP="00763A3D">
      <w:pPr>
        <w:ind w:left="720"/>
      </w:pPr>
      <w:r>
        <w:t xml:space="preserve">5. Изменение курсов валют; </w:t>
      </w:r>
    </w:p>
    <w:p w:rsidR="00763A3D" w:rsidRDefault="00763A3D" w:rsidP="00763A3D">
      <w:pPr>
        <w:ind w:left="720"/>
      </w:pPr>
      <w:r>
        <w:t>6. Снижение платежеспособности населения.</w:t>
      </w:r>
    </w:p>
    <w:p w:rsidR="00763A3D" w:rsidRDefault="00763A3D" w:rsidP="00763A3D">
      <w:pPr>
        <w:pStyle w:val="a3"/>
        <w:ind w:left="720"/>
      </w:pPr>
      <w:r>
        <w:t>Первый фактор кратко можно охарактеризовать следующим образом.</w:t>
      </w:r>
    </w:p>
    <w:p w:rsidR="00763A3D" w:rsidRDefault="00763A3D" w:rsidP="00763A3D">
      <w:pPr>
        <w:pStyle w:val="a3"/>
        <w:ind w:left="720"/>
      </w:pPr>
      <w:r>
        <w:t>До финансового и банковского кризиса, массового снятия денег со счетов банков и перевода свободных средств в доллары "на руках" у населения находилось, по экспертным оценкам, до 60 млрд. долл. Однако кризис в 1998 году привел к нежеланию населения доверять свои сбережения банкам и другим финансовым институтам. Поэтому мобилизовать их для вложения в реальный сектор экономики через банки, паевые инвестиционные и негосударственные пенсионные фонды или страховые компании было невозможно. Данная тенденция сохраняется и сегодня.</w:t>
      </w:r>
    </w:p>
    <w:p w:rsidR="00763A3D" w:rsidRDefault="00763A3D" w:rsidP="00763A3D">
      <w:pPr>
        <w:pStyle w:val="a3"/>
        <w:ind w:left="720"/>
      </w:pPr>
      <w:r>
        <w:t>Расходы в консолидированном бюджете РФ на государственные инвестиции в 2000 году составили 55,8 млрд. руб. (включая погашение задолженности бюджета за ранее выполненный, но еще не оплаченный госзаказ), или лишь 3% бюджетных расходов. Для сравнения: на обслуживание государственного долга даже после его реструктуризации предстоит затратить втрое больше средств. Все еще низкий объем налоговых поступлений, растущие обязательства перед бюджетной и социальной сферой, перед внешними кредиторами постоянно подталкивают власти к тому, чтобы отказываться от инвестиционных расходов, направляя высвобождающиеся средства на выплату заработной платы и пенсий или погашение государственного долга.</w:t>
      </w:r>
    </w:p>
    <w:p w:rsidR="00763A3D" w:rsidRDefault="00763A3D" w:rsidP="00763A3D">
      <w:pPr>
        <w:pStyle w:val="a3"/>
        <w:ind w:left="720"/>
      </w:pPr>
      <w:r>
        <w:t>После резкого падения курса акций российских предприятий, "краха" рынка ГКО в августе 1998 года и предложенных российским правительством условий реструктуризации внутреннего долга, в результате чего иностранные инвесторы потеряли значительную часть своих денег, ожидать от них значительных портфельных инвестиций вряд ли возможно. Об этом свидетельствуют следующие цифры: иностранные инвестиции в РФ составляли в 1997 году 12,3 млрд. долл., в 1998 году -11,8 млрд. долл., в 1999 году - 9,56 млрд. долл., в 2000 году - 9,23 млрд. долл.</w:t>
      </w:r>
    </w:p>
    <w:p w:rsidR="00763A3D" w:rsidRDefault="00763A3D" w:rsidP="00763A3D">
      <w:pPr>
        <w:pStyle w:val="a3"/>
        <w:ind w:left="720"/>
      </w:pPr>
      <w:r>
        <w:t>Одной из главных проблем развития промышленных предприятий в РФ является проблема неплатежей за отгруженную продукцию и оказанные услуги.</w:t>
      </w:r>
    </w:p>
    <w:p w:rsidR="00763A3D" w:rsidRDefault="00763A3D" w:rsidP="00763A3D">
      <w:pPr>
        <w:pStyle w:val="a3"/>
        <w:ind w:left="720"/>
      </w:pPr>
      <w:r>
        <w:t>"В хронической задолженности обследованных предприятий на долги другим предприятиям приходилось 56%, на долги по налогам - 29%, банкам - 8%, работникам предприятий - 7%, т.е. от неплатежей страдали, прежде всего, предприятия и бюджет, ставшие вынужденными кредиторами.</w:t>
      </w:r>
    </w:p>
    <w:p w:rsidR="00763A3D" w:rsidRDefault="00763A3D" w:rsidP="00763A3D">
      <w:pPr>
        <w:pStyle w:val="a3"/>
        <w:ind w:left="720"/>
      </w:pPr>
      <w:r>
        <w:t>В срок до 2 месяцев рассчитывались 5% обследованных предприятий, до 6 месяцев - 51%, от 1,5 до 7,5 лет - 10%. Поскольку предприятие направляет часть выручки на оплату труда и иные текущие расходы, накопленную задолженность невозможно погасить в течение года. Единственный выход - реструктуризировать часть задолженности, то есть перевести ее из текущих обязательств в долгосрочные".</w:t>
      </w:r>
    </w:p>
    <w:p w:rsidR="00763A3D" w:rsidRDefault="00763A3D" w:rsidP="00763A3D">
      <w:pPr>
        <w:pStyle w:val="a3"/>
        <w:ind w:left="720"/>
      </w:pPr>
      <w:r>
        <w:t>Показателем роста неплатежей в промышленности является рост просроченной дебиторской задолженности в составе общей дебиторской задолженности предприятий. Динамика просроченной дебиторской задолженности представлена в табл. 1.5.</w:t>
      </w:r>
    </w:p>
    <w:p w:rsidR="00763A3D" w:rsidRDefault="00763A3D" w:rsidP="00763A3D">
      <w:pPr>
        <w:pStyle w:val="a3"/>
        <w:ind w:left="720"/>
      </w:pPr>
      <w:r>
        <w:t>Анализ данных табл. 1.5 позволяет сделать вывод о том, что просроченная дебиторская задолженность имеет динамику роста. Данная тенденция приводит не только к отвлечению средств из оборота предприятия, но и зачастую - к росту кредиторской задолженности, что может негативно сказаться на платежеспособности предприятия.</w:t>
      </w:r>
    </w:p>
    <w:p w:rsidR="00763A3D" w:rsidRDefault="00763A3D" w:rsidP="00763A3D">
      <w:pPr>
        <w:pStyle w:val="a3"/>
        <w:ind w:left="720"/>
      </w:pPr>
      <w:r>
        <w:rPr>
          <w:b/>
          <w:bCs/>
        </w:rPr>
        <w:t xml:space="preserve">Таблица 1.5 </w:t>
      </w:r>
      <w:r>
        <w:rPr>
          <w:b/>
          <w:bCs/>
        </w:rPr>
        <w:br/>
        <w:t>Просроченная дебиторская задолженность организаций по отраслям экономики РФ в 2001 году (на конец года)</w:t>
      </w:r>
    </w:p>
    <w:tbl>
      <w:tblPr>
        <w:tblW w:w="5000" w:type="pct"/>
        <w:tblCellSpacing w:w="7" w:type="dxa"/>
        <w:tblInd w:w="720" w:type="dxa"/>
        <w:shd w:val="clear" w:color="auto" w:fill="4F8CD0"/>
        <w:tblCellMar>
          <w:top w:w="30" w:type="dxa"/>
          <w:left w:w="30" w:type="dxa"/>
          <w:bottom w:w="30" w:type="dxa"/>
          <w:right w:w="30" w:type="dxa"/>
        </w:tblCellMar>
        <w:tblLook w:val="0000" w:firstRow="0" w:lastRow="0" w:firstColumn="0" w:lastColumn="0" w:noHBand="0" w:noVBand="0"/>
      </w:tblPr>
      <w:tblGrid>
        <w:gridCol w:w="1973"/>
        <w:gridCol w:w="1695"/>
        <w:gridCol w:w="666"/>
        <w:gridCol w:w="1400"/>
        <w:gridCol w:w="1997"/>
        <w:gridCol w:w="1712"/>
      </w:tblGrid>
      <w:tr w:rsidR="00763A3D">
        <w:trPr>
          <w:tblCellSpacing w:w="7" w:type="dxa"/>
        </w:trPr>
        <w:tc>
          <w:tcPr>
            <w:tcW w:w="0" w:type="auto"/>
            <w:vMerge w:val="restart"/>
            <w:shd w:val="clear" w:color="auto" w:fill="FFFFFF"/>
            <w:vAlign w:val="center"/>
          </w:tcPr>
          <w:p w:rsidR="00763A3D" w:rsidRDefault="00763A3D"/>
        </w:tc>
        <w:tc>
          <w:tcPr>
            <w:tcW w:w="0" w:type="auto"/>
            <w:vMerge w:val="restart"/>
            <w:shd w:val="clear" w:color="auto" w:fill="FFFFFF"/>
            <w:vAlign w:val="center"/>
          </w:tcPr>
          <w:p w:rsidR="00763A3D" w:rsidRDefault="00763A3D">
            <w:r>
              <w:t>Просроченная дебиторская задолженность</w:t>
            </w:r>
          </w:p>
        </w:tc>
        <w:tc>
          <w:tcPr>
            <w:tcW w:w="0" w:type="auto"/>
            <w:gridSpan w:val="3"/>
            <w:shd w:val="clear" w:color="auto" w:fill="FFFFFF"/>
            <w:vAlign w:val="center"/>
          </w:tcPr>
          <w:p w:rsidR="00763A3D" w:rsidRDefault="00763A3D">
            <w:r>
              <w:t>В том числе покупателей</w:t>
            </w:r>
          </w:p>
        </w:tc>
        <w:tc>
          <w:tcPr>
            <w:tcW w:w="0" w:type="auto"/>
            <w:vMerge w:val="restart"/>
            <w:shd w:val="clear" w:color="auto" w:fill="FFFFFF"/>
            <w:vAlign w:val="center"/>
          </w:tcPr>
          <w:p w:rsidR="00763A3D" w:rsidRDefault="00763A3D">
            <w:r>
              <w:t>Из общей просроченной задолженности</w:t>
            </w:r>
          </w:p>
        </w:tc>
      </w:tr>
      <w:tr w:rsidR="00763A3D">
        <w:trPr>
          <w:tblCellSpacing w:w="7" w:type="dxa"/>
        </w:trPr>
        <w:tc>
          <w:tcPr>
            <w:tcW w:w="0" w:type="auto"/>
            <w:vMerge/>
            <w:shd w:val="clear" w:color="auto" w:fill="FFFFFF"/>
            <w:vAlign w:val="center"/>
          </w:tcPr>
          <w:p w:rsidR="00763A3D" w:rsidRDefault="00763A3D"/>
        </w:tc>
        <w:tc>
          <w:tcPr>
            <w:tcW w:w="0" w:type="auto"/>
            <w:vMerge/>
            <w:shd w:val="clear" w:color="auto" w:fill="FFFFFF"/>
            <w:vAlign w:val="center"/>
          </w:tcPr>
          <w:p w:rsidR="00763A3D" w:rsidRDefault="00763A3D"/>
        </w:tc>
        <w:tc>
          <w:tcPr>
            <w:tcW w:w="0" w:type="auto"/>
            <w:vMerge w:val="restart"/>
            <w:shd w:val="clear" w:color="auto" w:fill="FFFFFF"/>
            <w:vAlign w:val="center"/>
          </w:tcPr>
          <w:p w:rsidR="00763A3D" w:rsidRDefault="00763A3D">
            <w:r>
              <w:t>Всего</w:t>
            </w:r>
          </w:p>
        </w:tc>
        <w:tc>
          <w:tcPr>
            <w:tcW w:w="0" w:type="auto"/>
            <w:gridSpan w:val="2"/>
            <w:shd w:val="clear" w:color="auto" w:fill="FFFFFF"/>
            <w:vAlign w:val="center"/>
          </w:tcPr>
          <w:p w:rsidR="00763A3D" w:rsidRDefault="00763A3D">
            <w:r>
              <w:t>из неё</w:t>
            </w:r>
          </w:p>
        </w:tc>
        <w:tc>
          <w:tcPr>
            <w:tcW w:w="0" w:type="auto"/>
            <w:vMerge/>
            <w:shd w:val="clear" w:color="auto" w:fill="FFFFFF"/>
            <w:vAlign w:val="center"/>
          </w:tcPr>
          <w:p w:rsidR="00763A3D" w:rsidRDefault="00763A3D"/>
        </w:tc>
      </w:tr>
      <w:tr w:rsidR="00763A3D">
        <w:trPr>
          <w:tblCellSpacing w:w="7" w:type="dxa"/>
        </w:trPr>
        <w:tc>
          <w:tcPr>
            <w:tcW w:w="0" w:type="auto"/>
            <w:vMerge/>
            <w:shd w:val="clear" w:color="auto" w:fill="FFFFFF"/>
            <w:vAlign w:val="center"/>
          </w:tcPr>
          <w:p w:rsidR="00763A3D" w:rsidRDefault="00763A3D"/>
        </w:tc>
        <w:tc>
          <w:tcPr>
            <w:tcW w:w="0" w:type="auto"/>
            <w:vMerge/>
            <w:shd w:val="clear" w:color="auto" w:fill="FFFFFF"/>
            <w:vAlign w:val="center"/>
          </w:tcPr>
          <w:p w:rsidR="00763A3D" w:rsidRDefault="00763A3D"/>
        </w:tc>
        <w:tc>
          <w:tcPr>
            <w:tcW w:w="0" w:type="auto"/>
            <w:vMerge/>
            <w:shd w:val="clear" w:color="auto" w:fill="FFFFFF"/>
            <w:vAlign w:val="center"/>
          </w:tcPr>
          <w:p w:rsidR="00763A3D" w:rsidRDefault="00763A3D"/>
        </w:tc>
        <w:tc>
          <w:tcPr>
            <w:tcW w:w="0" w:type="auto"/>
            <w:shd w:val="clear" w:color="auto" w:fill="FFFFFF"/>
            <w:vAlign w:val="center"/>
          </w:tcPr>
          <w:p w:rsidR="00763A3D" w:rsidRDefault="00763A3D">
            <w:r>
              <w:t>по полученным векселям</w:t>
            </w:r>
          </w:p>
        </w:tc>
        <w:tc>
          <w:tcPr>
            <w:tcW w:w="0" w:type="auto"/>
            <w:shd w:val="clear" w:color="auto" w:fill="FFFFFF"/>
            <w:vAlign w:val="center"/>
          </w:tcPr>
          <w:p w:rsidR="00763A3D" w:rsidRDefault="00763A3D">
            <w:r>
              <w:t>государственных заказчиков по оплате за поставленную продукцию</w:t>
            </w:r>
          </w:p>
        </w:tc>
        <w:tc>
          <w:tcPr>
            <w:tcW w:w="0" w:type="auto"/>
            <w:vMerge/>
            <w:shd w:val="clear" w:color="auto" w:fill="FFFFFF"/>
            <w:vAlign w:val="center"/>
          </w:tcPr>
          <w:p w:rsidR="00763A3D" w:rsidRDefault="00763A3D"/>
        </w:tc>
      </w:tr>
      <w:tr w:rsidR="00763A3D">
        <w:trPr>
          <w:tblCellSpacing w:w="7" w:type="dxa"/>
        </w:trPr>
        <w:tc>
          <w:tcPr>
            <w:tcW w:w="0" w:type="auto"/>
            <w:shd w:val="clear" w:color="auto" w:fill="FFFFFF"/>
            <w:vAlign w:val="center"/>
          </w:tcPr>
          <w:p w:rsidR="00763A3D" w:rsidRDefault="00763A3D">
            <w:r>
              <w:t xml:space="preserve">Всего в экономике </w:t>
            </w:r>
            <w:r>
              <w:br/>
              <w:t>млрд руб.</w:t>
            </w:r>
          </w:p>
        </w:tc>
        <w:tc>
          <w:tcPr>
            <w:tcW w:w="0" w:type="auto"/>
            <w:shd w:val="clear" w:color="auto" w:fill="FFFFFF"/>
            <w:vAlign w:val="center"/>
          </w:tcPr>
          <w:p w:rsidR="00763A3D" w:rsidRDefault="00763A3D">
            <w:r>
              <w:t>815</w:t>
            </w:r>
          </w:p>
        </w:tc>
        <w:tc>
          <w:tcPr>
            <w:tcW w:w="0" w:type="auto"/>
            <w:shd w:val="clear" w:color="auto" w:fill="FFFFFF"/>
            <w:vAlign w:val="center"/>
          </w:tcPr>
          <w:p w:rsidR="00763A3D" w:rsidRDefault="00763A3D">
            <w:r>
              <w:t>669</w:t>
            </w:r>
          </w:p>
        </w:tc>
        <w:tc>
          <w:tcPr>
            <w:tcW w:w="0" w:type="auto"/>
            <w:shd w:val="clear" w:color="auto" w:fill="FFFFFF"/>
            <w:vAlign w:val="center"/>
          </w:tcPr>
          <w:p w:rsidR="00763A3D" w:rsidRDefault="00763A3D">
            <w:r>
              <w:t>7,1</w:t>
            </w:r>
          </w:p>
        </w:tc>
        <w:tc>
          <w:tcPr>
            <w:tcW w:w="0" w:type="auto"/>
            <w:shd w:val="clear" w:color="auto" w:fill="FFFFFF"/>
            <w:vAlign w:val="center"/>
          </w:tcPr>
          <w:p w:rsidR="00763A3D" w:rsidRDefault="00763A3D">
            <w:r>
              <w:t>43,0</w:t>
            </w:r>
          </w:p>
        </w:tc>
        <w:tc>
          <w:tcPr>
            <w:tcW w:w="0" w:type="auto"/>
            <w:shd w:val="clear" w:color="auto" w:fill="FFFFFF"/>
            <w:vAlign w:val="center"/>
          </w:tcPr>
          <w:p w:rsidR="00763A3D" w:rsidRDefault="00763A3D">
            <w:r>
              <w:t>669,0</w:t>
            </w:r>
          </w:p>
        </w:tc>
      </w:tr>
      <w:tr w:rsidR="00763A3D">
        <w:trPr>
          <w:tblCellSpacing w:w="7" w:type="dxa"/>
        </w:trPr>
        <w:tc>
          <w:tcPr>
            <w:tcW w:w="0" w:type="auto"/>
            <w:shd w:val="clear" w:color="auto" w:fill="FFFFFF"/>
            <w:vAlign w:val="center"/>
          </w:tcPr>
          <w:p w:rsidR="00763A3D" w:rsidRDefault="00763A3D">
            <w:r>
              <w:t xml:space="preserve">Промышленность </w:t>
            </w:r>
            <w:r>
              <w:br/>
              <w:t>млрд руб.</w:t>
            </w:r>
          </w:p>
        </w:tc>
        <w:tc>
          <w:tcPr>
            <w:tcW w:w="0" w:type="auto"/>
            <w:shd w:val="clear" w:color="auto" w:fill="FFFFFF"/>
            <w:vAlign w:val="center"/>
          </w:tcPr>
          <w:p w:rsidR="00763A3D" w:rsidRDefault="00763A3D">
            <w:r>
              <w:t>438</w:t>
            </w:r>
          </w:p>
        </w:tc>
        <w:tc>
          <w:tcPr>
            <w:tcW w:w="0" w:type="auto"/>
            <w:shd w:val="clear" w:color="auto" w:fill="FFFFFF"/>
            <w:vAlign w:val="center"/>
          </w:tcPr>
          <w:p w:rsidR="00763A3D" w:rsidRDefault="00763A3D">
            <w:r>
              <w:t>363</w:t>
            </w:r>
          </w:p>
        </w:tc>
        <w:tc>
          <w:tcPr>
            <w:tcW w:w="0" w:type="auto"/>
            <w:shd w:val="clear" w:color="auto" w:fill="FFFFFF"/>
            <w:vAlign w:val="center"/>
          </w:tcPr>
          <w:p w:rsidR="00763A3D" w:rsidRDefault="00763A3D">
            <w:r>
              <w:t>3,2</w:t>
            </w:r>
          </w:p>
        </w:tc>
        <w:tc>
          <w:tcPr>
            <w:tcW w:w="0" w:type="auto"/>
            <w:shd w:val="clear" w:color="auto" w:fill="FFFFFF"/>
            <w:vAlign w:val="center"/>
          </w:tcPr>
          <w:p w:rsidR="00763A3D" w:rsidRDefault="00763A3D">
            <w:r>
              <w:t>31,7</w:t>
            </w:r>
          </w:p>
        </w:tc>
        <w:tc>
          <w:tcPr>
            <w:tcW w:w="0" w:type="auto"/>
            <w:shd w:val="clear" w:color="auto" w:fill="FFFFFF"/>
            <w:vAlign w:val="center"/>
          </w:tcPr>
          <w:p w:rsidR="00763A3D" w:rsidRDefault="00763A3D">
            <w:r>
              <w:t>349,1</w:t>
            </w:r>
          </w:p>
        </w:tc>
      </w:tr>
      <w:tr w:rsidR="00763A3D">
        <w:trPr>
          <w:tblCellSpacing w:w="7" w:type="dxa"/>
        </w:trPr>
        <w:tc>
          <w:tcPr>
            <w:tcW w:w="0" w:type="auto"/>
            <w:shd w:val="clear" w:color="auto" w:fill="FFFFFF"/>
            <w:vAlign w:val="center"/>
          </w:tcPr>
          <w:p w:rsidR="00763A3D" w:rsidRDefault="00763A3D">
            <w:r>
              <w:t xml:space="preserve">Сельское хозяйство </w:t>
            </w:r>
            <w:r>
              <w:br/>
              <w:t>млрд руб.</w:t>
            </w:r>
          </w:p>
        </w:tc>
        <w:tc>
          <w:tcPr>
            <w:tcW w:w="0" w:type="auto"/>
            <w:shd w:val="clear" w:color="auto" w:fill="FFFFFF"/>
            <w:vAlign w:val="center"/>
          </w:tcPr>
          <w:p w:rsidR="00763A3D" w:rsidRDefault="00763A3D">
            <w:r>
              <w:t>17</w:t>
            </w:r>
          </w:p>
        </w:tc>
        <w:tc>
          <w:tcPr>
            <w:tcW w:w="0" w:type="auto"/>
            <w:shd w:val="clear" w:color="auto" w:fill="FFFFFF"/>
            <w:vAlign w:val="center"/>
          </w:tcPr>
          <w:p w:rsidR="00763A3D" w:rsidRDefault="00763A3D">
            <w:r>
              <w:t>14</w:t>
            </w:r>
          </w:p>
        </w:tc>
        <w:tc>
          <w:tcPr>
            <w:tcW w:w="0" w:type="auto"/>
            <w:shd w:val="clear" w:color="auto" w:fill="FFFFFF"/>
            <w:vAlign w:val="center"/>
          </w:tcPr>
          <w:p w:rsidR="00763A3D" w:rsidRDefault="00763A3D">
            <w:r>
              <w:t>0,1</w:t>
            </w:r>
          </w:p>
        </w:tc>
        <w:tc>
          <w:tcPr>
            <w:tcW w:w="0" w:type="auto"/>
            <w:shd w:val="clear" w:color="auto" w:fill="FFFFFF"/>
            <w:vAlign w:val="center"/>
          </w:tcPr>
          <w:p w:rsidR="00763A3D" w:rsidRDefault="00763A3D">
            <w:r>
              <w:t>0,3</w:t>
            </w:r>
          </w:p>
        </w:tc>
        <w:tc>
          <w:tcPr>
            <w:tcW w:w="0" w:type="auto"/>
            <w:shd w:val="clear" w:color="auto" w:fill="FFFFFF"/>
            <w:vAlign w:val="center"/>
          </w:tcPr>
          <w:p w:rsidR="00763A3D" w:rsidRDefault="00763A3D">
            <w:r>
              <w:t>14,3</w:t>
            </w:r>
          </w:p>
        </w:tc>
      </w:tr>
      <w:tr w:rsidR="00763A3D">
        <w:trPr>
          <w:tblCellSpacing w:w="7" w:type="dxa"/>
        </w:trPr>
        <w:tc>
          <w:tcPr>
            <w:tcW w:w="0" w:type="auto"/>
            <w:shd w:val="clear" w:color="auto" w:fill="FFFFFF"/>
            <w:vAlign w:val="center"/>
          </w:tcPr>
          <w:p w:rsidR="00763A3D" w:rsidRDefault="00763A3D">
            <w:r>
              <w:t xml:space="preserve">Строительство </w:t>
            </w:r>
            <w:r>
              <w:br/>
              <w:t>млрд руб.</w:t>
            </w:r>
          </w:p>
        </w:tc>
        <w:tc>
          <w:tcPr>
            <w:tcW w:w="0" w:type="auto"/>
            <w:shd w:val="clear" w:color="auto" w:fill="FFFFFF"/>
            <w:vAlign w:val="center"/>
          </w:tcPr>
          <w:p w:rsidR="00763A3D" w:rsidRDefault="00763A3D">
            <w:r>
              <w:t>72</w:t>
            </w:r>
          </w:p>
        </w:tc>
        <w:tc>
          <w:tcPr>
            <w:tcW w:w="0" w:type="auto"/>
            <w:shd w:val="clear" w:color="auto" w:fill="FFFFFF"/>
            <w:vAlign w:val="center"/>
          </w:tcPr>
          <w:p w:rsidR="00763A3D" w:rsidRDefault="00763A3D">
            <w:r>
              <w:t>61</w:t>
            </w:r>
          </w:p>
        </w:tc>
        <w:tc>
          <w:tcPr>
            <w:tcW w:w="0" w:type="auto"/>
            <w:shd w:val="clear" w:color="auto" w:fill="FFFFFF"/>
            <w:vAlign w:val="center"/>
          </w:tcPr>
          <w:p w:rsidR="00763A3D" w:rsidRDefault="00763A3D">
            <w:r>
              <w:t>1,0</w:t>
            </w:r>
          </w:p>
        </w:tc>
        <w:tc>
          <w:tcPr>
            <w:tcW w:w="0" w:type="auto"/>
            <w:shd w:val="clear" w:color="auto" w:fill="FFFFFF"/>
            <w:vAlign w:val="center"/>
          </w:tcPr>
          <w:p w:rsidR="00763A3D" w:rsidRDefault="00763A3D">
            <w:r>
              <w:t>4,6</w:t>
            </w:r>
          </w:p>
        </w:tc>
        <w:tc>
          <w:tcPr>
            <w:tcW w:w="0" w:type="auto"/>
            <w:shd w:val="clear" w:color="auto" w:fill="FFFFFF"/>
            <w:vAlign w:val="center"/>
          </w:tcPr>
          <w:p w:rsidR="00763A3D" w:rsidRDefault="00763A3D">
            <w:r>
              <w:t>55,2</w:t>
            </w:r>
          </w:p>
        </w:tc>
      </w:tr>
      <w:tr w:rsidR="00763A3D">
        <w:trPr>
          <w:tblCellSpacing w:w="7" w:type="dxa"/>
        </w:trPr>
        <w:tc>
          <w:tcPr>
            <w:tcW w:w="0" w:type="auto"/>
            <w:shd w:val="clear" w:color="auto" w:fill="FFFFFF"/>
            <w:vAlign w:val="center"/>
          </w:tcPr>
          <w:p w:rsidR="00763A3D" w:rsidRDefault="00763A3D">
            <w:r>
              <w:t xml:space="preserve">Транспорт </w:t>
            </w:r>
            <w:r>
              <w:br/>
              <w:t>млрд руб.</w:t>
            </w:r>
          </w:p>
        </w:tc>
        <w:tc>
          <w:tcPr>
            <w:tcW w:w="0" w:type="auto"/>
            <w:shd w:val="clear" w:color="auto" w:fill="FFFFFF"/>
            <w:vAlign w:val="center"/>
          </w:tcPr>
          <w:p w:rsidR="00763A3D" w:rsidRDefault="00763A3D">
            <w:r>
              <w:t>121</w:t>
            </w:r>
          </w:p>
        </w:tc>
        <w:tc>
          <w:tcPr>
            <w:tcW w:w="0" w:type="auto"/>
            <w:shd w:val="clear" w:color="auto" w:fill="FFFFFF"/>
            <w:vAlign w:val="center"/>
          </w:tcPr>
          <w:p w:rsidR="00763A3D" w:rsidRDefault="00763A3D">
            <w:r>
              <w:t>94</w:t>
            </w:r>
          </w:p>
        </w:tc>
        <w:tc>
          <w:tcPr>
            <w:tcW w:w="0" w:type="auto"/>
            <w:shd w:val="clear" w:color="auto" w:fill="FFFFFF"/>
            <w:vAlign w:val="center"/>
          </w:tcPr>
          <w:p w:rsidR="00763A3D" w:rsidRDefault="00763A3D">
            <w:r>
              <w:t>0,3</w:t>
            </w:r>
          </w:p>
        </w:tc>
        <w:tc>
          <w:tcPr>
            <w:tcW w:w="0" w:type="auto"/>
            <w:shd w:val="clear" w:color="auto" w:fill="FFFFFF"/>
            <w:vAlign w:val="center"/>
          </w:tcPr>
          <w:p w:rsidR="00763A3D" w:rsidRDefault="00763A3D">
            <w:r>
              <w:t>0,5</w:t>
            </w:r>
          </w:p>
        </w:tc>
        <w:tc>
          <w:tcPr>
            <w:tcW w:w="0" w:type="auto"/>
            <w:shd w:val="clear" w:color="auto" w:fill="FFFFFF"/>
            <w:vAlign w:val="center"/>
          </w:tcPr>
          <w:p w:rsidR="00763A3D" w:rsidRDefault="00763A3D">
            <w:r>
              <w:t>106,2</w:t>
            </w:r>
          </w:p>
        </w:tc>
      </w:tr>
      <w:tr w:rsidR="00763A3D">
        <w:trPr>
          <w:tblCellSpacing w:w="7" w:type="dxa"/>
        </w:trPr>
        <w:tc>
          <w:tcPr>
            <w:tcW w:w="0" w:type="auto"/>
            <w:shd w:val="clear" w:color="auto" w:fill="FFFFFF"/>
            <w:vAlign w:val="center"/>
          </w:tcPr>
          <w:p w:rsidR="00763A3D" w:rsidRDefault="00763A3D">
            <w:r>
              <w:t xml:space="preserve">Связь </w:t>
            </w:r>
            <w:r>
              <w:br/>
              <w:t>млрд руб.</w:t>
            </w:r>
          </w:p>
        </w:tc>
        <w:tc>
          <w:tcPr>
            <w:tcW w:w="0" w:type="auto"/>
            <w:shd w:val="clear" w:color="auto" w:fill="FFFFFF"/>
            <w:vAlign w:val="center"/>
          </w:tcPr>
          <w:p w:rsidR="00763A3D" w:rsidRDefault="00763A3D">
            <w:r>
              <w:t>6</w:t>
            </w:r>
          </w:p>
        </w:tc>
        <w:tc>
          <w:tcPr>
            <w:tcW w:w="0" w:type="auto"/>
            <w:shd w:val="clear" w:color="auto" w:fill="FFFFFF"/>
            <w:vAlign w:val="center"/>
          </w:tcPr>
          <w:p w:rsidR="00763A3D" w:rsidRDefault="00763A3D">
            <w:r>
              <w:t>5</w:t>
            </w:r>
          </w:p>
        </w:tc>
        <w:tc>
          <w:tcPr>
            <w:tcW w:w="0" w:type="auto"/>
            <w:shd w:val="clear" w:color="auto" w:fill="FFFFFF"/>
            <w:vAlign w:val="center"/>
          </w:tcPr>
          <w:p w:rsidR="00763A3D" w:rsidRDefault="00763A3D">
            <w:r>
              <w:t>0,0</w:t>
            </w:r>
          </w:p>
        </w:tc>
        <w:tc>
          <w:tcPr>
            <w:tcW w:w="0" w:type="auto"/>
            <w:shd w:val="clear" w:color="auto" w:fill="FFFFFF"/>
            <w:vAlign w:val="center"/>
          </w:tcPr>
          <w:p w:rsidR="00763A3D" w:rsidRDefault="00763A3D">
            <w:r>
              <w:t>0,5</w:t>
            </w:r>
          </w:p>
        </w:tc>
        <w:tc>
          <w:tcPr>
            <w:tcW w:w="0" w:type="auto"/>
            <w:shd w:val="clear" w:color="auto" w:fill="FFFFFF"/>
            <w:vAlign w:val="center"/>
          </w:tcPr>
          <w:p w:rsidR="00763A3D" w:rsidRDefault="00763A3D">
            <w:r>
              <w:t>4,6</w:t>
            </w:r>
          </w:p>
        </w:tc>
      </w:tr>
      <w:tr w:rsidR="00763A3D">
        <w:trPr>
          <w:tblCellSpacing w:w="7" w:type="dxa"/>
        </w:trPr>
        <w:tc>
          <w:tcPr>
            <w:tcW w:w="0" w:type="auto"/>
            <w:shd w:val="clear" w:color="auto" w:fill="FFFFFF"/>
            <w:vAlign w:val="center"/>
          </w:tcPr>
          <w:p w:rsidR="00763A3D" w:rsidRDefault="00763A3D">
            <w:r>
              <w:t xml:space="preserve">Торговля и общественное питание </w:t>
            </w:r>
            <w:r>
              <w:br/>
              <w:t>млрд руб.</w:t>
            </w:r>
          </w:p>
        </w:tc>
        <w:tc>
          <w:tcPr>
            <w:tcW w:w="0" w:type="auto"/>
            <w:shd w:val="clear" w:color="auto" w:fill="FFFFFF"/>
            <w:vAlign w:val="center"/>
          </w:tcPr>
          <w:p w:rsidR="00763A3D" w:rsidRDefault="00763A3D">
            <w:r>
              <w:t>32</w:t>
            </w:r>
          </w:p>
        </w:tc>
        <w:tc>
          <w:tcPr>
            <w:tcW w:w="0" w:type="auto"/>
            <w:shd w:val="clear" w:color="auto" w:fill="FFFFFF"/>
            <w:vAlign w:val="center"/>
          </w:tcPr>
          <w:p w:rsidR="00763A3D" w:rsidRDefault="00763A3D">
            <w:r>
              <w:t>22</w:t>
            </w:r>
          </w:p>
        </w:tc>
        <w:tc>
          <w:tcPr>
            <w:tcW w:w="0" w:type="auto"/>
            <w:shd w:val="clear" w:color="auto" w:fill="FFFFFF"/>
            <w:vAlign w:val="center"/>
          </w:tcPr>
          <w:p w:rsidR="00763A3D" w:rsidRDefault="00763A3D">
            <w:r>
              <w:t>1,8</w:t>
            </w:r>
          </w:p>
        </w:tc>
        <w:tc>
          <w:tcPr>
            <w:tcW w:w="0" w:type="auto"/>
            <w:shd w:val="clear" w:color="auto" w:fill="FFFFFF"/>
            <w:vAlign w:val="center"/>
          </w:tcPr>
          <w:p w:rsidR="00763A3D" w:rsidRDefault="00763A3D">
            <w:r>
              <w:t>0,3</w:t>
            </w:r>
          </w:p>
        </w:tc>
        <w:tc>
          <w:tcPr>
            <w:tcW w:w="0" w:type="auto"/>
            <w:shd w:val="clear" w:color="auto" w:fill="FFFFFF"/>
            <w:vAlign w:val="center"/>
          </w:tcPr>
          <w:p w:rsidR="00763A3D" w:rsidRDefault="00763A3D">
            <w:r>
              <w:t>26,8</w:t>
            </w:r>
          </w:p>
        </w:tc>
      </w:tr>
      <w:tr w:rsidR="00763A3D">
        <w:trPr>
          <w:tblCellSpacing w:w="7" w:type="dxa"/>
        </w:trPr>
        <w:tc>
          <w:tcPr>
            <w:tcW w:w="0" w:type="auto"/>
            <w:shd w:val="clear" w:color="auto" w:fill="FFFFFF"/>
            <w:vAlign w:val="center"/>
          </w:tcPr>
          <w:p w:rsidR="00763A3D" w:rsidRDefault="00763A3D">
            <w:r>
              <w:t xml:space="preserve">Жилищно-коммунальное хозяйство </w:t>
            </w:r>
            <w:r>
              <w:br/>
              <w:t>млрд руб.</w:t>
            </w:r>
          </w:p>
        </w:tc>
        <w:tc>
          <w:tcPr>
            <w:tcW w:w="0" w:type="auto"/>
            <w:shd w:val="clear" w:color="auto" w:fill="FFFFFF"/>
            <w:vAlign w:val="center"/>
          </w:tcPr>
          <w:p w:rsidR="00763A3D" w:rsidRDefault="00763A3D">
            <w:r>
              <w:t>94</w:t>
            </w:r>
          </w:p>
        </w:tc>
        <w:tc>
          <w:tcPr>
            <w:tcW w:w="0" w:type="auto"/>
            <w:shd w:val="clear" w:color="auto" w:fill="FFFFFF"/>
            <w:vAlign w:val="center"/>
          </w:tcPr>
          <w:p w:rsidR="00763A3D" w:rsidRDefault="00763A3D">
            <w:r>
              <w:t>82</w:t>
            </w:r>
          </w:p>
        </w:tc>
        <w:tc>
          <w:tcPr>
            <w:tcW w:w="0" w:type="auto"/>
            <w:shd w:val="clear" w:color="auto" w:fill="FFFFFF"/>
            <w:vAlign w:val="center"/>
          </w:tcPr>
          <w:p w:rsidR="00763A3D" w:rsidRDefault="00763A3D">
            <w:r>
              <w:t>0,4</w:t>
            </w:r>
          </w:p>
        </w:tc>
        <w:tc>
          <w:tcPr>
            <w:tcW w:w="0" w:type="auto"/>
            <w:shd w:val="clear" w:color="auto" w:fill="FFFFFF"/>
            <w:vAlign w:val="center"/>
          </w:tcPr>
          <w:p w:rsidR="00763A3D" w:rsidRDefault="00763A3D">
            <w:r>
              <w:t>1,9</w:t>
            </w:r>
          </w:p>
        </w:tc>
        <w:tc>
          <w:tcPr>
            <w:tcW w:w="0" w:type="auto"/>
            <w:shd w:val="clear" w:color="auto" w:fill="FFFFFF"/>
            <w:vAlign w:val="center"/>
          </w:tcPr>
          <w:p w:rsidR="00763A3D" w:rsidRDefault="00763A3D">
            <w:r>
              <w:t>82,3</w:t>
            </w:r>
          </w:p>
        </w:tc>
      </w:tr>
    </w:tbl>
    <w:p w:rsidR="00763A3D" w:rsidRDefault="00763A3D" w:rsidP="00763A3D">
      <w:pPr>
        <w:pStyle w:val="a3"/>
        <w:ind w:left="720"/>
      </w:pPr>
      <w:r>
        <w:t xml:space="preserve">Источник: Российский статистический ежегодник: Офиц. изд. М., 2002. С. 216. </w:t>
      </w:r>
    </w:p>
    <w:p w:rsidR="00763A3D" w:rsidRDefault="00763A3D" w:rsidP="00763A3D">
      <w:pPr>
        <w:pStyle w:val="a3"/>
        <w:ind w:left="720"/>
      </w:pPr>
      <w:r>
        <w:t>Низкая платежеспособность предприятий промышленности Российской Федерации влияет на собираемость налогов и сборов, что негативно сказывается на размере бюджетов бюджетной системы государства. По оценкам экспертов из 2,6 млн. юридических лиц лишь около 400 тысяч платят налоги добросовестно и в срок. Однако в настоящее время ситуация начинает изменяться к лучшему: снижение таких налогов, как налог на прибыль и налоги с фонда оплаты труда, с параллельным усилением контроля за собираемостью налогов привело к исполнению намеченных планов. Основным показателем эффективной налоговой политики правительства Российской Федерации является динамика поступления налоговых платежей (табл. 1.6).</w:t>
      </w:r>
    </w:p>
    <w:p w:rsidR="00763A3D" w:rsidRDefault="00763A3D" w:rsidP="00763A3D">
      <w:pPr>
        <w:pStyle w:val="a3"/>
        <w:ind w:left="720"/>
      </w:pPr>
      <w:r>
        <w:rPr>
          <w:b/>
          <w:bCs/>
        </w:rPr>
        <w:t xml:space="preserve">Таблица 1.6 </w:t>
      </w:r>
      <w:r>
        <w:rPr>
          <w:b/>
          <w:bCs/>
        </w:rPr>
        <w:br/>
        <w:t>Исполнение доходной части федерального бюджета Российской Федерации (налоговые доходы), млрд руб.</w:t>
      </w:r>
    </w:p>
    <w:tbl>
      <w:tblPr>
        <w:tblW w:w="5000" w:type="pct"/>
        <w:tblCellSpacing w:w="7" w:type="dxa"/>
        <w:tblInd w:w="720" w:type="dxa"/>
        <w:shd w:val="clear" w:color="auto" w:fill="4F8CD0"/>
        <w:tblCellMar>
          <w:top w:w="30" w:type="dxa"/>
          <w:left w:w="30" w:type="dxa"/>
          <w:bottom w:w="30" w:type="dxa"/>
          <w:right w:w="30" w:type="dxa"/>
        </w:tblCellMar>
        <w:tblLook w:val="0000" w:firstRow="0" w:lastRow="0" w:firstColumn="0" w:lastColumn="0" w:noHBand="0" w:noVBand="0"/>
      </w:tblPr>
      <w:tblGrid>
        <w:gridCol w:w="1663"/>
        <w:gridCol w:w="1009"/>
        <w:gridCol w:w="924"/>
        <w:gridCol w:w="1009"/>
        <w:gridCol w:w="924"/>
        <w:gridCol w:w="1009"/>
        <w:gridCol w:w="924"/>
        <w:gridCol w:w="1014"/>
        <w:gridCol w:w="967"/>
      </w:tblGrid>
      <w:tr w:rsidR="00763A3D">
        <w:trPr>
          <w:tblCellSpacing w:w="7" w:type="dxa"/>
        </w:trPr>
        <w:tc>
          <w:tcPr>
            <w:tcW w:w="0" w:type="auto"/>
            <w:vMerge w:val="restart"/>
            <w:shd w:val="clear" w:color="auto" w:fill="FFFFFF"/>
            <w:vAlign w:val="center"/>
          </w:tcPr>
          <w:p w:rsidR="00763A3D" w:rsidRDefault="00763A3D"/>
        </w:tc>
        <w:tc>
          <w:tcPr>
            <w:tcW w:w="0" w:type="auto"/>
            <w:gridSpan w:val="2"/>
            <w:shd w:val="clear" w:color="auto" w:fill="FFFFFF"/>
            <w:vAlign w:val="center"/>
          </w:tcPr>
          <w:p w:rsidR="00763A3D" w:rsidRDefault="00763A3D">
            <w:r>
              <w:t>1998 год</w:t>
            </w:r>
          </w:p>
        </w:tc>
        <w:tc>
          <w:tcPr>
            <w:tcW w:w="0" w:type="auto"/>
            <w:gridSpan w:val="2"/>
            <w:shd w:val="clear" w:color="auto" w:fill="FFFFFF"/>
            <w:vAlign w:val="center"/>
          </w:tcPr>
          <w:p w:rsidR="00763A3D" w:rsidRDefault="00763A3D">
            <w:r>
              <w:t>1999 год</w:t>
            </w:r>
          </w:p>
        </w:tc>
        <w:tc>
          <w:tcPr>
            <w:tcW w:w="0" w:type="auto"/>
            <w:gridSpan w:val="2"/>
            <w:shd w:val="clear" w:color="auto" w:fill="FFFFFF"/>
            <w:vAlign w:val="center"/>
          </w:tcPr>
          <w:p w:rsidR="00763A3D" w:rsidRDefault="00763A3D">
            <w:r>
              <w:t>2000 год</w:t>
            </w:r>
          </w:p>
        </w:tc>
        <w:tc>
          <w:tcPr>
            <w:tcW w:w="0" w:type="auto"/>
            <w:gridSpan w:val="2"/>
            <w:shd w:val="clear" w:color="auto" w:fill="FFFFFF"/>
            <w:vAlign w:val="center"/>
          </w:tcPr>
          <w:p w:rsidR="00763A3D" w:rsidRDefault="00763A3D">
            <w:r>
              <w:t>2001 год</w:t>
            </w:r>
          </w:p>
        </w:tc>
      </w:tr>
      <w:tr w:rsidR="00763A3D">
        <w:trPr>
          <w:tblCellSpacing w:w="7" w:type="dxa"/>
        </w:trPr>
        <w:tc>
          <w:tcPr>
            <w:tcW w:w="0" w:type="auto"/>
            <w:vMerge/>
            <w:shd w:val="clear" w:color="auto" w:fill="FFFFFF"/>
            <w:vAlign w:val="center"/>
          </w:tcPr>
          <w:p w:rsidR="00763A3D" w:rsidRDefault="00763A3D"/>
        </w:tc>
        <w:tc>
          <w:tcPr>
            <w:tcW w:w="0" w:type="auto"/>
            <w:shd w:val="clear" w:color="auto" w:fill="FFFFFF"/>
            <w:vAlign w:val="center"/>
          </w:tcPr>
          <w:p w:rsidR="00763A3D" w:rsidRDefault="00763A3D">
            <w:r>
              <w:t>Утв. бюдж.</w:t>
            </w:r>
          </w:p>
        </w:tc>
        <w:tc>
          <w:tcPr>
            <w:tcW w:w="0" w:type="auto"/>
            <w:shd w:val="clear" w:color="auto" w:fill="FFFFFF"/>
            <w:vAlign w:val="center"/>
          </w:tcPr>
          <w:p w:rsidR="00763A3D" w:rsidRDefault="00763A3D">
            <w:r>
              <w:t>Факт. исп.</w:t>
            </w:r>
          </w:p>
        </w:tc>
        <w:tc>
          <w:tcPr>
            <w:tcW w:w="0" w:type="auto"/>
            <w:shd w:val="clear" w:color="auto" w:fill="FFFFFF"/>
            <w:vAlign w:val="center"/>
          </w:tcPr>
          <w:p w:rsidR="00763A3D" w:rsidRDefault="00763A3D">
            <w:r>
              <w:t>Утв. бюдж.</w:t>
            </w:r>
          </w:p>
        </w:tc>
        <w:tc>
          <w:tcPr>
            <w:tcW w:w="0" w:type="auto"/>
            <w:shd w:val="clear" w:color="auto" w:fill="FFFFFF"/>
            <w:vAlign w:val="center"/>
          </w:tcPr>
          <w:p w:rsidR="00763A3D" w:rsidRDefault="00763A3D">
            <w:r>
              <w:t>Факт. исп.</w:t>
            </w:r>
          </w:p>
        </w:tc>
        <w:tc>
          <w:tcPr>
            <w:tcW w:w="0" w:type="auto"/>
            <w:shd w:val="clear" w:color="auto" w:fill="FFFFFF"/>
            <w:vAlign w:val="center"/>
          </w:tcPr>
          <w:p w:rsidR="00763A3D" w:rsidRDefault="00763A3D">
            <w:r>
              <w:t>Утв. бюдж.</w:t>
            </w:r>
          </w:p>
        </w:tc>
        <w:tc>
          <w:tcPr>
            <w:tcW w:w="0" w:type="auto"/>
            <w:shd w:val="clear" w:color="auto" w:fill="FFFFFF"/>
            <w:vAlign w:val="center"/>
          </w:tcPr>
          <w:p w:rsidR="00763A3D" w:rsidRDefault="00763A3D">
            <w:r>
              <w:t>Факт. исп.</w:t>
            </w:r>
          </w:p>
        </w:tc>
        <w:tc>
          <w:tcPr>
            <w:tcW w:w="0" w:type="auto"/>
            <w:shd w:val="clear" w:color="auto" w:fill="FFFFFF"/>
            <w:vAlign w:val="center"/>
          </w:tcPr>
          <w:p w:rsidR="00763A3D" w:rsidRDefault="00763A3D">
            <w:r>
              <w:t>Утв. бюдж.</w:t>
            </w:r>
          </w:p>
        </w:tc>
        <w:tc>
          <w:tcPr>
            <w:tcW w:w="0" w:type="auto"/>
            <w:shd w:val="clear" w:color="auto" w:fill="FFFFFF"/>
            <w:vAlign w:val="center"/>
          </w:tcPr>
          <w:p w:rsidR="00763A3D" w:rsidRDefault="00763A3D">
            <w:r>
              <w:t>Факт. исп.</w:t>
            </w:r>
          </w:p>
        </w:tc>
      </w:tr>
      <w:tr w:rsidR="00763A3D">
        <w:trPr>
          <w:tblCellSpacing w:w="7" w:type="dxa"/>
        </w:trPr>
        <w:tc>
          <w:tcPr>
            <w:tcW w:w="0" w:type="auto"/>
            <w:shd w:val="clear" w:color="auto" w:fill="FFFFFF"/>
            <w:vAlign w:val="center"/>
          </w:tcPr>
          <w:p w:rsidR="00763A3D" w:rsidRDefault="00763A3D">
            <w:r>
              <w:t xml:space="preserve">Налоговые доходы </w:t>
            </w:r>
            <w:r>
              <w:br/>
              <w:t>В том числе:</w:t>
            </w:r>
          </w:p>
        </w:tc>
        <w:tc>
          <w:tcPr>
            <w:tcW w:w="0" w:type="auto"/>
            <w:shd w:val="clear" w:color="auto" w:fill="FFFFFF"/>
            <w:vAlign w:val="center"/>
          </w:tcPr>
          <w:p w:rsidR="00763A3D" w:rsidRDefault="00763A3D">
            <w:r>
              <w:t>307,0</w:t>
            </w:r>
          </w:p>
        </w:tc>
        <w:tc>
          <w:tcPr>
            <w:tcW w:w="0" w:type="auto"/>
            <w:shd w:val="clear" w:color="auto" w:fill="FFFFFF"/>
            <w:vAlign w:val="center"/>
          </w:tcPr>
          <w:p w:rsidR="00763A3D" w:rsidRDefault="00763A3D">
            <w:r>
              <w:t>236,0</w:t>
            </w:r>
          </w:p>
        </w:tc>
        <w:tc>
          <w:tcPr>
            <w:tcW w:w="0" w:type="auto"/>
            <w:shd w:val="clear" w:color="auto" w:fill="FFFFFF"/>
            <w:vAlign w:val="center"/>
          </w:tcPr>
          <w:p w:rsidR="00763A3D" w:rsidRDefault="00763A3D">
            <w:r>
              <w:t>399,5</w:t>
            </w:r>
          </w:p>
        </w:tc>
        <w:tc>
          <w:tcPr>
            <w:tcW w:w="0" w:type="auto"/>
            <w:shd w:val="clear" w:color="auto" w:fill="FFFFFF"/>
            <w:vAlign w:val="center"/>
          </w:tcPr>
          <w:p w:rsidR="00763A3D" w:rsidRDefault="00763A3D">
            <w:r>
              <w:t>509,5</w:t>
            </w:r>
          </w:p>
        </w:tc>
        <w:tc>
          <w:tcPr>
            <w:tcW w:w="0" w:type="auto"/>
            <w:shd w:val="clear" w:color="auto" w:fill="FFFFFF"/>
            <w:vAlign w:val="center"/>
          </w:tcPr>
          <w:p w:rsidR="00763A3D" w:rsidRDefault="00763A3D">
            <w:r>
              <w:t>890,6</w:t>
            </w:r>
          </w:p>
        </w:tc>
        <w:tc>
          <w:tcPr>
            <w:tcW w:w="0" w:type="auto"/>
            <w:shd w:val="clear" w:color="auto" w:fill="FFFFFF"/>
            <w:vAlign w:val="center"/>
          </w:tcPr>
          <w:p w:rsidR="00763A3D" w:rsidRDefault="00763A3D">
            <w:r>
              <w:t>964,8</w:t>
            </w:r>
          </w:p>
        </w:tc>
        <w:tc>
          <w:tcPr>
            <w:tcW w:w="0" w:type="auto"/>
            <w:shd w:val="clear" w:color="auto" w:fill="FFFFFF"/>
            <w:vAlign w:val="center"/>
          </w:tcPr>
          <w:p w:rsidR="00763A3D" w:rsidRDefault="00763A3D">
            <w:r>
              <w:t>1351,2</w:t>
            </w:r>
          </w:p>
        </w:tc>
        <w:tc>
          <w:tcPr>
            <w:tcW w:w="0" w:type="auto"/>
            <w:shd w:val="clear" w:color="auto" w:fill="FFFFFF"/>
            <w:vAlign w:val="center"/>
          </w:tcPr>
          <w:p w:rsidR="00763A3D" w:rsidRDefault="00763A3D">
            <w:r>
              <w:t>1461,0</w:t>
            </w:r>
          </w:p>
        </w:tc>
      </w:tr>
      <w:tr w:rsidR="00763A3D">
        <w:trPr>
          <w:tblCellSpacing w:w="7" w:type="dxa"/>
        </w:trPr>
        <w:tc>
          <w:tcPr>
            <w:tcW w:w="0" w:type="auto"/>
            <w:shd w:val="clear" w:color="auto" w:fill="FFFFFF"/>
            <w:vAlign w:val="center"/>
          </w:tcPr>
          <w:p w:rsidR="00763A3D" w:rsidRDefault="00763A3D">
            <w:r>
              <w:t>Налог на прибыль</w:t>
            </w:r>
          </w:p>
        </w:tc>
        <w:tc>
          <w:tcPr>
            <w:tcW w:w="0" w:type="auto"/>
            <w:shd w:val="clear" w:color="auto" w:fill="FFFFFF"/>
            <w:vAlign w:val="center"/>
          </w:tcPr>
          <w:p w:rsidR="00763A3D" w:rsidRDefault="00763A3D">
            <w:r>
              <w:t>48,1</w:t>
            </w:r>
          </w:p>
        </w:tc>
        <w:tc>
          <w:tcPr>
            <w:tcW w:w="0" w:type="auto"/>
            <w:shd w:val="clear" w:color="auto" w:fill="FFFFFF"/>
            <w:vAlign w:val="center"/>
          </w:tcPr>
          <w:p w:rsidR="00763A3D" w:rsidRDefault="00763A3D">
            <w:r>
              <w:t>34,9</w:t>
            </w:r>
          </w:p>
        </w:tc>
        <w:tc>
          <w:tcPr>
            <w:tcW w:w="0" w:type="auto"/>
            <w:shd w:val="clear" w:color="auto" w:fill="FFFFFF"/>
            <w:vAlign w:val="center"/>
          </w:tcPr>
          <w:p w:rsidR="00763A3D" w:rsidRDefault="00763A3D">
            <w:r>
              <w:t>36,0</w:t>
            </w:r>
          </w:p>
        </w:tc>
        <w:tc>
          <w:tcPr>
            <w:tcW w:w="0" w:type="auto"/>
            <w:shd w:val="clear" w:color="auto" w:fill="FFFFFF"/>
            <w:vAlign w:val="center"/>
          </w:tcPr>
          <w:p w:rsidR="00763A3D" w:rsidRDefault="00763A3D">
            <w:r>
              <w:t>81,0</w:t>
            </w:r>
          </w:p>
        </w:tc>
        <w:tc>
          <w:tcPr>
            <w:tcW w:w="0" w:type="auto"/>
            <w:shd w:val="clear" w:color="auto" w:fill="FFFFFF"/>
            <w:vAlign w:val="center"/>
          </w:tcPr>
          <w:p w:rsidR="00763A3D" w:rsidRDefault="00763A3D">
            <w:r>
              <w:t>163,2</w:t>
            </w:r>
          </w:p>
        </w:tc>
        <w:tc>
          <w:tcPr>
            <w:tcW w:w="0" w:type="auto"/>
            <w:shd w:val="clear" w:color="auto" w:fill="FFFFFF"/>
            <w:vAlign w:val="center"/>
          </w:tcPr>
          <w:p w:rsidR="00763A3D" w:rsidRDefault="00763A3D">
            <w:r>
              <w:t>178,0</w:t>
            </w:r>
          </w:p>
        </w:tc>
        <w:tc>
          <w:tcPr>
            <w:tcW w:w="0" w:type="auto"/>
            <w:shd w:val="clear" w:color="auto" w:fill="FFFFFF"/>
            <w:vAlign w:val="center"/>
          </w:tcPr>
          <w:p w:rsidR="00763A3D" w:rsidRDefault="00763A3D">
            <w:r>
              <w:t>214,6</w:t>
            </w:r>
          </w:p>
        </w:tc>
        <w:tc>
          <w:tcPr>
            <w:tcW w:w="0" w:type="auto"/>
            <w:shd w:val="clear" w:color="auto" w:fill="FFFFFF"/>
            <w:vAlign w:val="center"/>
          </w:tcPr>
          <w:p w:rsidR="00763A3D" w:rsidRDefault="00763A3D">
            <w:r>
              <w:t>214,3</w:t>
            </w:r>
          </w:p>
        </w:tc>
      </w:tr>
      <w:tr w:rsidR="00763A3D">
        <w:trPr>
          <w:tblCellSpacing w:w="7" w:type="dxa"/>
        </w:trPr>
        <w:tc>
          <w:tcPr>
            <w:tcW w:w="0" w:type="auto"/>
            <w:shd w:val="clear" w:color="auto" w:fill="FFFFFF"/>
            <w:vAlign w:val="center"/>
          </w:tcPr>
          <w:p w:rsidR="00763A3D" w:rsidRDefault="00763A3D">
            <w:r>
              <w:t>НДС</w:t>
            </w:r>
          </w:p>
        </w:tc>
        <w:tc>
          <w:tcPr>
            <w:tcW w:w="0" w:type="auto"/>
            <w:shd w:val="clear" w:color="auto" w:fill="FFFFFF"/>
            <w:vAlign w:val="center"/>
          </w:tcPr>
          <w:p w:rsidR="00763A3D" w:rsidRDefault="00763A3D">
            <w:r>
              <w:t>141,3</w:t>
            </w:r>
          </w:p>
        </w:tc>
        <w:tc>
          <w:tcPr>
            <w:tcW w:w="0" w:type="auto"/>
            <w:shd w:val="clear" w:color="auto" w:fill="FFFFFF"/>
            <w:vAlign w:val="center"/>
          </w:tcPr>
          <w:p w:rsidR="00763A3D" w:rsidRDefault="00763A3D">
            <w:r>
              <w:t>104,7</w:t>
            </w:r>
          </w:p>
        </w:tc>
        <w:tc>
          <w:tcPr>
            <w:tcW w:w="0" w:type="auto"/>
            <w:shd w:val="clear" w:color="auto" w:fill="FFFFFF"/>
            <w:vAlign w:val="center"/>
          </w:tcPr>
          <w:p w:rsidR="00763A3D" w:rsidRDefault="00763A3D">
            <w:r>
              <w:t>143,7</w:t>
            </w:r>
          </w:p>
        </w:tc>
        <w:tc>
          <w:tcPr>
            <w:tcW w:w="0" w:type="auto"/>
            <w:shd w:val="clear" w:color="auto" w:fill="FFFFFF"/>
            <w:vAlign w:val="center"/>
          </w:tcPr>
          <w:p w:rsidR="00763A3D" w:rsidRDefault="00763A3D">
            <w:r>
              <w:t>221,0</w:t>
            </w:r>
          </w:p>
        </w:tc>
        <w:tc>
          <w:tcPr>
            <w:tcW w:w="0" w:type="auto"/>
            <w:shd w:val="clear" w:color="auto" w:fill="FFFFFF"/>
            <w:vAlign w:val="center"/>
          </w:tcPr>
          <w:p w:rsidR="00763A3D" w:rsidRDefault="00763A3D">
            <w:r>
              <w:t>317,7</w:t>
            </w:r>
          </w:p>
        </w:tc>
        <w:tc>
          <w:tcPr>
            <w:tcW w:w="0" w:type="auto"/>
            <w:shd w:val="clear" w:color="auto" w:fill="FFFFFF"/>
            <w:vAlign w:val="center"/>
          </w:tcPr>
          <w:p w:rsidR="00763A3D" w:rsidRDefault="00763A3D">
            <w:r>
              <w:t>371,5</w:t>
            </w:r>
          </w:p>
        </w:tc>
        <w:tc>
          <w:tcPr>
            <w:tcW w:w="0" w:type="auto"/>
            <w:shd w:val="clear" w:color="auto" w:fill="FFFFFF"/>
            <w:vAlign w:val="center"/>
          </w:tcPr>
          <w:p w:rsidR="00763A3D" w:rsidRDefault="00763A3D">
            <w:r>
              <w:t>557,7</w:t>
            </w:r>
          </w:p>
        </w:tc>
        <w:tc>
          <w:tcPr>
            <w:tcW w:w="0" w:type="auto"/>
            <w:shd w:val="clear" w:color="auto" w:fill="FFFFFF"/>
            <w:vAlign w:val="center"/>
          </w:tcPr>
          <w:p w:rsidR="00763A3D" w:rsidRDefault="00763A3D">
            <w:r>
              <w:t>638,9</w:t>
            </w:r>
          </w:p>
        </w:tc>
      </w:tr>
      <w:tr w:rsidR="00763A3D">
        <w:trPr>
          <w:tblCellSpacing w:w="7" w:type="dxa"/>
        </w:trPr>
        <w:tc>
          <w:tcPr>
            <w:tcW w:w="0" w:type="auto"/>
            <w:shd w:val="clear" w:color="auto" w:fill="FFFFFF"/>
            <w:vAlign w:val="center"/>
          </w:tcPr>
          <w:p w:rsidR="00763A3D" w:rsidRDefault="00763A3D">
            <w:r>
              <w:t>Акцизы</w:t>
            </w:r>
          </w:p>
        </w:tc>
        <w:tc>
          <w:tcPr>
            <w:tcW w:w="0" w:type="auto"/>
            <w:shd w:val="clear" w:color="auto" w:fill="FFFFFF"/>
            <w:vAlign w:val="center"/>
          </w:tcPr>
          <w:p w:rsidR="00763A3D" w:rsidRDefault="00763A3D">
            <w:r>
              <w:t>78,7</w:t>
            </w:r>
          </w:p>
        </w:tc>
        <w:tc>
          <w:tcPr>
            <w:tcW w:w="0" w:type="auto"/>
            <w:shd w:val="clear" w:color="auto" w:fill="FFFFFF"/>
            <w:vAlign w:val="center"/>
          </w:tcPr>
          <w:p w:rsidR="00763A3D" w:rsidRDefault="00763A3D">
            <w:r>
              <w:t>52,5</w:t>
            </w:r>
          </w:p>
        </w:tc>
        <w:tc>
          <w:tcPr>
            <w:tcW w:w="0" w:type="auto"/>
            <w:shd w:val="clear" w:color="auto" w:fill="FFFFFF"/>
            <w:vAlign w:val="center"/>
          </w:tcPr>
          <w:p w:rsidR="00763A3D" w:rsidRDefault="00763A3D">
            <w:r>
              <w:t>87,1</w:t>
            </w:r>
          </w:p>
        </w:tc>
        <w:tc>
          <w:tcPr>
            <w:tcW w:w="0" w:type="auto"/>
            <w:shd w:val="clear" w:color="auto" w:fill="FFFFFF"/>
            <w:vAlign w:val="center"/>
          </w:tcPr>
          <w:p w:rsidR="00763A3D" w:rsidRDefault="00763A3D">
            <w:r>
              <w:t>84,2</w:t>
            </w:r>
          </w:p>
        </w:tc>
        <w:tc>
          <w:tcPr>
            <w:tcW w:w="0" w:type="auto"/>
            <w:shd w:val="clear" w:color="auto" w:fill="FFFFFF"/>
            <w:vAlign w:val="center"/>
          </w:tcPr>
          <w:p w:rsidR="00763A3D" w:rsidRDefault="00763A3D">
            <w:r>
              <w:t>135,6</w:t>
            </w:r>
          </w:p>
        </w:tc>
        <w:tc>
          <w:tcPr>
            <w:tcW w:w="0" w:type="auto"/>
            <w:shd w:val="clear" w:color="auto" w:fill="FFFFFF"/>
            <w:vAlign w:val="center"/>
          </w:tcPr>
          <w:p w:rsidR="00763A3D" w:rsidRDefault="00763A3D">
            <w:r>
              <w:t>131,1</w:t>
            </w:r>
          </w:p>
        </w:tc>
        <w:tc>
          <w:tcPr>
            <w:tcW w:w="0" w:type="auto"/>
            <w:shd w:val="clear" w:color="auto" w:fill="FFFFFF"/>
            <w:vAlign w:val="center"/>
          </w:tcPr>
          <w:p w:rsidR="00763A3D" w:rsidRDefault="00763A3D">
            <w:r>
              <w:t>215,9</w:t>
            </w:r>
          </w:p>
        </w:tc>
        <w:tc>
          <w:tcPr>
            <w:tcW w:w="0" w:type="auto"/>
            <w:shd w:val="clear" w:color="auto" w:fill="FFFFFF"/>
            <w:vAlign w:val="center"/>
          </w:tcPr>
          <w:p w:rsidR="00763A3D" w:rsidRDefault="00763A3D">
            <w:r>
              <w:t>203,1</w:t>
            </w:r>
          </w:p>
        </w:tc>
      </w:tr>
    </w:tbl>
    <w:p w:rsidR="00763A3D" w:rsidRDefault="00763A3D" w:rsidP="00763A3D">
      <w:pPr>
        <w:pStyle w:val="a3"/>
        <w:ind w:left="720"/>
      </w:pPr>
      <w:r>
        <w:t xml:space="preserve">Источник: Предварительная информация об исполнении Федерального бюджета за 2001 год. М., 2002. </w:t>
      </w:r>
    </w:p>
    <w:p w:rsidR="00763A3D" w:rsidRDefault="00763A3D" w:rsidP="00763A3D">
      <w:pPr>
        <w:pStyle w:val="a3"/>
        <w:ind w:left="720"/>
      </w:pPr>
      <w:r>
        <w:t>Анализ данных табл. 1.6 позволяет сделать вывод о том, что улучшение экономической ситуации, принятие дополнительных мер по администрированию налоговых доходов, снижение налогового бремени способствовали устойчивому росту уровня собираемости налоговых доходов, начиная с 1999 года. Повышение уровня собираемости налоговых платежей и проведение реструктуризации налоговой задолженности способствовали снижению в 2001 году прироста задолженности по федеральным налогам и сборам. Если в 2000 году прирост задолженности по налоговым платежам в федеральный бюджет составил 42,5 млрд. руб. (14,7% к общей сумме задолженности), то за период с 1 февраля 2001 года по 1 января 2002 года задолженность по федеральным налогам снизилась на 40,3 млрд. руб., или более чем на 10%.</w:t>
      </w:r>
    </w:p>
    <w:p w:rsidR="00763A3D" w:rsidRDefault="00763A3D" w:rsidP="00763A3D">
      <w:pPr>
        <w:pStyle w:val="a3"/>
        <w:ind w:left="720"/>
      </w:pPr>
      <w:r>
        <w:t>Однако, несмотря на проведение значительной работы по улучшению собираемости налоговых доходов, резервы по увеличению показателя уровня собираемости и сокращению недоимки по платежам в бюджетную систему продолжают оставаться значительными. Сумма задолженности по федеральным налогам на 1 января 2002 года составила 406,4 млрд. руб., в том числе без учета отсроченной задолженности, включая реструктуризированную задолженность, - 197,3 млрд. руб., а общая сумма задолженности, включая пени и штрафы, - 919,9 млрд. руб.</w:t>
      </w:r>
    </w:p>
    <w:p w:rsidR="00763A3D" w:rsidRDefault="00763A3D" w:rsidP="00763A3D">
      <w:pPr>
        <w:pStyle w:val="a3"/>
        <w:ind w:left="720"/>
      </w:pPr>
      <w:r>
        <w:t>Низкая собираемость налогов оказывает негативное влияние на размер государственных инвестиций в промышленное производство. В условиях, когда собственных средств на расширенное воспроизводство у предприятий промышленности недостаточно, данная ситуация может привести к ускорению выбытия основных фондов предприятий.</w:t>
      </w:r>
    </w:p>
    <w:p w:rsidR="00763A3D" w:rsidRDefault="00763A3D" w:rsidP="00763A3D">
      <w:pPr>
        <w:pStyle w:val="a3"/>
        <w:ind w:left="720"/>
      </w:pPr>
      <w:r>
        <w:t>Изменение валютного курса оказывает влияние на финансовые результаты предприятий, которые экспортируют и импортируют продукцию, а также закупают сырье и материалы за иностранную валюту.</w:t>
      </w:r>
    </w:p>
    <w:p w:rsidR="00763A3D" w:rsidRDefault="00763A3D" w:rsidP="00763A3D">
      <w:pPr>
        <w:pStyle w:val="a3"/>
        <w:ind w:left="720"/>
      </w:pPr>
      <w:r>
        <w:t>Курсовая стоимость американского доллара за последние годы в основном повышается, что показано на рис. 1.2.</w:t>
      </w:r>
    </w:p>
    <w:p w:rsidR="00763A3D" w:rsidRDefault="00763A3D" w:rsidP="00763A3D">
      <w:pPr>
        <w:pStyle w:val="a3"/>
        <w:ind w:left="720"/>
      </w:pPr>
      <w:r>
        <w:t>Постоянный рост курсовой стоимости доллара США является следствием валютной политики Центрального банка Российской Федерации. В связи с тем, что наибольший удельный вес в доходах консолидированного бюджета РФ занимают налоги, выплачиваемые промышленными предприятиями, связанные с экспортом готовой продукции, а также из-за того, что 50% валютной выручки должны в обязательном порядке продаваться Центральному банку по курсу ЦБ, курс американского доллара по отношению к курсу национальной валюты плавно повышается за счет усилий Центрального банка РФ как основного игрока на валютном рынке.</w:t>
      </w:r>
    </w:p>
    <w:tbl>
      <w:tblPr>
        <w:tblW w:w="1000" w:type="pct"/>
        <w:tblCellSpacing w:w="0" w:type="dxa"/>
        <w:tblInd w:w="720" w:type="dxa"/>
        <w:tblCellMar>
          <w:top w:w="75" w:type="dxa"/>
          <w:left w:w="75" w:type="dxa"/>
          <w:bottom w:w="75" w:type="dxa"/>
          <w:right w:w="75" w:type="dxa"/>
        </w:tblCellMar>
        <w:tblLook w:val="0000" w:firstRow="0" w:lastRow="0" w:firstColumn="0" w:lastColumn="0" w:noHBand="0" w:noVBand="0"/>
      </w:tblPr>
      <w:tblGrid>
        <w:gridCol w:w="8400"/>
      </w:tblGrid>
      <w:tr w:rsidR="00763A3D">
        <w:trPr>
          <w:tblCellSpacing w:w="0" w:type="dxa"/>
        </w:trPr>
        <w:tc>
          <w:tcPr>
            <w:tcW w:w="0" w:type="auto"/>
            <w:vAlign w:val="center"/>
          </w:tcPr>
          <w:p w:rsidR="00763A3D" w:rsidRDefault="00763A3D">
            <w:r>
              <w:rPr>
                <w:rStyle w:val="a5"/>
              </w:rPr>
              <w:t>Рис 1.2. Динамика курса американского доллара за период 1996-2002 гг.</w:t>
            </w:r>
          </w:p>
        </w:tc>
      </w:tr>
      <w:tr w:rsidR="00763A3D">
        <w:trPr>
          <w:tblCellSpacing w:w="0" w:type="dxa"/>
        </w:trPr>
        <w:tc>
          <w:tcPr>
            <w:tcW w:w="0" w:type="auto"/>
            <w:vAlign w:val="center"/>
          </w:tcPr>
          <w:p w:rsidR="00763A3D" w:rsidRDefault="000868FE">
            <w:r>
              <w:pict>
                <v:shape id="_x0000_i1031" type="#_x0000_t75" style="width:412.5pt;height:236.25pt">
                  <v:imagedata r:id="rId6" o:title=""/>
                </v:shape>
              </w:pict>
            </w:r>
          </w:p>
        </w:tc>
      </w:tr>
      <w:tr w:rsidR="00763A3D">
        <w:trPr>
          <w:tblCellSpacing w:w="0" w:type="dxa"/>
        </w:trPr>
        <w:tc>
          <w:tcPr>
            <w:tcW w:w="0" w:type="auto"/>
            <w:vAlign w:val="center"/>
          </w:tcPr>
          <w:p w:rsidR="00763A3D" w:rsidRDefault="00763A3D"/>
        </w:tc>
      </w:tr>
    </w:tbl>
    <w:p w:rsidR="00763A3D" w:rsidRDefault="00763A3D" w:rsidP="00763A3D">
      <w:pPr>
        <w:pStyle w:val="a3"/>
        <w:ind w:left="720"/>
      </w:pPr>
      <w:r>
        <w:t>Однако в связи с повышением курса доллара США себестоимость готовой продукции постоянно повышается, что влечет за собой определенные проблемы с ее реализацией и, соответственно, ухудшение основных финансовых показателей промышленного предприятия.</w:t>
      </w:r>
    </w:p>
    <w:p w:rsidR="00763A3D" w:rsidRDefault="00763A3D" w:rsidP="00763A3D">
      <w:pPr>
        <w:pStyle w:val="a3"/>
        <w:ind w:left="720"/>
      </w:pPr>
      <w:r>
        <w:t>Нынешняя ситуация в нашей стране обусловлена низкой платежеспособностью населения. В некоторых регионах люди вынуждены уходить в неоплачиваемые отпуска из-за обвала некоторых отраслей промышленности. Необходимо отметить, что регионов-доноров в Российской Федерации насчитывается 8, а всего регионов - 89. Также негативным для страны является то, что в государственном секторе уровень заработной платы остается очень низким. Однако необходимо отметить, что проблема своевременной выплаты заработной платы существует не только в бюджетной сфере, но и в промышленности, что подтверждает неэффективность деятельности предприятий некоторых отраслей промышленности в Российской Федерации. Исходя из низкого платежеспособного спроса, российские предприятия, ориентированные на отечественный рынок, иногда не могут сбыть свой товар из-за отсутствия спроса на него в результате низкой платежеспособности населения. Данная ситуация отражена в табл. 1.7.</w:t>
      </w:r>
    </w:p>
    <w:p w:rsidR="00763A3D" w:rsidRDefault="00763A3D" w:rsidP="00763A3D">
      <w:pPr>
        <w:pStyle w:val="a3"/>
        <w:ind w:left="720"/>
      </w:pPr>
      <w:r>
        <w:rPr>
          <w:b/>
          <w:bCs/>
        </w:rPr>
        <w:t xml:space="preserve">Таблица 1.7 </w:t>
      </w:r>
      <w:r>
        <w:rPr>
          <w:b/>
          <w:bCs/>
        </w:rPr>
        <w:br/>
        <w:t>Среднемесячная заработная плата работников предприятий и организаций в рублях и долларах США</w:t>
      </w:r>
    </w:p>
    <w:tbl>
      <w:tblPr>
        <w:tblW w:w="5000" w:type="pct"/>
        <w:tblCellSpacing w:w="7" w:type="dxa"/>
        <w:tblInd w:w="720" w:type="dxa"/>
        <w:shd w:val="clear" w:color="auto" w:fill="4F8CD0"/>
        <w:tblCellMar>
          <w:top w:w="30" w:type="dxa"/>
          <w:left w:w="30" w:type="dxa"/>
          <w:bottom w:w="30" w:type="dxa"/>
          <w:right w:w="30" w:type="dxa"/>
        </w:tblCellMar>
        <w:tblLook w:val="0000" w:firstRow="0" w:lastRow="0" w:firstColumn="0" w:lastColumn="0" w:noHBand="0" w:noVBand="0"/>
      </w:tblPr>
      <w:tblGrid>
        <w:gridCol w:w="1388"/>
        <w:gridCol w:w="3135"/>
        <w:gridCol w:w="4920"/>
      </w:tblGrid>
      <w:tr w:rsidR="00763A3D">
        <w:trPr>
          <w:tblCellSpacing w:w="7" w:type="dxa"/>
        </w:trPr>
        <w:tc>
          <w:tcPr>
            <w:tcW w:w="0" w:type="auto"/>
            <w:vMerge w:val="restart"/>
            <w:shd w:val="clear" w:color="auto" w:fill="FFFFFF"/>
            <w:vAlign w:val="center"/>
          </w:tcPr>
          <w:p w:rsidR="00763A3D" w:rsidRDefault="00763A3D">
            <w:r>
              <w:t>Годы</w:t>
            </w:r>
          </w:p>
        </w:tc>
        <w:tc>
          <w:tcPr>
            <w:tcW w:w="0" w:type="auto"/>
            <w:gridSpan w:val="2"/>
            <w:shd w:val="clear" w:color="auto" w:fill="FFFFFF"/>
            <w:vAlign w:val="center"/>
          </w:tcPr>
          <w:p w:rsidR="00763A3D" w:rsidRDefault="00763A3D">
            <w:r>
              <w:t>Среднемесячная заработная плата</w:t>
            </w:r>
          </w:p>
        </w:tc>
      </w:tr>
      <w:tr w:rsidR="00763A3D">
        <w:trPr>
          <w:tblCellSpacing w:w="7" w:type="dxa"/>
        </w:trPr>
        <w:tc>
          <w:tcPr>
            <w:tcW w:w="0" w:type="auto"/>
            <w:vMerge/>
            <w:shd w:val="clear" w:color="auto" w:fill="FFFFFF"/>
            <w:vAlign w:val="center"/>
          </w:tcPr>
          <w:p w:rsidR="00763A3D" w:rsidRDefault="00763A3D"/>
        </w:tc>
        <w:tc>
          <w:tcPr>
            <w:tcW w:w="0" w:type="auto"/>
            <w:shd w:val="clear" w:color="auto" w:fill="FFFFFF"/>
            <w:vAlign w:val="center"/>
          </w:tcPr>
          <w:p w:rsidR="00763A3D" w:rsidRDefault="00763A3D">
            <w:r>
              <w:t>Руб.</w:t>
            </w:r>
          </w:p>
        </w:tc>
        <w:tc>
          <w:tcPr>
            <w:tcW w:w="0" w:type="auto"/>
            <w:shd w:val="clear" w:color="auto" w:fill="FFFFFF"/>
            <w:vAlign w:val="center"/>
          </w:tcPr>
          <w:p w:rsidR="00763A3D" w:rsidRDefault="00763A3D">
            <w:r>
              <w:t>Долл. США</w:t>
            </w:r>
            <w:r>
              <w:rPr>
                <w:vertAlign w:val="superscript"/>
              </w:rPr>
              <w:t>*</w:t>
            </w:r>
          </w:p>
        </w:tc>
      </w:tr>
      <w:tr w:rsidR="00763A3D">
        <w:trPr>
          <w:tblCellSpacing w:w="7" w:type="dxa"/>
        </w:trPr>
        <w:tc>
          <w:tcPr>
            <w:tcW w:w="0" w:type="auto"/>
            <w:shd w:val="clear" w:color="auto" w:fill="FFFFFF"/>
            <w:vAlign w:val="center"/>
          </w:tcPr>
          <w:p w:rsidR="00763A3D" w:rsidRDefault="00763A3D">
            <w:r>
              <w:t>1991</w:t>
            </w:r>
          </w:p>
        </w:tc>
        <w:tc>
          <w:tcPr>
            <w:tcW w:w="0" w:type="auto"/>
            <w:shd w:val="clear" w:color="auto" w:fill="FFFFFF"/>
            <w:vAlign w:val="center"/>
          </w:tcPr>
          <w:p w:rsidR="00763A3D" w:rsidRDefault="00763A3D">
            <w:r>
              <w:t>548</w:t>
            </w:r>
          </w:p>
        </w:tc>
        <w:tc>
          <w:tcPr>
            <w:tcW w:w="0" w:type="auto"/>
            <w:shd w:val="clear" w:color="auto" w:fill="FFFFFF"/>
            <w:vAlign w:val="center"/>
          </w:tcPr>
          <w:p w:rsidR="00763A3D" w:rsidRDefault="00763A3D">
            <w:r>
              <w:t>18</w:t>
            </w:r>
          </w:p>
        </w:tc>
      </w:tr>
      <w:tr w:rsidR="00763A3D">
        <w:trPr>
          <w:tblCellSpacing w:w="7" w:type="dxa"/>
        </w:trPr>
        <w:tc>
          <w:tcPr>
            <w:tcW w:w="0" w:type="auto"/>
            <w:shd w:val="clear" w:color="auto" w:fill="FFFFFF"/>
            <w:vAlign w:val="center"/>
          </w:tcPr>
          <w:p w:rsidR="00763A3D" w:rsidRDefault="00763A3D">
            <w:r>
              <w:t>1992</w:t>
            </w:r>
          </w:p>
        </w:tc>
        <w:tc>
          <w:tcPr>
            <w:tcW w:w="0" w:type="auto"/>
            <w:shd w:val="clear" w:color="auto" w:fill="FFFFFF"/>
            <w:vAlign w:val="center"/>
          </w:tcPr>
          <w:p w:rsidR="00763A3D" w:rsidRDefault="00763A3D">
            <w:r>
              <w:t>5995</w:t>
            </w:r>
          </w:p>
        </w:tc>
        <w:tc>
          <w:tcPr>
            <w:tcW w:w="0" w:type="auto"/>
            <w:shd w:val="clear" w:color="auto" w:fill="FFFFFF"/>
            <w:vAlign w:val="center"/>
          </w:tcPr>
          <w:p w:rsidR="00763A3D" w:rsidRDefault="00763A3D">
            <w:r>
              <w:t>22</w:t>
            </w:r>
          </w:p>
        </w:tc>
      </w:tr>
      <w:tr w:rsidR="00763A3D">
        <w:trPr>
          <w:tblCellSpacing w:w="7" w:type="dxa"/>
        </w:trPr>
        <w:tc>
          <w:tcPr>
            <w:tcW w:w="0" w:type="auto"/>
            <w:shd w:val="clear" w:color="auto" w:fill="FFFFFF"/>
            <w:vAlign w:val="center"/>
          </w:tcPr>
          <w:p w:rsidR="00763A3D" w:rsidRDefault="00763A3D">
            <w:r>
              <w:t>1993</w:t>
            </w:r>
          </w:p>
        </w:tc>
        <w:tc>
          <w:tcPr>
            <w:tcW w:w="0" w:type="auto"/>
            <w:shd w:val="clear" w:color="auto" w:fill="FFFFFF"/>
            <w:vAlign w:val="center"/>
          </w:tcPr>
          <w:p w:rsidR="00763A3D" w:rsidRDefault="00763A3D">
            <w:r>
              <w:t>58663</w:t>
            </w:r>
          </w:p>
        </w:tc>
        <w:tc>
          <w:tcPr>
            <w:tcW w:w="0" w:type="auto"/>
            <w:shd w:val="clear" w:color="auto" w:fill="FFFFFF"/>
            <w:vAlign w:val="center"/>
          </w:tcPr>
          <w:p w:rsidR="00763A3D" w:rsidRDefault="00763A3D">
            <w:r>
              <w:t>57</w:t>
            </w:r>
          </w:p>
        </w:tc>
      </w:tr>
      <w:tr w:rsidR="00763A3D">
        <w:trPr>
          <w:tblCellSpacing w:w="7" w:type="dxa"/>
        </w:trPr>
        <w:tc>
          <w:tcPr>
            <w:tcW w:w="0" w:type="auto"/>
            <w:shd w:val="clear" w:color="auto" w:fill="FFFFFF"/>
            <w:vAlign w:val="center"/>
          </w:tcPr>
          <w:p w:rsidR="00763A3D" w:rsidRDefault="00763A3D">
            <w:r>
              <w:t>1994</w:t>
            </w:r>
          </w:p>
        </w:tc>
        <w:tc>
          <w:tcPr>
            <w:tcW w:w="0" w:type="auto"/>
            <w:shd w:val="clear" w:color="auto" w:fill="FFFFFF"/>
            <w:vAlign w:val="center"/>
          </w:tcPr>
          <w:p w:rsidR="00763A3D" w:rsidRDefault="00763A3D">
            <w:r>
              <w:t>220351</w:t>
            </w:r>
          </w:p>
        </w:tc>
        <w:tc>
          <w:tcPr>
            <w:tcW w:w="0" w:type="auto"/>
            <w:shd w:val="clear" w:color="auto" w:fill="FFFFFF"/>
            <w:vAlign w:val="center"/>
          </w:tcPr>
          <w:p w:rsidR="00763A3D" w:rsidRDefault="00763A3D">
            <w:r>
              <w:t>98</w:t>
            </w:r>
          </w:p>
        </w:tc>
      </w:tr>
      <w:tr w:rsidR="00763A3D">
        <w:trPr>
          <w:tblCellSpacing w:w="7" w:type="dxa"/>
        </w:trPr>
        <w:tc>
          <w:tcPr>
            <w:tcW w:w="0" w:type="auto"/>
            <w:shd w:val="clear" w:color="auto" w:fill="FFFFFF"/>
            <w:vAlign w:val="center"/>
          </w:tcPr>
          <w:p w:rsidR="00763A3D" w:rsidRDefault="00763A3D">
            <w:r>
              <w:t>1995</w:t>
            </w:r>
          </w:p>
        </w:tc>
        <w:tc>
          <w:tcPr>
            <w:tcW w:w="0" w:type="auto"/>
            <w:shd w:val="clear" w:color="auto" w:fill="FFFFFF"/>
            <w:vAlign w:val="center"/>
          </w:tcPr>
          <w:p w:rsidR="00763A3D" w:rsidRDefault="00763A3D">
            <w:r>
              <w:t>472392</w:t>
            </w:r>
          </w:p>
        </w:tc>
        <w:tc>
          <w:tcPr>
            <w:tcW w:w="0" w:type="auto"/>
            <w:shd w:val="clear" w:color="auto" w:fill="FFFFFF"/>
            <w:vAlign w:val="center"/>
          </w:tcPr>
          <w:p w:rsidR="00763A3D" w:rsidRDefault="00763A3D">
            <w:r>
              <w:t>103</w:t>
            </w:r>
          </w:p>
        </w:tc>
      </w:tr>
      <w:tr w:rsidR="00763A3D">
        <w:trPr>
          <w:tblCellSpacing w:w="7" w:type="dxa"/>
        </w:trPr>
        <w:tc>
          <w:tcPr>
            <w:tcW w:w="0" w:type="auto"/>
            <w:shd w:val="clear" w:color="auto" w:fill="FFFFFF"/>
            <w:vAlign w:val="center"/>
          </w:tcPr>
          <w:p w:rsidR="00763A3D" w:rsidRDefault="00763A3D">
            <w:r>
              <w:t>1996</w:t>
            </w:r>
          </w:p>
        </w:tc>
        <w:tc>
          <w:tcPr>
            <w:tcW w:w="0" w:type="auto"/>
            <w:shd w:val="clear" w:color="auto" w:fill="FFFFFF"/>
            <w:vAlign w:val="center"/>
          </w:tcPr>
          <w:p w:rsidR="00763A3D" w:rsidRDefault="00763A3D">
            <w:r>
              <w:t>790210</w:t>
            </w:r>
          </w:p>
        </w:tc>
        <w:tc>
          <w:tcPr>
            <w:tcW w:w="0" w:type="auto"/>
            <w:shd w:val="clear" w:color="auto" w:fill="FFFFFF"/>
            <w:vAlign w:val="center"/>
          </w:tcPr>
          <w:p w:rsidR="00763A3D" w:rsidRDefault="00763A3D">
            <w:r>
              <w:t>154</w:t>
            </w:r>
          </w:p>
        </w:tc>
      </w:tr>
      <w:tr w:rsidR="00763A3D">
        <w:trPr>
          <w:tblCellSpacing w:w="7" w:type="dxa"/>
        </w:trPr>
        <w:tc>
          <w:tcPr>
            <w:tcW w:w="0" w:type="auto"/>
            <w:shd w:val="clear" w:color="auto" w:fill="FFFFFF"/>
            <w:vAlign w:val="center"/>
          </w:tcPr>
          <w:p w:rsidR="00763A3D" w:rsidRDefault="00763A3D">
            <w:r>
              <w:t>1997</w:t>
            </w:r>
          </w:p>
        </w:tc>
        <w:tc>
          <w:tcPr>
            <w:tcW w:w="0" w:type="auto"/>
            <w:shd w:val="clear" w:color="auto" w:fill="FFFFFF"/>
            <w:vAlign w:val="center"/>
          </w:tcPr>
          <w:p w:rsidR="00763A3D" w:rsidRDefault="00763A3D">
            <w:r>
              <w:t>950205</w:t>
            </w:r>
          </w:p>
        </w:tc>
        <w:tc>
          <w:tcPr>
            <w:tcW w:w="0" w:type="auto"/>
            <w:shd w:val="clear" w:color="auto" w:fill="FFFFFF"/>
            <w:vAlign w:val="center"/>
          </w:tcPr>
          <w:p w:rsidR="00763A3D" w:rsidRDefault="00763A3D">
            <w:r>
              <w:t>164</w:t>
            </w:r>
          </w:p>
        </w:tc>
      </w:tr>
      <w:tr w:rsidR="00763A3D">
        <w:trPr>
          <w:tblCellSpacing w:w="7" w:type="dxa"/>
        </w:trPr>
        <w:tc>
          <w:tcPr>
            <w:tcW w:w="0" w:type="auto"/>
            <w:shd w:val="clear" w:color="auto" w:fill="FFFFFF"/>
            <w:vAlign w:val="center"/>
          </w:tcPr>
          <w:p w:rsidR="00763A3D" w:rsidRDefault="00763A3D">
            <w:r>
              <w:t>1998</w:t>
            </w:r>
          </w:p>
        </w:tc>
        <w:tc>
          <w:tcPr>
            <w:tcW w:w="0" w:type="auto"/>
            <w:shd w:val="clear" w:color="auto" w:fill="FFFFFF"/>
            <w:vAlign w:val="center"/>
          </w:tcPr>
          <w:p w:rsidR="00763A3D" w:rsidRDefault="00763A3D">
            <w:r>
              <w:t>1051</w:t>
            </w:r>
          </w:p>
        </w:tc>
        <w:tc>
          <w:tcPr>
            <w:tcW w:w="0" w:type="auto"/>
            <w:shd w:val="clear" w:color="auto" w:fill="FFFFFF"/>
            <w:vAlign w:val="center"/>
          </w:tcPr>
          <w:p w:rsidR="00763A3D" w:rsidRDefault="00763A3D">
            <w:r>
              <w:t>108</w:t>
            </w:r>
          </w:p>
        </w:tc>
      </w:tr>
      <w:tr w:rsidR="00763A3D">
        <w:trPr>
          <w:tblCellSpacing w:w="7" w:type="dxa"/>
        </w:trPr>
        <w:tc>
          <w:tcPr>
            <w:tcW w:w="0" w:type="auto"/>
            <w:shd w:val="clear" w:color="auto" w:fill="FFFFFF"/>
            <w:vAlign w:val="center"/>
          </w:tcPr>
          <w:p w:rsidR="00763A3D" w:rsidRDefault="00763A3D">
            <w:r>
              <w:t>1999</w:t>
            </w:r>
          </w:p>
        </w:tc>
        <w:tc>
          <w:tcPr>
            <w:tcW w:w="0" w:type="auto"/>
            <w:shd w:val="clear" w:color="auto" w:fill="FFFFFF"/>
            <w:vAlign w:val="center"/>
          </w:tcPr>
          <w:p w:rsidR="00763A3D" w:rsidRDefault="00763A3D">
            <w:r>
              <w:t>1582</w:t>
            </w:r>
          </w:p>
        </w:tc>
        <w:tc>
          <w:tcPr>
            <w:tcW w:w="0" w:type="auto"/>
            <w:shd w:val="clear" w:color="auto" w:fill="FFFFFF"/>
            <w:vAlign w:val="center"/>
          </w:tcPr>
          <w:p w:rsidR="00763A3D" w:rsidRDefault="00763A3D">
            <w:r>
              <w:t>64</w:t>
            </w:r>
          </w:p>
        </w:tc>
      </w:tr>
    </w:tbl>
    <w:p w:rsidR="00763A3D" w:rsidRDefault="00763A3D" w:rsidP="00763A3D">
      <w:pPr>
        <w:pStyle w:val="a3"/>
        <w:ind w:left="720"/>
      </w:pPr>
      <w:r>
        <w:rPr>
          <w:vertAlign w:val="superscript"/>
        </w:rPr>
        <w:t>*</w:t>
      </w:r>
      <w:r>
        <w:t xml:space="preserve"> Исходя из среднегодового официального курса долларов США </w:t>
      </w:r>
    </w:p>
    <w:p w:rsidR="00763A3D" w:rsidRDefault="00763A3D" w:rsidP="00763A3D">
      <w:pPr>
        <w:pStyle w:val="a3"/>
        <w:ind w:left="720"/>
      </w:pPr>
      <w:r>
        <w:t>Анализ данных табл. 1.7 показывает, что уровень средней заработной платы в РФ в долларовом эквиваленте, начиная с 1997 года, постоянно снижается, а в 1999 году снижение составило 68,75%.</w:t>
      </w:r>
    </w:p>
    <w:p w:rsidR="00763A3D" w:rsidRDefault="00763A3D" w:rsidP="00763A3D">
      <w:pPr>
        <w:pStyle w:val="a3"/>
        <w:ind w:left="720"/>
      </w:pPr>
      <w:r>
        <w:t>Одной из главных задач государства является повышение уровня экономики и благосостояния населения с параллельным сдерживанием темпов роста инфляции в пределах нормативного значения, который каждый год устанавливается правительством РФ. Если темпы индексации заработной платы являются более низкими по отношению к темпам роста инфляции за отчетный период, то это приводит к снижению платежеспособности населения.</w:t>
      </w:r>
    </w:p>
    <w:p w:rsidR="00763A3D" w:rsidRDefault="00763A3D" w:rsidP="00763A3D">
      <w:pPr>
        <w:pStyle w:val="a3"/>
        <w:ind w:left="720"/>
      </w:pPr>
      <w:r>
        <w:t>Также увеличение темпов роста инфляции приводит к незапланированному росту отпускных цен на производимую продукцию в связи с повышением себестоимости продукции, что, в свою очередь, приводит предприятие к определенным проблемам при реализации продукции.</w:t>
      </w:r>
    </w:p>
    <w:p w:rsidR="00763A3D" w:rsidRDefault="00763A3D" w:rsidP="00763A3D">
      <w:pPr>
        <w:pStyle w:val="a3"/>
        <w:ind w:left="720"/>
      </w:pPr>
      <w:r>
        <w:t>Необходимо отметить, что высокие темпы роста инфляции при длительном производственном цикле приводят предприятие к финансовым потерям в виде обесценения денежных средств.</w:t>
      </w:r>
    </w:p>
    <w:p w:rsidR="00763A3D" w:rsidRDefault="00763A3D" w:rsidP="00763A3D">
      <w:pPr>
        <w:pStyle w:val="a3"/>
        <w:ind w:left="720"/>
      </w:pPr>
      <w:r>
        <w:t>Динамика темпов роста инфляции в Российской Федерации с 1993 - 2001 гг. показана в табл. 1.8.</w:t>
      </w:r>
    </w:p>
    <w:p w:rsidR="00763A3D" w:rsidRDefault="00763A3D" w:rsidP="00763A3D">
      <w:pPr>
        <w:pStyle w:val="a3"/>
        <w:ind w:left="720"/>
      </w:pPr>
      <w:r>
        <w:rPr>
          <w:b/>
          <w:bCs/>
        </w:rPr>
        <w:t xml:space="preserve">Таблица 1.8 </w:t>
      </w:r>
      <w:r>
        <w:rPr>
          <w:b/>
          <w:bCs/>
        </w:rPr>
        <w:br/>
        <w:t>Динамка темпов роста инфляции в РФ</w:t>
      </w:r>
    </w:p>
    <w:tbl>
      <w:tblPr>
        <w:tblW w:w="5000" w:type="pct"/>
        <w:tblCellSpacing w:w="7" w:type="dxa"/>
        <w:tblInd w:w="720" w:type="dxa"/>
        <w:shd w:val="clear" w:color="auto" w:fill="4F8CD0"/>
        <w:tblCellMar>
          <w:top w:w="30" w:type="dxa"/>
          <w:left w:w="30" w:type="dxa"/>
          <w:bottom w:w="30" w:type="dxa"/>
          <w:right w:w="30" w:type="dxa"/>
        </w:tblCellMar>
        <w:tblLook w:val="0000" w:firstRow="0" w:lastRow="0" w:firstColumn="0" w:lastColumn="0" w:noHBand="0" w:noVBand="0"/>
      </w:tblPr>
      <w:tblGrid>
        <w:gridCol w:w="4721"/>
        <w:gridCol w:w="4722"/>
      </w:tblGrid>
      <w:tr w:rsidR="00763A3D">
        <w:trPr>
          <w:tblCellSpacing w:w="7" w:type="dxa"/>
        </w:trPr>
        <w:tc>
          <w:tcPr>
            <w:tcW w:w="2500" w:type="pct"/>
            <w:shd w:val="clear" w:color="auto" w:fill="4F8CD0"/>
            <w:vAlign w:val="center"/>
          </w:tcPr>
          <w:p w:rsidR="00763A3D" w:rsidRDefault="00763A3D">
            <w:r>
              <w:t>Годы</w:t>
            </w:r>
          </w:p>
        </w:tc>
        <w:tc>
          <w:tcPr>
            <w:tcW w:w="0" w:type="auto"/>
            <w:shd w:val="clear" w:color="auto" w:fill="4F8CD0"/>
            <w:vAlign w:val="center"/>
          </w:tcPr>
          <w:p w:rsidR="00763A3D" w:rsidRDefault="00763A3D">
            <w:r>
              <w:t>Уровень инфляции (%)</w:t>
            </w:r>
          </w:p>
        </w:tc>
      </w:tr>
      <w:tr w:rsidR="00763A3D">
        <w:trPr>
          <w:tblCellSpacing w:w="7" w:type="dxa"/>
        </w:trPr>
        <w:tc>
          <w:tcPr>
            <w:tcW w:w="0" w:type="auto"/>
            <w:shd w:val="clear" w:color="auto" w:fill="FFFFFF"/>
            <w:vAlign w:val="center"/>
          </w:tcPr>
          <w:p w:rsidR="00763A3D" w:rsidRDefault="00763A3D">
            <w:r>
              <w:t>1993</w:t>
            </w:r>
          </w:p>
        </w:tc>
        <w:tc>
          <w:tcPr>
            <w:tcW w:w="0" w:type="auto"/>
            <w:shd w:val="clear" w:color="auto" w:fill="FFFFFF"/>
            <w:vAlign w:val="center"/>
          </w:tcPr>
          <w:p w:rsidR="00763A3D" w:rsidRDefault="00763A3D">
            <w:r>
              <w:t>844,2</w:t>
            </w:r>
          </w:p>
        </w:tc>
      </w:tr>
      <w:tr w:rsidR="00763A3D">
        <w:trPr>
          <w:tblCellSpacing w:w="7" w:type="dxa"/>
        </w:trPr>
        <w:tc>
          <w:tcPr>
            <w:tcW w:w="0" w:type="auto"/>
            <w:shd w:val="clear" w:color="auto" w:fill="FFFFFF"/>
            <w:vAlign w:val="center"/>
          </w:tcPr>
          <w:p w:rsidR="00763A3D" w:rsidRDefault="00763A3D">
            <w:r>
              <w:t>1994</w:t>
            </w:r>
          </w:p>
        </w:tc>
        <w:tc>
          <w:tcPr>
            <w:tcW w:w="0" w:type="auto"/>
            <w:shd w:val="clear" w:color="auto" w:fill="FFFFFF"/>
            <w:vAlign w:val="center"/>
          </w:tcPr>
          <w:p w:rsidR="00763A3D" w:rsidRDefault="00763A3D">
            <w:r>
              <w:t>215,0</w:t>
            </w:r>
          </w:p>
        </w:tc>
      </w:tr>
      <w:tr w:rsidR="00763A3D">
        <w:trPr>
          <w:tblCellSpacing w:w="7" w:type="dxa"/>
        </w:trPr>
        <w:tc>
          <w:tcPr>
            <w:tcW w:w="0" w:type="auto"/>
            <w:shd w:val="clear" w:color="auto" w:fill="FFFFFF"/>
            <w:vAlign w:val="center"/>
          </w:tcPr>
          <w:p w:rsidR="00763A3D" w:rsidRDefault="00763A3D">
            <w:r>
              <w:t>1995</w:t>
            </w:r>
          </w:p>
        </w:tc>
        <w:tc>
          <w:tcPr>
            <w:tcW w:w="0" w:type="auto"/>
            <w:shd w:val="clear" w:color="auto" w:fill="FFFFFF"/>
            <w:vAlign w:val="center"/>
          </w:tcPr>
          <w:p w:rsidR="00763A3D" w:rsidRDefault="00763A3D">
            <w:r>
              <w:t>131,3</w:t>
            </w:r>
          </w:p>
        </w:tc>
      </w:tr>
      <w:tr w:rsidR="00763A3D">
        <w:trPr>
          <w:tblCellSpacing w:w="7" w:type="dxa"/>
        </w:trPr>
        <w:tc>
          <w:tcPr>
            <w:tcW w:w="0" w:type="auto"/>
            <w:shd w:val="clear" w:color="auto" w:fill="FFFFFF"/>
            <w:vAlign w:val="center"/>
          </w:tcPr>
          <w:p w:rsidR="00763A3D" w:rsidRDefault="00763A3D">
            <w:r>
              <w:t>1996</w:t>
            </w:r>
          </w:p>
        </w:tc>
        <w:tc>
          <w:tcPr>
            <w:tcW w:w="0" w:type="auto"/>
            <w:shd w:val="clear" w:color="auto" w:fill="FFFFFF"/>
            <w:vAlign w:val="center"/>
          </w:tcPr>
          <w:p w:rsidR="00763A3D" w:rsidRDefault="00763A3D">
            <w:r>
              <w:t>21,9</w:t>
            </w:r>
          </w:p>
        </w:tc>
      </w:tr>
      <w:tr w:rsidR="00763A3D">
        <w:trPr>
          <w:tblCellSpacing w:w="7" w:type="dxa"/>
        </w:trPr>
        <w:tc>
          <w:tcPr>
            <w:tcW w:w="0" w:type="auto"/>
            <w:shd w:val="clear" w:color="auto" w:fill="FFFFFF"/>
            <w:vAlign w:val="center"/>
          </w:tcPr>
          <w:p w:rsidR="00763A3D" w:rsidRDefault="00763A3D">
            <w:r>
              <w:t>1997</w:t>
            </w:r>
          </w:p>
        </w:tc>
        <w:tc>
          <w:tcPr>
            <w:tcW w:w="0" w:type="auto"/>
            <w:shd w:val="clear" w:color="auto" w:fill="FFFFFF"/>
            <w:vAlign w:val="center"/>
          </w:tcPr>
          <w:p w:rsidR="00763A3D" w:rsidRDefault="00763A3D">
            <w:r>
              <w:t>11,8</w:t>
            </w:r>
          </w:p>
        </w:tc>
      </w:tr>
      <w:tr w:rsidR="00763A3D">
        <w:trPr>
          <w:tblCellSpacing w:w="7" w:type="dxa"/>
        </w:trPr>
        <w:tc>
          <w:tcPr>
            <w:tcW w:w="0" w:type="auto"/>
            <w:shd w:val="clear" w:color="auto" w:fill="FFFFFF"/>
            <w:vAlign w:val="center"/>
          </w:tcPr>
          <w:p w:rsidR="00763A3D" w:rsidRDefault="00763A3D">
            <w:r>
              <w:t>1998</w:t>
            </w:r>
          </w:p>
        </w:tc>
        <w:tc>
          <w:tcPr>
            <w:tcW w:w="0" w:type="auto"/>
            <w:shd w:val="clear" w:color="auto" w:fill="FFFFFF"/>
            <w:vAlign w:val="center"/>
          </w:tcPr>
          <w:p w:rsidR="00763A3D" w:rsidRDefault="00763A3D">
            <w:r>
              <w:t>84,4</w:t>
            </w:r>
          </w:p>
        </w:tc>
      </w:tr>
      <w:tr w:rsidR="00763A3D">
        <w:trPr>
          <w:tblCellSpacing w:w="7" w:type="dxa"/>
        </w:trPr>
        <w:tc>
          <w:tcPr>
            <w:tcW w:w="0" w:type="auto"/>
            <w:shd w:val="clear" w:color="auto" w:fill="FFFFFF"/>
            <w:vAlign w:val="center"/>
          </w:tcPr>
          <w:p w:rsidR="00763A3D" w:rsidRDefault="00763A3D">
            <w:r>
              <w:t>1999</w:t>
            </w:r>
          </w:p>
        </w:tc>
        <w:tc>
          <w:tcPr>
            <w:tcW w:w="0" w:type="auto"/>
            <w:shd w:val="clear" w:color="auto" w:fill="FFFFFF"/>
            <w:vAlign w:val="center"/>
          </w:tcPr>
          <w:p w:rsidR="00763A3D" w:rsidRDefault="00763A3D">
            <w:r>
              <w:t>36,5</w:t>
            </w:r>
          </w:p>
        </w:tc>
      </w:tr>
      <w:tr w:rsidR="00763A3D">
        <w:trPr>
          <w:tblCellSpacing w:w="7" w:type="dxa"/>
        </w:trPr>
        <w:tc>
          <w:tcPr>
            <w:tcW w:w="0" w:type="auto"/>
            <w:shd w:val="clear" w:color="auto" w:fill="FFFFFF"/>
            <w:vAlign w:val="center"/>
          </w:tcPr>
          <w:p w:rsidR="00763A3D" w:rsidRDefault="00763A3D">
            <w:r>
              <w:t>2000</w:t>
            </w:r>
          </w:p>
        </w:tc>
        <w:tc>
          <w:tcPr>
            <w:tcW w:w="0" w:type="auto"/>
            <w:shd w:val="clear" w:color="auto" w:fill="FFFFFF"/>
            <w:vAlign w:val="center"/>
          </w:tcPr>
          <w:p w:rsidR="00763A3D" w:rsidRDefault="00763A3D">
            <w:r>
              <w:t>18,5</w:t>
            </w:r>
          </w:p>
        </w:tc>
      </w:tr>
      <w:tr w:rsidR="00763A3D">
        <w:trPr>
          <w:tblCellSpacing w:w="7" w:type="dxa"/>
        </w:trPr>
        <w:tc>
          <w:tcPr>
            <w:tcW w:w="0" w:type="auto"/>
            <w:shd w:val="clear" w:color="auto" w:fill="FFFFFF"/>
            <w:vAlign w:val="center"/>
          </w:tcPr>
          <w:p w:rsidR="00763A3D" w:rsidRDefault="00763A3D">
            <w:r>
              <w:t>2001</w:t>
            </w:r>
          </w:p>
        </w:tc>
        <w:tc>
          <w:tcPr>
            <w:tcW w:w="0" w:type="auto"/>
            <w:shd w:val="clear" w:color="auto" w:fill="FFFFFF"/>
            <w:vAlign w:val="center"/>
          </w:tcPr>
          <w:p w:rsidR="00763A3D" w:rsidRDefault="00763A3D">
            <w:r>
              <w:t>17,5</w:t>
            </w:r>
          </w:p>
        </w:tc>
      </w:tr>
    </w:tbl>
    <w:p w:rsidR="00763A3D" w:rsidRDefault="00763A3D" w:rsidP="00763A3D">
      <w:pPr>
        <w:pStyle w:val="a3"/>
        <w:ind w:left="720"/>
      </w:pPr>
      <w:r>
        <w:t>Анализ данных, приведенных в табл. 1.8, позволяет сделать вывод о том, что, несмотря на то, что темпы роста инфляции в стране за последние два года стабилизировались, правительству РФ не удается снизить их до 8-10%, согласно намеченным результатам финансовой политики государства.</w:t>
      </w:r>
    </w:p>
    <w:p w:rsidR="00763A3D" w:rsidRDefault="00763A3D" w:rsidP="00763A3D">
      <w:pPr>
        <w:pStyle w:val="a3"/>
        <w:ind w:left="720"/>
      </w:pPr>
      <w:r>
        <w:t>При анализе факторов, воздействующих на финансовые результаты, важным остается изучение внутренних факторов. В данной диссертационной работе определены следующие основные внутренние факторы: особенности построения организационной структуры управления предприятием и особенности организации учетного процесса (управленческого, статистического, налогового, финансового учета).</w:t>
      </w:r>
    </w:p>
    <w:p w:rsidR="00763A3D" w:rsidRDefault="00763A3D" w:rsidP="00763A3D">
      <w:pPr>
        <w:pStyle w:val="a3"/>
        <w:ind w:left="720"/>
      </w:pPr>
      <w:r>
        <w:t>Эффективность организационной структуры управления предприятием зависит от быстрой и качественной передачи информации и результатов деятельности из одного подразделения предприятия в другие. Необходимо сформировать организационную структуру таким образом, чтобы равномерно распределить обязанности между отделами предприятия. По нашему мнению, предприятие работает неэффективно, если данные условия не соблюдаются.</w:t>
      </w:r>
    </w:p>
    <w:p w:rsidR="00763A3D" w:rsidRDefault="00763A3D" w:rsidP="00763A3D">
      <w:pPr>
        <w:pStyle w:val="a3"/>
        <w:ind w:left="720"/>
      </w:pPr>
      <w:r>
        <w:t>Предоставление самостоятельности предприятиям в решении как текущих вопросов их деятельности, так и в определении путей их дальнейшего развития, вызывает потребность в создании соответствующей информационной системы. В этой связи для предприятия необходимо использование следующих видов учета: управленческого, статистического, налогового, финансового.</w:t>
      </w:r>
    </w:p>
    <w:p w:rsidR="00763A3D" w:rsidRDefault="00763A3D" w:rsidP="00763A3D">
      <w:pPr>
        <w:pStyle w:val="a3"/>
        <w:ind w:left="720"/>
      </w:pPr>
      <w:r>
        <w:t>Рассмотренные в данной диссертационной работе показатели состояния промышленности Российской Федерации определяют факторы финансовых рисков промышленного предприятия в условиях вероятностного поведения внешней и внутренней среды.</w:t>
      </w:r>
    </w:p>
    <w:p w:rsidR="00763A3D" w:rsidRDefault="00763A3D" w:rsidP="00763A3D">
      <w:pPr>
        <w:pStyle w:val="a3"/>
        <w:ind w:left="720"/>
      </w:pPr>
      <w:r>
        <w:t>Управление финансовыми рисками является, по нашему мнению, одним из самых важных факторов оздоровления промышленного производства, так как их воздействие оказывает влияние на конечные финансовые результаты деятельности промышленного предприятия.</w:t>
      </w:r>
    </w:p>
    <w:p w:rsidR="00763A3D" w:rsidRDefault="00763A3D" w:rsidP="00763A3D">
      <w:pPr>
        <w:pStyle w:val="a3"/>
        <w:ind w:left="720"/>
      </w:pPr>
      <w:r>
        <w:t>Рассмотренные выше факторы оказывают существенное влияние на формирование финансовых рисков промышленного предприятия. Об этом говорят многие ученые на страницах монографий, учебников, статей.</w:t>
      </w:r>
    </w:p>
    <w:p w:rsidR="00763A3D" w:rsidRDefault="00763A3D" w:rsidP="00763A3D">
      <w:pPr>
        <w:pStyle w:val="a3"/>
        <w:ind w:left="720"/>
      </w:pPr>
      <w:r>
        <w:t xml:space="preserve">Таким образом, анализ исходных данных позволяет сделать следующие выводы: </w:t>
      </w:r>
    </w:p>
    <w:p w:rsidR="00763A3D" w:rsidRDefault="00763A3D" w:rsidP="00763A3D">
      <w:pPr>
        <w:ind w:left="720"/>
      </w:pPr>
      <w:r>
        <w:t xml:space="preserve">1. Анализ состояния промышленных предприятий Российской Федерации показывает, что за период с 1992 по 2001 гг. произошло снижение эффективности деятельности предприятий промышленности РФ, которое выразилось в снижении уровня рентабельности продукции, увеличении количества убыточных предприятий, увеличении суммарной кредиторской задолженности промышленных предприятий. </w:t>
      </w:r>
    </w:p>
    <w:p w:rsidR="00763A3D" w:rsidRDefault="00763A3D" w:rsidP="00763A3D">
      <w:pPr>
        <w:ind w:left="720"/>
      </w:pPr>
      <w:r>
        <w:t xml:space="preserve">2. Анализ факторов, оказывающих воздействие на состояние промышленности Российской Федерации, позволил к внешним из них отнести: уровень инвестиций в промышленное производство, уровень неплатежей в экономике РФ, уровень инфляции в РФ, изменения налогового законодательства в РФ, изменение курсов валют, снижение платежеспособности населения. Основными внутренними факторами являются особенности построения организационной структуры управления предприятием и достоверность финансовой информации, которая зависит от организации учетного процесса: управленческого, статистического, налогового, финансового учета. </w:t>
      </w:r>
    </w:p>
    <w:p w:rsidR="00763A3D" w:rsidRDefault="00763A3D" w:rsidP="00763A3D">
      <w:pPr>
        <w:ind w:left="720"/>
      </w:pPr>
      <w:r>
        <w:t xml:space="preserve">3. Анализ газовой отрасли показал, что по сравнению с "нетопливными" отраслями промышленности данная отрасль является эффективной, что выражается в более высоком уровне рентабельности продукции и сальдированном финансовом результате за период с 1997-2000 гг. Вместе с тем среди отраслей топливной промышленности она является наиболее нестабильной. Уровень рентабельности уменьшился с 31,1% в 1999 году до 22,6% в 2000 году. Сальдированный финансовый результат по итогам 2000 года нефтедобывающей промышленности превысил соответствующий результат газовой промышленности в 20,81 раза. Удельный вес убыточных предприятий в газовой промышленности достиг 25% от общего числа предприятий, в то время как в нефтедобывающей промышленности уровень убыточных предприятий составляет 8,5% к 2000 году. </w:t>
      </w:r>
    </w:p>
    <w:p w:rsidR="00763A3D" w:rsidRDefault="00763A3D" w:rsidP="00763A3D">
      <w:pPr>
        <w:ind w:left="720"/>
      </w:pPr>
      <w:r>
        <w:t>4. Одним из путей, позволяющих увеличить эффективность деятельности промышленных предприятий в РФ, является разработка системы управления финансовыми рисками промышленных предприятий.</w:t>
      </w:r>
    </w:p>
    <w:p w:rsidR="00763A3D" w:rsidRDefault="00763A3D">
      <w:bookmarkStart w:id="0" w:name="_GoBack"/>
      <w:bookmarkEnd w:id="0"/>
    </w:p>
    <w:sectPr w:rsidR="00763A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A3D"/>
    <w:rsid w:val="000868FE"/>
    <w:rsid w:val="00763A3D"/>
    <w:rsid w:val="00AF444A"/>
    <w:rsid w:val="00FB5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74BEC256-F5BE-4F8B-85A1-632BFF29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763A3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63A3D"/>
    <w:pPr>
      <w:spacing w:before="100" w:beforeAutospacing="1" w:after="100" w:afterAutospacing="1"/>
    </w:pPr>
  </w:style>
  <w:style w:type="character" w:styleId="a4">
    <w:name w:val="Hyperlink"/>
    <w:basedOn w:val="a0"/>
    <w:rsid w:val="00763A3D"/>
    <w:rPr>
      <w:color w:val="0000FF"/>
      <w:u w:val="single"/>
    </w:rPr>
  </w:style>
  <w:style w:type="character" w:styleId="a5">
    <w:name w:val="Strong"/>
    <w:basedOn w:val="a0"/>
    <w:qFormat/>
    <w:rsid w:val="00763A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06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statistics.mc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3579</Words>
  <Characters>20402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23934</CharactersWithSpaces>
  <SharedDoc>false</SharedDoc>
  <HLinks>
    <vt:vector size="6" baseType="variant">
      <vt:variant>
        <vt:i4>5308493</vt:i4>
      </vt:variant>
      <vt:variant>
        <vt:i4>0</vt:i4>
      </vt:variant>
      <vt:variant>
        <vt:i4>0</vt:i4>
      </vt:variant>
      <vt:variant>
        <vt:i4>5</vt:i4>
      </vt:variant>
      <vt:variant>
        <vt:lpwstr>http://www.statistics.mck.ru/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2014-05-13T00:20:00Z</dcterms:created>
  <dcterms:modified xsi:type="dcterms:W3CDTF">2014-05-13T00:20:00Z</dcterms:modified>
</cp:coreProperties>
</file>