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1E2" w:rsidRPr="004A08E0" w:rsidRDefault="004701E2" w:rsidP="004701E2">
      <w:pPr>
        <w:jc w:val="center"/>
        <w:rPr>
          <w:b/>
        </w:rPr>
      </w:pPr>
      <w:r w:rsidRPr="004A08E0">
        <w:rPr>
          <w:b/>
        </w:rPr>
        <w:t>Темы рефератов</w:t>
      </w:r>
    </w:p>
    <w:p w:rsidR="004701E2" w:rsidRDefault="004701E2" w:rsidP="004701E2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</w:pPr>
      <w:r>
        <w:t>Роль Древней Руси в формировании политической карты Европы.</w:t>
      </w:r>
    </w:p>
    <w:p w:rsidR="004701E2" w:rsidRDefault="004701E2" w:rsidP="004701E2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</w:pPr>
      <w:r>
        <w:t xml:space="preserve">Православная церковь в развитии русской культуры </w:t>
      </w:r>
      <w:r>
        <w:rPr>
          <w:lang w:val="en-US"/>
        </w:rPr>
        <w:t>XII</w:t>
      </w:r>
      <w:r w:rsidRPr="004701E2">
        <w:t>-</w:t>
      </w:r>
      <w:r>
        <w:rPr>
          <w:lang w:val="en-US"/>
        </w:rPr>
        <w:t>XV</w:t>
      </w:r>
      <w:r w:rsidRPr="004701E2">
        <w:t xml:space="preserve"> </w:t>
      </w:r>
      <w:r>
        <w:t>вв.</w:t>
      </w:r>
    </w:p>
    <w:p w:rsidR="004701E2" w:rsidRDefault="004701E2" w:rsidP="004701E2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</w:pPr>
      <w:r>
        <w:t>Церковный раскол в России, его сущность и значение.</w:t>
      </w:r>
    </w:p>
    <w:p w:rsidR="004701E2" w:rsidRDefault="004701E2" w:rsidP="004701E2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</w:pPr>
      <w:r>
        <w:t>Вклад русских землепроходцев в великие географические открытия (</w:t>
      </w:r>
      <w:r>
        <w:rPr>
          <w:lang w:val="en-US"/>
        </w:rPr>
        <w:t>XVII</w:t>
      </w:r>
      <w:r w:rsidRPr="004701E2">
        <w:t>-</w:t>
      </w:r>
      <w:r>
        <w:rPr>
          <w:lang w:val="en-US"/>
        </w:rPr>
        <w:t>XIX</w:t>
      </w:r>
      <w:r>
        <w:t xml:space="preserve"> вв.).</w:t>
      </w:r>
    </w:p>
    <w:p w:rsidR="004701E2" w:rsidRDefault="004701E2" w:rsidP="004701E2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</w:pPr>
      <w:r>
        <w:t>Взаимодействие хозяйственной жизни, обычаев, традиций, культур разных народов России в условиях многонационального государства.</w:t>
      </w:r>
    </w:p>
    <w:p w:rsidR="004701E2" w:rsidRDefault="004701E2" w:rsidP="004701E2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</w:pPr>
      <w:r>
        <w:t xml:space="preserve">Становление отечественной науки и системы образования в </w:t>
      </w:r>
      <w:r>
        <w:rPr>
          <w:lang w:val="en-US"/>
        </w:rPr>
        <w:t>XVII</w:t>
      </w:r>
      <w:r>
        <w:t xml:space="preserve"> веке.</w:t>
      </w:r>
    </w:p>
    <w:p w:rsidR="004701E2" w:rsidRDefault="004701E2" w:rsidP="004701E2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</w:pPr>
      <w:r>
        <w:t xml:space="preserve">Крупнейшие представители русской культуры </w:t>
      </w:r>
      <w:r>
        <w:rPr>
          <w:lang w:val="en-US"/>
        </w:rPr>
        <w:t>XVIII</w:t>
      </w:r>
      <w:r>
        <w:t xml:space="preserve"> века6 исторические портреты.</w:t>
      </w:r>
    </w:p>
    <w:p w:rsidR="004701E2" w:rsidRDefault="004701E2" w:rsidP="004701E2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</w:pPr>
      <w:r>
        <w:t xml:space="preserve">Отражение общественных проблем в русской литературе первой половины </w:t>
      </w:r>
      <w:r>
        <w:rPr>
          <w:lang w:val="en-US"/>
        </w:rPr>
        <w:t>XIX</w:t>
      </w:r>
      <w:r>
        <w:t xml:space="preserve"> в.</w:t>
      </w:r>
    </w:p>
    <w:p w:rsidR="004701E2" w:rsidRDefault="004701E2" w:rsidP="004701E2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</w:pPr>
      <w:r>
        <w:t xml:space="preserve">Деятели русской культуры первой половины </w:t>
      </w:r>
      <w:r>
        <w:rPr>
          <w:lang w:val="en-US"/>
        </w:rPr>
        <w:t>XIX</w:t>
      </w:r>
      <w:r>
        <w:t xml:space="preserve"> в. Исторические портреты.</w:t>
      </w:r>
    </w:p>
    <w:p w:rsidR="004701E2" w:rsidRDefault="004701E2" w:rsidP="004701E2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</w:pPr>
      <w:r>
        <w:t xml:space="preserve">Реформы 60-70 гг. </w:t>
      </w:r>
      <w:r>
        <w:rPr>
          <w:lang w:val="en-US"/>
        </w:rPr>
        <w:t>XIX</w:t>
      </w:r>
      <w:r>
        <w:t xml:space="preserve"> века: Россия на пути перехода от традиционного общества к индустриальному.</w:t>
      </w:r>
    </w:p>
    <w:p w:rsidR="004701E2" w:rsidRDefault="004701E2" w:rsidP="004701E2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</w:pPr>
      <w:r>
        <w:t>Значение отмены крепостного права для развития сельского хозяйства и промышленности России.</w:t>
      </w:r>
    </w:p>
    <w:p w:rsidR="004701E2" w:rsidRDefault="004701E2" w:rsidP="004701E2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</w:pPr>
      <w:r>
        <w:t xml:space="preserve">Развитие аптечного дела в России в </w:t>
      </w:r>
      <w:r>
        <w:rPr>
          <w:lang w:val="en-US"/>
        </w:rPr>
        <w:t>XVII</w:t>
      </w:r>
      <w:r w:rsidRPr="004701E2">
        <w:t>-</w:t>
      </w:r>
      <w:r>
        <w:rPr>
          <w:lang w:val="en-US"/>
        </w:rPr>
        <w:t>XIX</w:t>
      </w:r>
      <w:r>
        <w:t xml:space="preserve"> вв.</w:t>
      </w:r>
    </w:p>
    <w:p w:rsidR="004701E2" w:rsidRDefault="004701E2" w:rsidP="004701E2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</w:pPr>
      <w:r>
        <w:t xml:space="preserve">Николай Иванович Пирогов – основоположник </w:t>
      </w:r>
      <w:r w:rsidR="009F38C2">
        <w:t>во</w:t>
      </w:r>
      <w:r>
        <w:t>енно-полевой хирургии.</w:t>
      </w:r>
    </w:p>
    <w:p w:rsidR="004701E2" w:rsidRDefault="004701E2" w:rsidP="004701E2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</w:pPr>
      <w:r>
        <w:t>Иван Михайлович Сеченов – создатель русской физиологической школы.</w:t>
      </w:r>
    </w:p>
    <w:p w:rsidR="004701E2" w:rsidRDefault="009F38C2" w:rsidP="004701E2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</w:pPr>
      <w:r>
        <w:t>Становление и развитие службы скорой помощи в России: история и современность.</w:t>
      </w:r>
    </w:p>
    <w:p w:rsidR="009F38C2" w:rsidRDefault="008A1D1D" w:rsidP="004701E2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</w:pPr>
      <w:r>
        <w:t xml:space="preserve">Россия и Европа в начале </w:t>
      </w:r>
      <w:r>
        <w:rPr>
          <w:lang w:val="en-US"/>
        </w:rPr>
        <w:t>XX</w:t>
      </w:r>
      <w:r>
        <w:t xml:space="preserve"> века: экономические связи, политические противоречия, культурное взаимодействие.</w:t>
      </w:r>
    </w:p>
    <w:p w:rsidR="008A1D1D" w:rsidRDefault="008A1D1D" w:rsidP="004701E2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</w:pPr>
      <w:r>
        <w:t>Царизм и модернизация России: охранительные тенденции и политика реформ.</w:t>
      </w:r>
    </w:p>
    <w:p w:rsidR="008A1D1D" w:rsidRDefault="008A1D1D" w:rsidP="004701E2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</w:pPr>
      <w:r>
        <w:t>Столыпинская аграрная реформа и ее роль в дальнейшем развитии российской экономики.</w:t>
      </w:r>
    </w:p>
    <w:p w:rsidR="008A1D1D" w:rsidRDefault="008A1D1D" w:rsidP="004701E2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</w:pPr>
      <w:r>
        <w:t>Исторический опыт государственного реформирования экономики России, его значение для нашего времени.</w:t>
      </w:r>
    </w:p>
    <w:p w:rsidR="008A1D1D" w:rsidRDefault="008A1D1D" w:rsidP="004701E2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</w:pPr>
      <w:r>
        <w:t>1917 год: альтернативы общественного развития России.</w:t>
      </w:r>
    </w:p>
    <w:p w:rsidR="008A1D1D" w:rsidRDefault="008A1D1D" w:rsidP="004701E2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</w:pPr>
      <w:r>
        <w:t>Гражданская война глазами их участников и наших современников.</w:t>
      </w:r>
    </w:p>
    <w:p w:rsidR="008A1D1D" w:rsidRDefault="008A1D1D" w:rsidP="004701E2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</w:pPr>
      <w:r>
        <w:t>Сущность политики «военного коммунизма», объективные и субъективные факторы, определившие ее.</w:t>
      </w:r>
    </w:p>
    <w:p w:rsidR="00236301" w:rsidRDefault="00236301" w:rsidP="004701E2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</w:pPr>
      <w:r>
        <w:t>Новая экономическая политика: сущность, достижения, внутренние противоречия.</w:t>
      </w:r>
    </w:p>
    <w:p w:rsidR="008A1D1D" w:rsidRDefault="008A1D1D" w:rsidP="004701E2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</w:pPr>
      <w:r>
        <w:t>Попытки фальсификации значения Великой Отечественной войны, советского народа во Второй мировой войне.</w:t>
      </w:r>
    </w:p>
    <w:p w:rsidR="00236301" w:rsidRDefault="00236301" w:rsidP="00236301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</w:pPr>
      <w:r>
        <w:t>Советские госпитали в период Великой Отечественной войны.</w:t>
      </w:r>
    </w:p>
    <w:p w:rsidR="008A1D1D" w:rsidRDefault="008A1D1D" w:rsidP="004701E2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</w:pPr>
      <w:r>
        <w:t>Международное значение разгрома Советской Армией гитлеровского фашизма.</w:t>
      </w:r>
    </w:p>
    <w:p w:rsidR="008A1D1D" w:rsidRDefault="008A1D1D" w:rsidP="004701E2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</w:pPr>
      <w:r>
        <w:t>Усиление авторитета СССР в мире после Второй мировой войны.</w:t>
      </w:r>
    </w:p>
    <w:p w:rsidR="008A1D1D" w:rsidRDefault="00236301" w:rsidP="004701E2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</w:pPr>
      <w:r>
        <w:t xml:space="preserve">Развитие советской медицины в 50-70-е гг. </w:t>
      </w:r>
      <w:r>
        <w:rPr>
          <w:lang w:val="en-US"/>
        </w:rPr>
        <w:t>XX</w:t>
      </w:r>
      <w:r>
        <w:t xml:space="preserve"> века.</w:t>
      </w:r>
    </w:p>
    <w:p w:rsidR="00236301" w:rsidRDefault="00236301" w:rsidP="004701E2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</w:pPr>
      <w:r>
        <w:t>Перестройка в истории России.</w:t>
      </w:r>
    </w:p>
    <w:p w:rsidR="00236301" w:rsidRDefault="00236301" w:rsidP="004701E2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</w:pPr>
      <w:r>
        <w:t>Культура России в контексте мировой цивилизации.</w:t>
      </w:r>
    </w:p>
    <w:p w:rsidR="00236301" w:rsidRDefault="00236301" w:rsidP="004701E2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</w:pPr>
      <w:r>
        <w:t>Совместный путь созидания народов России: реальность и перспективы.</w:t>
      </w:r>
    </w:p>
    <w:p w:rsidR="00236301" w:rsidRDefault="00236301" w:rsidP="004701E2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</w:pPr>
      <w:r>
        <w:t>Россия в системе Стран Содружества.</w:t>
      </w:r>
    </w:p>
    <w:p w:rsidR="00236301" w:rsidRDefault="00236301" w:rsidP="004701E2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</w:pPr>
      <w:r>
        <w:t>Основные направления сотрудничества России и Белоруссии на пути создания Стран Содружества.</w:t>
      </w:r>
    </w:p>
    <w:p w:rsidR="00236301" w:rsidRDefault="00236301" w:rsidP="004701E2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</w:pPr>
      <w:r>
        <w:t>Выпускники медицинского факультета РУДН в регионах России.</w:t>
      </w:r>
    </w:p>
    <w:p w:rsidR="00236301" w:rsidRDefault="00236301" w:rsidP="004701E2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</w:pPr>
      <w:r>
        <w:t>Вклад медицинского факультета РУДН в подготовку специалистов для зарубежных государств.</w:t>
      </w:r>
    </w:p>
    <w:p w:rsidR="00236301" w:rsidRDefault="00236301" w:rsidP="004701E2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</w:pPr>
      <w:r>
        <w:t>Цели и задачи реформы образования, методы ее осуществления.</w:t>
      </w:r>
    </w:p>
    <w:p w:rsidR="00236301" w:rsidRDefault="00236301" w:rsidP="004701E2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</w:pPr>
      <w:r>
        <w:t>Сущность реформы здравоохранения, ее цели и реальность.</w:t>
      </w:r>
    </w:p>
    <w:p w:rsidR="00236301" w:rsidRDefault="00236301" w:rsidP="004701E2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</w:pPr>
      <w:r>
        <w:t xml:space="preserve">Проблемы межнациональных отношений в начале </w:t>
      </w:r>
      <w:r>
        <w:rPr>
          <w:lang w:val="en-US"/>
        </w:rPr>
        <w:t>XXI</w:t>
      </w:r>
      <w:r>
        <w:t xml:space="preserve"> века.</w:t>
      </w:r>
    </w:p>
    <w:p w:rsidR="00236301" w:rsidRDefault="00236301" w:rsidP="004701E2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</w:pPr>
      <w:r>
        <w:t>Реформы в России: задачи и формы проведения.</w:t>
      </w:r>
    </w:p>
    <w:p w:rsidR="00236301" w:rsidRDefault="00236301" w:rsidP="004701E2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</w:pPr>
      <w:r>
        <w:t>Участие России в борьбе с международным терроризмом.</w:t>
      </w:r>
    </w:p>
    <w:p w:rsidR="00236301" w:rsidRDefault="00236301" w:rsidP="004701E2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</w:pPr>
      <w:r>
        <w:t>Трудности становления гражданского общества в России (1991-2010 гг.)</w:t>
      </w:r>
    </w:p>
    <w:p w:rsidR="00EF4606" w:rsidRDefault="00EF4606" w:rsidP="00EF4606">
      <w:pPr>
        <w:tabs>
          <w:tab w:val="num" w:pos="426"/>
        </w:tabs>
        <w:ind w:hanging="426"/>
        <w:jc w:val="center"/>
      </w:pPr>
      <w:r>
        <w:t xml:space="preserve">_________________________________________________________________________________На кафедру необходимо представить текст (оформленный как реферат), </w:t>
      </w:r>
      <w:r>
        <w:rPr>
          <w:lang w:val="en-US"/>
        </w:rPr>
        <w:t>disk</w:t>
      </w:r>
      <w:r>
        <w:t xml:space="preserve"> и отправить на почту (</w:t>
      </w:r>
      <w:r>
        <w:rPr>
          <w:lang w:val="en-US"/>
        </w:rPr>
        <w:t>ubelka</w:t>
      </w:r>
      <w:r>
        <w:t>69@</w:t>
      </w:r>
      <w:r>
        <w:rPr>
          <w:lang w:val="en-US"/>
        </w:rPr>
        <w:t>jmail</w:t>
      </w:r>
      <w:r>
        <w:t>.</w:t>
      </w:r>
      <w:r>
        <w:rPr>
          <w:lang w:val="en-US"/>
        </w:rPr>
        <w:t>com</w:t>
      </w:r>
      <w:r>
        <w:t>).</w:t>
      </w:r>
    </w:p>
    <w:p w:rsidR="00EF4606" w:rsidRDefault="00EF4606" w:rsidP="00EF4606">
      <w:pPr>
        <w:jc w:val="both"/>
      </w:pPr>
    </w:p>
    <w:p w:rsidR="00EF4606" w:rsidRDefault="00EF4606" w:rsidP="00EF4606">
      <w:pPr>
        <w:pStyle w:val="a3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Правила написания реферата</w:t>
      </w:r>
    </w:p>
    <w:p w:rsidR="00EF4606" w:rsidRDefault="00EF4606" w:rsidP="00EF4606">
      <w:pPr>
        <w:ind w:firstLine="480"/>
        <w:jc w:val="both"/>
        <w:rPr>
          <w:snapToGrid w:val="0"/>
        </w:rPr>
      </w:pPr>
      <w:r>
        <w:rPr>
          <w:b/>
          <w:snapToGrid w:val="0"/>
        </w:rPr>
        <w:t>Общие сведения о реферате.</w:t>
      </w:r>
      <w:r>
        <w:rPr>
          <w:snapToGrid w:val="0"/>
        </w:rPr>
        <w:t xml:space="preserve"> При очной форме обучения реферат является одной из форм межсессионного контроля студенческих знаний. В реферате в письменной форме должны быть раскрыты основные положения темы.</w:t>
      </w:r>
    </w:p>
    <w:p w:rsidR="00EF4606" w:rsidRDefault="00EF4606" w:rsidP="00EF4606">
      <w:pPr>
        <w:ind w:firstLine="480"/>
        <w:jc w:val="both"/>
        <w:rPr>
          <w:snapToGrid w:val="0"/>
        </w:rPr>
      </w:pPr>
      <w:r>
        <w:rPr>
          <w:snapToGrid w:val="0"/>
        </w:rPr>
        <w:t>Структура работы. Реферат состоит из плана, введения, основной части, заключения и списка литературы.</w:t>
      </w:r>
    </w:p>
    <w:p w:rsidR="00EF4606" w:rsidRDefault="00EF4606" w:rsidP="00EF4606">
      <w:pPr>
        <w:ind w:firstLine="480"/>
        <w:jc w:val="both"/>
        <w:rPr>
          <w:snapToGrid w:val="0"/>
        </w:rPr>
      </w:pPr>
      <w:r>
        <w:rPr>
          <w:snapToGrid w:val="0"/>
        </w:rPr>
        <w:t>План раскрывает структуру и содержание работы. Во введении необходимо сделать обоснование выбора темы и сделать краткий обзор использованной литературы. Основная часть должна состоять из 2-3 глав, которые в свою очередь подразделяются на параграфы. Каждая глава или параграф выделяется в тексте основной части: ставиться номер пункта и повторяется название этого раздела. Заключение содержит основные выводы автора по изученной теме. Список использованной литературы составляется в алфавитном порядке по правилам библиографического описания.</w:t>
      </w:r>
    </w:p>
    <w:p w:rsidR="00EF4606" w:rsidRDefault="00EF4606" w:rsidP="00EF4606">
      <w:pPr>
        <w:ind w:firstLine="480"/>
        <w:jc w:val="both"/>
        <w:rPr>
          <w:snapToGrid w:val="0"/>
        </w:rPr>
      </w:pPr>
      <w:r>
        <w:rPr>
          <w:b/>
          <w:snapToGrid w:val="0"/>
        </w:rPr>
        <w:t>Подбор литературы.</w:t>
      </w:r>
      <w:r>
        <w:rPr>
          <w:snapToGrid w:val="0"/>
        </w:rPr>
        <w:t xml:space="preserve"> Работу над рефератом необходимо начать с изучения общей литературы по истории России. Здесь необходимо сказать о выборе учебника. Лучше пользоваться учебными пособиями ведущих ву</w:t>
      </w:r>
      <w:r>
        <w:rPr>
          <w:snapToGrid w:val="0"/>
        </w:rPr>
        <w:softHyphen/>
        <w:t xml:space="preserve">зов – МГУ, РУДН или МГПУ. </w:t>
      </w:r>
    </w:p>
    <w:p w:rsidR="00EF4606" w:rsidRDefault="00EF4606" w:rsidP="00EF4606">
      <w:pPr>
        <w:ind w:firstLine="480"/>
        <w:jc w:val="both"/>
        <w:rPr>
          <w:snapToGrid w:val="0"/>
        </w:rPr>
      </w:pPr>
      <w:r>
        <w:rPr>
          <w:snapToGrid w:val="0"/>
        </w:rPr>
        <w:t>Вторым этапом является изучение специальной литературы по выбранной теме. Студенты могут использовать любые учебные пособия и исследования. Автор реферата должен составить список использованной литературы, с привлечением статей из научно-исторических и научно-педагогических журналов. Раскрытие темы на должном уровне</w:t>
      </w:r>
      <w:r>
        <w:rPr>
          <w:b/>
          <w:snapToGrid w:val="0"/>
        </w:rPr>
        <w:t xml:space="preserve"> </w:t>
      </w:r>
      <w:r>
        <w:rPr>
          <w:snapToGrid w:val="0"/>
        </w:rPr>
        <w:t xml:space="preserve">не возможно без использования современной литературы. Вообще студент должен тщательно проанализировать любой текст, а не бездумно его переписывать. При этом в раздел «Использованная литература» вноситься только та литература, которая была </w:t>
      </w:r>
      <w:r>
        <w:rPr>
          <w:i/>
          <w:snapToGrid w:val="0"/>
        </w:rPr>
        <w:t>действительно использована студентом.</w:t>
      </w:r>
      <w:r>
        <w:rPr>
          <w:snapToGrid w:val="0"/>
        </w:rPr>
        <w:t xml:space="preserve"> Ошибку допускают студенты, которые просто переписывают в список используемой литературы наименования книг и статей. Как правило, из текста реферата видно насколько тщательно была проанализирована указанная литература.</w:t>
      </w:r>
    </w:p>
    <w:p w:rsidR="00EF4606" w:rsidRDefault="00EF4606" w:rsidP="00EF4606">
      <w:pPr>
        <w:ind w:firstLine="480"/>
        <w:jc w:val="both"/>
        <w:rPr>
          <w:snapToGrid w:val="0"/>
        </w:rPr>
      </w:pPr>
      <w:r>
        <w:rPr>
          <w:b/>
          <w:snapToGrid w:val="0"/>
        </w:rPr>
        <w:t>Объем</w:t>
      </w:r>
      <w:r>
        <w:rPr>
          <w:snapToGrid w:val="0"/>
        </w:rPr>
        <w:t xml:space="preserve"> работы. Объем работы не должен превышать 25 страниц. Каждая страница должна быть пронумерована и иметь поля. Оформляется работа на компьютере, согласно общепринятым стандартам (через полтора интервала текстового редактора </w:t>
      </w:r>
      <w:r>
        <w:rPr>
          <w:snapToGrid w:val="0"/>
          <w:lang w:val="en-US"/>
        </w:rPr>
        <w:t>Microsoft</w:t>
      </w:r>
      <w:r w:rsidRPr="00EF4606">
        <w:rPr>
          <w:snapToGrid w:val="0"/>
        </w:rPr>
        <w:t xml:space="preserve"> </w:t>
      </w:r>
      <w:r>
        <w:rPr>
          <w:snapToGrid w:val="0"/>
          <w:lang w:val="en-US"/>
        </w:rPr>
        <w:t>Word</w:t>
      </w:r>
      <w:r>
        <w:rPr>
          <w:snapToGrid w:val="0"/>
        </w:rPr>
        <w:t xml:space="preserve">). Однако, выполнение работы на компьютере не означает, что можно взять готовую работу из </w:t>
      </w:r>
      <w:r>
        <w:rPr>
          <w:snapToGrid w:val="0"/>
          <w:lang w:val="en-US"/>
        </w:rPr>
        <w:t>Internet</w:t>
      </w:r>
      <w:r>
        <w:rPr>
          <w:snapToGrid w:val="0"/>
        </w:rPr>
        <w:t xml:space="preserve"> или со специального диска. Как правило, преподаватели такие работы выделяют с первого взгляда. «Компьютерное» творчество может быть основанием для возвращения работы на доработку.</w:t>
      </w:r>
    </w:p>
    <w:p w:rsidR="00EF4606" w:rsidRDefault="00EF4606" w:rsidP="00EF4606">
      <w:pPr>
        <w:ind w:firstLine="540"/>
        <w:jc w:val="both"/>
        <w:rPr>
          <w:snapToGrid w:val="0"/>
        </w:rPr>
      </w:pPr>
      <w:r>
        <w:rPr>
          <w:b/>
          <w:snapToGrid w:val="0"/>
        </w:rPr>
        <w:t>Оформление реферата.</w:t>
      </w:r>
      <w:r>
        <w:rPr>
          <w:snapToGrid w:val="0"/>
        </w:rPr>
        <w:t xml:space="preserve"> Текст работы должен быть написан четко, разборчиво и ясно. Важно правильно оформить сноски к цитатам, цифрам и фактам, взятым из источников и литературы. Цитаты в тексте реферата заключаются в кавычки и нумеруются. Сноски помещают или в конце работы (обычно они называются "примечания") или внизу страницы. В первом случае сноски называют концевые, во - втором</w:t>
      </w:r>
      <w:r>
        <w:rPr>
          <w:smallCaps/>
          <w:snapToGrid w:val="0"/>
        </w:rPr>
        <w:t xml:space="preserve"> </w:t>
      </w:r>
      <w:r>
        <w:rPr>
          <w:snapToGrid w:val="0"/>
        </w:rPr>
        <w:t xml:space="preserve">- постраничные. Рекомендуется делать подстрочные сноски внизу страницы. </w:t>
      </w:r>
    </w:p>
    <w:p w:rsidR="00EF4606" w:rsidRDefault="00EF4606" w:rsidP="00EF4606">
      <w:pPr>
        <w:jc w:val="both"/>
        <w:rPr>
          <w:snapToGrid w:val="0"/>
        </w:rPr>
      </w:pPr>
      <w:r>
        <w:rPr>
          <w:snapToGrid w:val="0"/>
        </w:rPr>
        <w:t xml:space="preserve">Важно правильно оформить список литературы и источников. Здесь студенты допускают наибольшее количество ошибок. Список литературы оформляется по правилам </w:t>
      </w:r>
      <w:r>
        <w:rPr>
          <w:i/>
          <w:snapToGrid w:val="0"/>
        </w:rPr>
        <w:t>библиографического описания в алфавитном порядке.</w:t>
      </w:r>
      <w:r>
        <w:rPr>
          <w:snapToGrid w:val="0"/>
        </w:rPr>
        <w:t xml:space="preserve"> Правильное выполнение этого вида работы есть выражение научной этики и культуры научного труда. </w:t>
      </w:r>
    </w:p>
    <w:p w:rsidR="00EF4606" w:rsidRDefault="00EF4606" w:rsidP="00EF4606">
      <w:pPr>
        <w:ind w:firstLine="500"/>
        <w:jc w:val="both"/>
        <w:rPr>
          <w:snapToGrid w:val="0"/>
        </w:rPr>
      </w:pPr>
      <w:r>
        <w:rPr>
          <w:snapToGrid w:val="0"/>
        </w:rPr>
        <w:t>Необходимо правильно оформить титульный лист, где указывается дисциплина, по которой сдается работы, название темы. Студент также указывает курс, номер своей группы (иначе работа может попасть в работы студентов другой группы) и свою фамилию и инициалы. Также указывается фамилия преподавателя, его инициалы, ученое звание или ученая степень.</w:t>
      </w:r>
    </w:p>
    <w:p w:rsidR="00EF4606" w:rsidRDefault="00EF4606" w:rsidP="00EF4606">
      <w:pPr>
        <w:ind w:firstLine="500"/>
        <w:jc w:val="both"/>
        <w:rPr>
          <w:snapToGrid w:val="0"/>
        </w:rPr>
      </w:pPr>
      <w:r>
        <w:rPr>
          <w:b/>
          <w:snapToGrid w:val="0"/>
        </w:rPr>
        <w:t>Порядок представления и защиты работы.</w:t>
      </w:r>
      <w:r>
        <w:rPr>
          <w:snapToGrid w:val="0"/>
        </w:rPr>
        <w:t xml:space="preserve"> Выполненная работа сдается студентом преподавателю не позднее, чем за месяц до итоговой аттестации. Условием положительной оценки является отсутствие грубых ошибок и приемлемая степень раскрытия вопросов. Работа не может быть зачтена, если присутствует факт дословного списывания учебника, источника, неверно оформлены сноски и список литературы. </w:t>
      </w:r>
    </w:p>
    <w:p w:rsidR="00EF4606" w:rsidRDefault="00EF4606" w:rsidP="00EF4606">
      <w:pPr>
        <w:pStyle w:val="1"/>
        <w:rPr>
          <w:szCs w:val="24"/>
        </w:rPr>
      </w:pPr>
      <w:r>
        <w:rPr>
          <w:szCs w:val="24"/>
        </w:rPr>
        <w:t>Типичные ошибки авторов рефератов</w:t>
      </w:r>
    </w:p>
    <w:p w:rsidR="00EF4606" w:rsidRDefault="00EF4606" w:rsidP="00EF4606">
      <w:pPr>
        <w:ind w:hanging="240"/>
        <w:jc w:val="both"/>
        <w:rPr>
          <w:snapToGrid w:val="0"/>
        </w:rPr>
      </w:pPr>
      <w:r>
        <w:rPr>
          <w:snapToGrid w:val="0"/>
        </w:rPr>
        <w:t>1. План работы не соответствует теме работы.</w:t>
      </w:r>
    </w:p>
    <w:p w:rsidR="00EF4606" w:rsidRDefault="00EF4606" w:rsidP="00EF4606">
      <w:pPr>
        <w:ind w:hanging="240"/>
        <w:jc w:val="both"/>
        <w:rPr>
          <w:snapToGrid w:val="0"/>
        </w:rPr>
      </w:pPr>
      <w:r>
        <w:rPr>
          <w:snapToGrid w:val="0"/>
        </w:rPr>
        <w:t>2. Текст работы не соответствует плану.</w:t>
      </w:r>
    </w:p>
    <w:p w:rsidR="00EF4606" w:rsidRDefault="00EF4606" w:rsidP="00EF4606">
      <w:pPr>
        <w:ind w:hanging="240"/>
        <w:jc w:val="both"/>
        <w:rPr>
          <w:snapToGrid w:val="0"/>
        </w:rPr>
      </w:pPr>
      <w:r>
        <w:rPr>
          <w:snapToGrid w:val="0"/>
        </w:rPr>
        <w:t>3. При написании использована литература, которая</w:t>
      </w:r>
      <w:r>
        <w:rPr>
          <w:b/>
          <w:snapToGrid w:val="0"/>
        </w:rPr>
        <w:t xml:space="preserve"> </w:t>
      </w:r>
      <w:r>
        <w:rPr>
          <w:snapToGrid w:val="0"/>
        </w:rPr>
        <w:t>не позволяет</w:t>
      </w:r>
      <w:r>
        <w:rPr>
          <w:b/>
          <w:snapToGrid w:val="0"/>
        </w:rPr>
        <w:t xml:space="preserve"> </w:t>
      </w:r>
      <w:r>
        <w:rPr>
          <w:snapToGrid w:val="0"/>
        </w:rPr>
        <w:t>достаточно глубоко раскрыть тему.</w:t>
      </w:r>
    </w:p>
    <w:p w:rsidR="00EF4606" w:rsidRDefault="00EF4606" w:rsidP="00EF4606">
      <w:pPr>
        <w:ind w:hanging="240"/>
        <w:jc w:val="both"/>
        <w:rPr>
          <w:snapToGrid w:val="0"/>
        </w:rPr>
      </w:pPr>
      <w:r>
        <w:rPr>
          <w:snapToGrid w:val="0"/>
        </w:rPr>
        <w:t>4. Неправильно оформлены сноски и список литературы.</w:t>
      </w:r>
    </w:p>
    <w:p w:rsidR="00EF4606" w:rsidRDefault="00EF4606" w:rsidP="00EF4606">
      <w:pPr>
        <w:ind w:hanging="240"/>
        <w:jc w:val="both"/>
        <w:rPr>
          <w:snapToGrid w:val="0"/>
        </w:rPr>
      </w:pPr>
      <w:r>
        <w:rPr>
          <w:snapToGrid w:val="0"/>
        </w:rPr>
        <w:t>5. Автор ограничился механическим переписыванием текста одной из рекомендованных работ вместо того, чтобы самостоятельно подготовить текст на основе изучения источников и литературы.</w:t>
      </w:r>
    </w:p>
    <w:p w:rsidR="00EF4606" w:rsidRDefault="00EF4606" w:rsidP="00EF4606">
      <w:pPr>
        <w:ind w:hanging="240"/>
        <w:jc w:val="both"/>
        <w:rPr>
          <w:snapToGrid w:val="0"/>
        </w:rPr>
      </w:pPr>
      <w:r>
        <w:rPr>
          <w:snapToGrid w:val="0"/>
        </w:rPr>
        <w:t>6. Цитаты и цифровые данные приводятся без указания источников.</w:t>
      </w:r>
    </w:p>
    <w:p w:rsidR="00EF4606" w:rsidRDefault="00EF4606" w:rsidP="00EF4606">
      <w:pPr>
        <w:rPr>
          <w:sz w:val="20"/>
          <w:szCs w:val="20"/>
        </w:rPr>
      </w:pPr>
    </w:p>
    <w:p w:rsidR="00EF4606" w:rsidRDefault="00EF4606" w:rsidP="00EF4606">
      <w:pPr>
        <w:jc w:val="both"/>
      </w:pPr>
      <w:bookmarkStart w:id="0" w:name="_GoBack"/>
      <w:bookmarkEnd w:id="0"/>
    </w:p>
    <w:sectPr w:rsidR="00EF4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2E1E4A"/>
    <w:multiLevelType w:val="hybridMultilevel"/>
    <w:tmpl w:val="567AE6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01E2"/>
    <w:rsid w:val="00236301"/>
    <w:rsid w:val="004701E2"/>
    <w:rsid w:val="004A08E0"/>
    <w:rsid w:val="008943B0"/>
    <w:rsid w:val="008A1D1D"/>
    <w:rsid w:val="009F38C2"/>
    <w:rsid w:val="00EF4606"/>
    <w:rsid w:val="00F0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62CF52-31DC-4827-8B96-3961F2BE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EF4606"/>
    <w:pPr>
      <w:keepNext/>
      <w:spacing w:line="360" w:lineRule="auto"/>
      <w:jc w:val="center"/>
      <w:outlineLvl w:val="0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EF4606"/>
    <w:pPr>
      <w:ind w:firstLine="284"/>
      <w:jc w:val="both"/>
    </w:pPr>
    <w:rPr>
      <w:kern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46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1123</Words>
  <Characters>6404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Темы рефератов</vt:lpstr>
    </vt:vector>
  </TitlesOfParts>
  <Company>MoBIL GROUP</Company>
  <LinksUpToDate>false</LinksUpToDate>
  <CharactersWithSpaces>7512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Темы рефератов</dc:title>
  <dc:subject/>
  <dc:creator>Юля</dc:creator>
  <cp:keywords/>
  <dc:description/>
  <cp:lastModifiedBy>Irina</cp:lastModifiedBy>
  <cp:revision>2</cp:revision>
  <dcterms:created xsi:type="dcterms:W3CDTF">2014-09-18T13:13:00Z</dcterms:created>
  <dcterms:modified xsi:type="dcterms:W3CDTF">2014-09-18T13:13:00Z</dcterms:modified>
</cp:coreProperties>
</file>