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51" w:rsidRDefault="00667A12">
      <w:pPr>
        <w:pStyle w:val="31"/>
        <w:numPr>
          <w:ilvl w:val="0"/>
          <w:numId w:val="0"/>
        </w:numPr>
      </w:pPr>
      <w:r>
        <w:t>Аналитико-синтетическая обработка документов</w:t>
      </w:r>
    </w:p>
    <w:p w:rsidR="00602A51" w:rsidRDefault="00667A12">
      <w:pPr>
        <w:pStyle w:val="11"/>
      </w:pPr>
      <w:r>
        <w:t> </w:t>
      </w:r>
    </w:p>
    <w:p w:rsidR="00602A51" w:rsidRDefault="00667A12">
      <w:pPr>
        <w:pStyle w:val="11"/>
      </w:pPr>
      <w:r>
        <w:t xml:space="preserve">1. Охарактеризуйте, какими методами достигается однозначность языка предметных рубрик (примеры) . </w:t>
      </w:r>
    </w:p>
    <w:p w:rsidR="00602A51" w:rsidRDefault="00667A12">
      <w:pPr>
        <w:pStyle w:val="11"/>
      </w:pPr>
      <w:r>
        <w:t xml:space="preserve">Однозначность, то есть точную и недвусмысленную семантику лексических единиц, достигают с помощью выявления и устранения синонимии, омонимии и полисемии. </w:t>
      </w:r>
    </w:p>
    <w:p w:rsidR="00602A51" w:rsidRDefault="00667A12">
      <w:pPr>
        <w:pStyle w:val="11"/>
      </w:pPr>
      <w:r>
        <w:t xml:space="preserve">При создании словаря предметных рубрик в него вводятся все синонимы и эквивалентные по смыслу выражения, возможные в естественном языке. Но для предметизации используется лишь один из смысловых вариантов — остальные исключаются с помощью отсылок, обозначаемых пометкой “СМ. ЗАПИСЬ” . Например, “АЭРОПЛАНЫ СМ. САМОЛЁТЫ” — эта запись означает, что из двух возможных слов для предметизации разрешается использовать только термин “самолёты” . </w:t>
      </w:r>
    </w:p>
    <w:p w:rsidR="00602A51" w:rsidRDefault="00667A12">
      <w:pPr>
        <w:pStyle w:val="11"/>
      </w:pPr>
      <w:r>
        <w:t xml:space="preserve">При разыскании синонимов могут помочь словари синонимов, толковые словари, терминологические и энциклопедические словари. Помимо лексических синонимов и эквивалентных по смыслу выражений можно отметить ещё несколько видов синонимии, которую необходимо учитывать в языке предметных рубрик: a. Сокращённая и полная форма термина, выраженного словосочетанием. Например, “ПЛАСТМАССЫ” и “ПЛАСТМАТИЧЕСКИЕ МАССЫ” . В большинстве случаев используется полная форма термина. </w:t>
      </w:r>
    </w:p>
    <w:p w:rsidR="00602A51" w:rsidRDefault="00667A12">
      <w:pPr>
        <w:pStyle w:val="11"/>
      </w:pPr>
      <w:r>
        <w:t xml:space="preserve">b. Инверсированная и прямая форма лексической единицы. Например, “ПОРШНЕВЫЕ НАСОСЫ” и “НАСОСЫ ПОРШНЕВЫЕ” . </w:t>
      </w:r>
    </w:p>
    <w:p w:rsidR="00602A51" w:rsidRDefault="00667A12">
      <w:pPr>
        <w:pStyle w:val="11"/>
      </w:pPr>
      <w:r>
        <w:t xml:space="preserve">c. Возможные варианты написания имён и фамилий. Например: “ГАШЕК Я. и ХАШЕК Я.” d. Наличие псевдонима. Например: “ГОРЬКИЙ М. — ПЕШКОВ А. М.” . </w:t>
      </w:r>
    </w:p>
    <w:p w:rsidR="00602A51" w:rsidRDefault="00667A12">
      <w:pPr>
        <w:pStyle w:val="11"/>
      </w:pPr>
      <w:r>
        <w:t xml:space="preserve">Во всех перечисленных случаях необходимо сделать отсылку от отвергнутой формулировки к термину, используемому для предметизации литературы. </w:t>
      </w:r>
    </w:p>
    <w:p w:rsidR="00602A51" w:rsidRDefault="00667A12">
      <w:pPr>
        <w:pStyle w:val="11"/>
      </w:pPr>
      <w:r>
        <w:t xml:space="preserve">Омонимичные слова разделяются в своих значениях и вводятся в язык предметны рубрик столько раз, сколько значений имеет омонимичное слово. Явления омонимии и полисемии слов (неоднозначность выражений) в языке предметных рубрик устраняются различными средствами: a. терминологическом совпадении наименований объектов содержание собираемою в рубрике материалов уточняется путём пометок в скобках: “Колумбия (округ) ” и “Колумбия (республика) ” . В тех случаях, когда это возможно, омонимия устраняется с помощью указания отрасли: “Миксеры (радиотехника) ” , “Миксеры (бытовая) ” , “Миксеры (металлургические) ” . Точно также с помощью пометок разделяются значения многозначных слов “Информация (процесс) ” , “Информация (сведения) ” , “Информация (философия) ” . </w:t>
      </w:r>
    </w:p>
    <w:p w:rsidR="00602A51" w:rsidRDefault="00667A12">
      <w:pPr>
        <w:pStyle w:val="11"/>
      </w:pPr>
      <w:r>
        <w:t xml:space="preserve">b. К одному из значений многозначного слова подбирается термин-синоним, который с помощью отсылки вводится в качестве индексационного термина взамен отвергнутого. Например, “Библиография (наука) см. Библиографоведение” . При использовании отсылки каждое из значений термина может иногда не уточняться пометками. Например, “КАТАЛОГ СМ. 1. БИБЛИОТЕЧНЫЙ КАТАЛОГ; 2. ПРОМЫШЛЕННЫЕ КАТАЛОГИ” Отсылки могут быть сделаны и при помощи развёрнутой справки. Например, в списке предметных рубрик ИНИОН — “Здесь собирается литература об... Литература о.... см. В рубрике” c. Даётся краткое определение понятия, выраженного заголовком предметной рубрики: “БЕРЁЗКА, ХОРЕОГРАФИЧЕСКИЙ АНСАМБЛЬ” , “ДЖАВА, КУРОРТ” . </w:t>
      </w:r>
    </w:p>
    <w:p w:rsidR="00602A51" w:rsidRDefault="00667A12">
      <w:pPr>
        <w:pStyle w:val="11"/>
      </w:pPr>
      <w:r>
        <w:t xml:space="preserve">d. Для развёрнутой формулировки лексической единицы используется словосочетания. Например, “МЕРИТЕЛЬНЫЕ ПРОБКИ” , “ПЛАСТИЧЕСКАЯ МАССА ТЕРМОПЛАСТИЧНЫЕ КАК ФОТОГРАФИЧЕСКИЙ МАТЕРИАЛ” . </w:t>
      </w:r>
    </w:p>
    <w:p w:rsidR="00602A51" w:rsidRDefault="00667A12">
      <w:pPr>
        <w:pStyle w:val="11"/>
      </w:pPr>
      <w:r>
        <w:t xml:space="preserve">e. К заголовку рубрики присоединяются подрубрики, которые уточняют контекст термина. Например, термин “КЛЕТКА” требует уточнения, т.к. это может быть клетка для зверей, биологич. кл. и т.д. Присоединения подрубрик “ДЕЛЕНИЕ” или “ОДЕРЕВЕНЕНО” (“КЛ. -ОДЕРЕВЕНЕНИЯ” ) делает термин заголовка однозначным. Если многозначное слово находится в подрубрике, то контекст всей рубрики определяет, какое оно имеет значение. Например, “ТРУБОЛИНЕЙНОЕ ПРОИЗВОДСТВО-ЦЕНТРОБЕЖНЫЙ СПОСОБ-ПРИМЕНЕНИЕ МИКСЕРОВ” . В данном случае слово “МИКСЕР” не требует уточняющей пометки (металлург.) 1. Какие признаки документа отражаются в предметных рубриках с помощью заголовка и подзаголовка? Назовите и охарактеризуйте виды подзаголовков. Привести примеры сложных предметных рубрик с использованием различных подзаголовков (и указать какие) . Можно воспользоваться списками предметных рубрик или предметным каталогом. </w:t>
      </w:r>
    </w:p>
    <w:p w:rsidR="00602A51" w:rsidRDefault="00667A12">
      <w:pPr>
        <w:pStyle w:val="11"/>
      </w:pPr>
      <w:r>
        <w:t xml:space="preserve">Лексическая единица — смысловое единство (простое и сложное понятия) , выраженное одним словом или сочетанием слов, ни одно из которых не может быть отброшено без изменения смысла этого единства. Множество лексических единиц, включённое в словарь, называется словарным фондом или лексикой ИПЯ. В языке предметных рубрик лексические единицы называются заголовками. Следовательно, лексика языка предметных рубрик делится на две части: а) предметные заголовки (заголовки предметных рубрик) ; б) подзаголовки (подрубрики) . </w:t>
      </w:r>
    </w:p>
    <w:p w:rsidR="00602A51" w:rsidRDefault="00667A12">
      <w:pPr>
        <w:pStyle w:val="11"/>
      </w:pPr>
      <w:r>
        <w:t xml:space="preserve">Предметный заголовок (или заголовок предметной рубрики) включает наименование основного предмета. Им может быть конкретное или абстрактное понятие, как единичное, так и общее. </w:t>
      </w:r>
    </w:p>
    <w:p w:rsidR="00602A51" w:rsidRDefault="00667A12">
      <w:pPr>
        <w:pStyle w:val="11"/>
      </w:pPr>
      <w:r>
        <w:t xml:space="preserve">Конкретное понятие отражает предмет. Например, “Солнце” , “РГБ” или классификацию предметов. Например, “Каталоги” , “Библиотеки” . </w:t>
      </w:r>
    </w:p>
    <w:p w:rsidR="00602A51" w:rsidRDefault="00667A12">
      <w:pPr>
        <w:pStyle w:val="11"/>
      </w:pPr>
      <w:r>
        <w:t xml:space="preserve">Абстрактное понятие отображает не данный предмет как таковой, а свойства предметов и отношение между предметами. Например, “Вязкость (нефти) ” , “Склеивание (бумаги) ” . </w:t>
      </w:r>
    </w:p>
    <w:p w:rsidR="00602A51" w:rsidRDefault="00667A12">
      <w:pPr>
        <w:pStyle w:val="11"/>
      </w:pPr>
      <w:r>
        <w:t xml:space="preserve">Подзаголовки отражают тот или иной аспект рассмотрения предмета, выраженного заголовком предметной рубрики. Лексику подзаголовков можно подразделить на следующие виды: 1. Тематические подзаголовки (общие, типовые, специфические) ; 2. Подзаголовки среды (географической и социальной) ; 3. Хронологические подзаголовки; 4. Формальные подзаголовки. </w:t>
      </w:r>
    </w:p>
    <w:p w:rsidR="00602A51" w:rsidRDefault="00667A12">
      <w:pPr>
        <w:pStyle w:val="11"/>
      </w:pPr>
      <w:r>
        <w:t xml:space="preserve">Тематические подзаголовки отражают части, детали, процессы, свойства, идеологическую характеристику, оценку и др. стороны, аспекты рассмотрения предмета, выраженного заголовком предметной рубрики. Например, “Ядерные реакции — Изотопный эффект” . </w:t>
      </w:r>
    </w:p>
    <w:p w:rsidR="00602A51" w:rsidRDefault="00667A12">
      <w:pPr>
        <w:pStyle w:val="11"/>
      </w:pPr>
      <w:r>
        <w:t xml:space="preserve">В лексике тематических подзаголовков различают общие подзаголовки, соответствующие понятиям с широким объёмом и использующиеся в терминологии всех областей знаний. Например, “Происхождение” , “Методика” . </w:t>
      </w:r>
    </w:p>
    <w:p w:rsidR="00602A51" w:rsidRDefault="00667A12">
      <w:pPr>
        <w:pStyle w:val="11"/>
      </w:pPr>
      <w:r>
        <w:t xml:space="preserve">Типовые подзаголовки представляют собой термины, использующиеся в нескольких областях знаний для характеристики однородных групп предметов, выраженных заголовком рубрики. Например, для многих видов материала (древесины, пластмассы и т.д.) будут типовыми следующие подзаголовки: “Вентиляция” , “Оборудование” , “Анализ” . </w:t>
      </w:r>
    </w:p>
    <w:p w:rsidR="00602A51" w:rsidRDefault="00667A12">
      <w:pPr>
        <w:pStyle w:val="11"/>
      </w:pPr>
      <w:r>
        <w:t xml:space="preserve">Специфические подзаголовки служат для выделения аспектов, характерных только для определённого класса предметов. Например, “Гашение (извести) ” , “Пошив (одежды) ” . </w:t>
      </w:r>
    </w:p>
    <w:p w:rsidR="00602A51" w:rsidRDefault="00667A12">
      <w:pPr>
        <w:pStyle w:val="11"/>
      </w:pPr>
      <w:r>
        <w:t xml:space="preserve">Подзаголовки среды (географической и социальной) применяются для дополнительной характеристики предмета в территориальном и географическом аспекте, а также в аспекте социальной среды, влияющей на его развитие. Например, “Музыка — Средняя Азия — История” . </w:t>
      </w:r>
    </w:p>
    <w:p w:rsidR="00602A51" w:rsidRDefault="00667A12">
      <w:pPr>
        <w:pStyle w:val="11"/>
      </w:pPr>
      <w:r>
        <w:t xml:space="preserve">Географические подзаголовки отражают географическое положение объекта. Например, “Музеи — Англия” . </w:t>
      </w:r>
    </w:p>
    <w:p w:rsidR="00602A51" w:rsidRDefault="00667A12">
      <w:pPr>
        <w:pStyle w:val="11"/>
      </w:pPr>
      <w:r>
        <w:t xml:space="preserve">К подзаголовкам социальной среды можно отнести такие термины, как физические и биологические системы и др. </w:t>
      </w:r>
    </w:p>
    <w:p w:rsidR="00602A51" w:rsidRDefault="00667A12">
      <w:pPr>
        <w:pStyle w:val="11"/>
      </w:pPr>
      <w:r>
        <w:t xml:space="preserve">Хронологические подзаголовки характеризуют время существования предмета или явления (“Городские восстания — Россия, 17 — 19 вв” , “Лермонтов Михаил Юрьевич, 1814 — 1841 — Лирика” ) или указывается на какой-то исторический период, рамками которого ограничено рассмотрение предмета или события (Франция –Живопись, 17- 19 вв.) Формальные подзаголовки характеризуют не предмет, рассматриваемый в документе, а сам документ со стороны его читательского назначения, формы изложения материала, типа и вида издания. Например, “Альбом” , “Словарь” , “Справочник” , “Энциклопедия” , “Таблицы” . </w:t>
      </w:r>
    </w:p>
    <w:p w:rsidR="00602A51" w:rsidRDefault="00667A12">
      <w:pPr>
        <w:pStyle w:val="11"/>
      </w:pPr>
      <w:r>
        <w:t xml:space="preserve">Лексика заголовков в сложной предметной рубрике может использоваться в качестве подзаголовков. Например, в рубрике “Корневая система — Дыхание” термин “корневая система” является заголовком. “Берёза — корневая система” , “Растение — питание — роль корневой системы” . Этот термин используется в качестве тематической подрубрики. </w:t>
      </w:r>
    </w:p>
    <w:p w:rsidR="00602A51" w:rsidRDefault="00667A12">
      <w:pPr>
        <w:pStyle w:val="11"/>
      </w:pPr>
      <w:r>
        <w:t xml:space="preserve">1. Составить библиографическое описание и аннотацию трёх документов технической тематики: книга о материалах или сырье; книга о технологических процессах; книга о технологическом оборудовании. Запредметизировать их. Придать предметной рубрике стандартный вид. </w:t>
      </w:r>
    </w:p>
    <w:p w:rsidR="00602A51" w:rsidRDefault="00667A12">
      <w:pPr>
        <w:pStyle w:val="11"/>
      </w:pPr>
      <w:r>
        <w:t xml:space="preserve">2. Дайте определение понятия “библиографическое описание” и обоснуйте его роль в создании библиотечных каталогов. Перечислите виды библиографических описаний и приведите примеры каждого из них. </w:t>
      </w:r>
    </w:p>
    <w:p w:rsidR="00602A51" w:rsidRDefault="00667A12">
      <w:pPr>
        <w:pStyle w:val="11"/>
      </w:pPr>
      <w:r>
        <w:t xml:space="preserve">Библиографическое описание — совокупность библиографических сведений о документе, его составной части или группе документов, приведённых по определённым правилам и необходимых и достаточных для общей характеристики и идентификации документа. </w:t>
      </w:r>
    </w:p>
    <w:p w:rsidR="00602A51" w:rsidRDefault="00667A12">
      <w:pPr>
        <w:pStyle w:val="11"/>
      </w:pPr>
      <w:r>
        <w:t xml:space="preserve">Библиографическое описание служит основой для составления каталогов, библиографических описаний, а так же применяется для отражения произведений печати везде, где в этом встречается необходимость. От правильного составления библиографического описания зависит полнота раскрытия содержания БФ, правильность организации каталогов. </w:t>
      </w:r>
    </w:p>
    <w:p w:rsidR="00602A51" w:rsidRDefault="00667A12">
      <w:pPr>
        <w:pStyle w:val="11"/>
      </w:pPr>
      <w:r>
        <w:t xml:space="preserve">Библиографическое описание может быть составлено на издание в целом (книгу, журнал) — монографическое, на часть издания или произведения (главу, статью из журнала) — аналитическое, а также на группу произведений печати — сводное. </w:t>
      </w:r>
    </w:p>
    <w:p w:rsidR="00602A51" w:rsidRDefault="00667A12">
      <w:pPr>
        <w:pStyle w:val="11"/>
      </w:pPr>
      <w:r>
        <w:t xml:space="preserve">Монографическое — составляется на однотомное издание или отдельный том многотомного или сериального издания, состоящих из одной части. </w:t>
      </w:r>
    </w:p>
    <w:p w:rsidR="00602A51" w:rsidRDefault="00667A12">
      <w:pPr>
        <w:pStyle w:val="11"/>
      </w:pPr>
      <w:r>
        <w:t xml:space="preserve">Аналитическое — состоит из 2-х частей: сведения в составной части книги или сериального издания и сведения об издании, в котором она опубликована. </w:t>
      </w:r>
    </w:p>
    <w:p w:rsidR="00602A51" w:rsidRDefault="00667A12">
      <w:pPr>
        <w:pStyle w:val="11"/>
      </w:pPr>
      <w:r>
        <w:t xml:space="preserve">Сводное — составляют на совокупность томов многотомного или сериального издания. Состоит из 2-х частей. </w:t>
      </w:r>
    </w:p>
    <w:p w:rsidR="00602A51" w:rsidRDefault="00667A12">
      <w:pPr>
        <w:pStyle w:val="11"/>
      </w:pPr>
      <w:r>
        <w:t xml:space="preserve">3. Сравните понятия “библиографическое описание” и “библиографическая запись” , укажите их различия и назначения. Привести примеры на одной книге. </w:t>
      </w:r>
    </w:p>
    <w:p w:rsidR="00602A51" w:rsidRDefault="00667A12">
      <w:pPr>
        <w:pStyle w:val="11"/>
      </w:pPr>
      <w:r>
        <w:t xml:space="preserve">Библиографическая запись состоит из нескольких элементов. В ней могут быть представлены полностью или по частям: библиографическое описание, аннотация, реферат, классификационный индекс, предметная рубрика. </w:t>
      </w:r>
    </w:p>
    <w:p w:rsidR="00602A51" w:rsidRDefault="00667A12">
      <w:pPr>
        <w:pStyle w:val="11"/>
      </w:pPr>
      <w:r>
        <w:t xml:space="preserve">Библиографическое описание — это совокупность сведений о документе которые приведены по определенным правилам, для того чтобы идентифицировать его. </w:t>
      </w:r>
    </w:p>
    <w:p w:rsidR="00602A51" w:rsidRDefault="00667A12">
      <w:pPr>
        <w:pStyle w:val="11"/>
      </w:pPr>
      <w:r>
        <w:t xml:space="preserve">4. Дайте определение сводного описания, покажите его структурные отличия от монографического. Приведите пример сводного описания многотомного издания (со спецификацией в полной форме, со спецификацией в короткой форме, без спецификации) , а также пример описания закрытой и открытой формы. </w:t>
      </w:r>
    </w:p>
    <w:p w:rsidR="00602A51" w:rsidRDefault="00667A12">
      <w:pPr>
        <w:pStyle w:val="11"/>
      </w:pPr>
      <w:r>
        <w:t xml:space="preserve">Сводное описание содержит совокупность сведений об издании в целом или о группе его томов. Оно может состоять из общей части и спецификации или только общей части. В общей части приводят сведения, общие для всех или большинства томов, а в спецификации — сведения частные, характеризующие отдельные тома. </w:t>
      </w:r>
    </w:p>
    <w:p w:rsidR="00602A51" w:rsidRDefault="00667A12">
      <w:pPr>
        <w:pStyle w:val="11"/>
      </w:pPr>
      <w:r>
        <w:t xml:space="preserve">5. Охарактеризуйте структуру авторского комплекса в алфавитном каталоге. Определите понятие “автор” в каталогизации. Приведите пример авторского комплекса индивидуального автора. </w:t>
      </w:r>
    </w:p>
    <w:p w:rsidR="00602A51" w:rsidRDefault="00667A12">
      <w:pPr>
        <w:pStyle w:val="11"/>
      </w:pPr>
      <w:r>
        <w:t xml:space="preserve">Специфика построения АК позволяет собрать в одном месте все произведения определённого автора независимо от их содержания, а также от того, выступает ли данное лицо в качестве индивидуального (самостоятельного) автора или соавтора, редактора или переводчика, составителя или комментатора и т.п. таким образом, в каталоге создаются авторские комплексы. </w:t>
      </w:r>
    </w:p>
    <w:p w:rsidR="00602A51" w:rsidRDefault="00667A12">
      <w:pPr>
        <w:pStyle w:val="11"/>
      </w:pPr>
      <w:r>
        <w:t xml:space="preserve">Информационная и поисковая функции АК заключаются в том, что он раскрывает фонд библиотеки по авторскому признаку и обеспечивает поиск читателю по фамилии автора, наименование коллектива или названия издания. </w:t>
      </w:r>
    </w:p>
    <w:p w:rsidR="00602A51" w:rsidRDefault="00667A12">
      <w:pPr>
        <w:pStyle w:val="11"/>
      </w:pPr>
      <w:r>
        <w:t xml:space="preserve">АК не без основания называется авторским, т.к. никакой другой каталог не раскрывает в этом аспекте состав фонда с такой полнотой. Однако термин “авторский комплекс” понимается условно, т.к. в АК указываются не все авторы, работы которых предоставлены в фонде. При описании книг, написанных четырьмя и более авторами, добавочное описание делается лишь на фамилию первого. Не выявляются обычно все фамилии авторов статей, вкл. В сборники, труды, учёные записки. Теоретически возможно полное раскрытие авторского состава фонда библиотеки в АК, но практически это нереализуемо в карточном каталоге. Но только АК в состоянии раскрыт фонд по авторскому признаку. </w:t>
      </w:r>
    </w:p>
    <w:p w:rsidR="00602A51" w:rsidRDefault="00667A12">
      <w:pPr>
        <w:pStyle w:val="11"/>
      </w:pPr>
      <w:r>
        <w:t xml:space="preserve">Под индивидуальным автором следует понимать лицо, написавшие книгу или составившее её из произведений других авторов. Вынесение фамилии автора в начало описания имеет важное принципиальное значение, т.к. позволяет объединить в одном месте АК, имеющиеся в данной библиотеке произведения определённого автора. </w:t>
      </w:r>
    </w:p>
    <w:p w:rsidR="00602A51" w:rsidRDefault="00667A12">
      <w:pPr>
        <w:pStyle w:val="11"/>
      </w:pPr>
      <w:r>
        <w:t xml:space="preserve">Под коллективным автором понимается учреждение, общественная или иная организация, в том числе и временного характера (например, конференция, выставка) , рассматриваемые при описании в качестве автором материалов, опубликованных от их имени. Так же как при описании под индивидуальном автором, на первое место выносится автор в данном случае коллективный, то есть наименование учреждения (официальные и ведомственные организации) . Описание под коллективным автором позволяет сосредоточить в одном месте АК все издания одного учреждения или одной организации. </w:t>
      </w:r>
    </w:p>
    <w:p w:rsidR="00602A51" w:rsidRDefault="00667A12">
      <w:pPr>
        <w:pStyle w:val="11"/>
      </w:pPr>
      <w:r>
        <w:t xml:space="preserve">При организации произведений одного автора, если у него наряду с отдельными работами имеются собрания сочинений, описания всех этих изданий предполагается располагать двумя группами. В первой группе отражаются собрания сочинений, которые внутри группы расставляются не в алфавите заглавий, а в логическом порядке убывающей полноты изданий: а) полное собрание сочинений; б) собрание сочинений; в) сочинения; г) избранные произведения; д) избранные сочинения. Ко второй группе относятся отдельные издания, независимо от того, включают ли они одно произведение или являются сборником (например, РАССКАЗЫ, ДНЕВНИКИ, ПИСЬМА) , а также описания отдельных частей или отрывков каких-либо произведений. В пределах второй группы описания располагаются в алфавите первых слов заглавий согласно общим правилам расстановки по заглавиям. </w:t>
      </w:r>
    </w:p>
    <w:p w:rsidR="00602A51" w:rsidRDefault="00667A12">
      <w:pPr>
        <w:pStyle w:val="11"/>
      </w:pPr>
      <w:r>
        <w:t xml:space="preserve">6. Дайте пример аналитического описания и приведите примеры (статья из газеты, статья из журнала, статья из сборника) . </w:t>
      </w:r>
    </w:p>
    <w:p w:rsidR="00602A51" w:rsidRDefault="00667A12">
      <w:pPr>
        <w:pStyle w:val="11"/>
      </w:pPr>
      <w:r>
        <w:t xml:space="preserve">Аналитическое описание — составляется на составную часть издания. В аналитическом описании сначала приводят сведения о составной части, затем об издании, в котором она помещена. После сведений об издании приводят примечания, относящиеся и к составной части и к изданию в целом. </w:t>
      </w:r>
    </w:p>
    <w:p w:rsidR="00602A51" w:rsidRDefault="00667A12">
      <w:pPr>
        <w:pStyle w:val="11"/>
      </w:pPr>
      <w:r>
        <w:t> </w:t>
      </w:r>
    </w:p>
    <w:p w:rsidR="00602A51" w:rsidRDefault="00667A12">
      <w:pPr>
        <w:pStyle w:val="11"/>
      </w:pPr>
      <w:r>
        <w:t xml:space="preserve">Список использованной литературы: </w:t>
      </w:r>
    </w:p>
    <w:p w:rsidR="00602A51" w:rsidRDefault="00667A12">
      <w:pPr>
        <w:pStyle w:val="11"/>
      </w:pPr>
      <w:r>
        <w:t xml:space="preserve">Гринина Р. Ф. — Предметный каталог как информационно-поисковая система. </w:t>
      </w:r>
    </w:p>
    <w:p w:rsidR="00602A51" w:rsidRDefault="00667A12">
      <w:pPr>
        <w:pStyle w:val="11"/>
      </w:pPr>
      <w:r>
        <w:t xml:space="preserve">Гринина Р. Ф. — Теоретические основы предметизации и предметного каталога. </w:t>
      </w:r>
    </w:p>
    <w:p w:rsidR="00602A51" w:rsidRDefault="00667A12">
      <w:pPr>
        <w:pStyle w:val="11"/>
      </w:pPr>
      <w:r>
        <w:t xml:space="preserve">Практическая работа в РНБ Предметный каталог. Предметная рубрика. </w:t>
      </w:r>
    </w:p>
    <w:p w:rsidR="00602A51" w:rsidRDefault="00667A12">
      <w:pPr>
        <w:pStyle w:val="11"/>
      </w:pPr>
      <w:r>
        <w:t xml:space="preserve">1. Найти литературу по теме: “Коптская литература” . Охарактеризовать путь поиска. </w:t>
      </w:r>
    </w:p>
    <w:p w:rsidR="00602A51" w:rsidRDefault="00667A12">
      <w:pPr>
        <w:pStyle w:val="11"/>
      </w:pPr>
      <w:r>
        <w:t xml:space="preserve">2. Охарактеризовать структуру и ССА рубрики: “Фильмы” . </w:t>
      </w:r>
    </w:p>
    <w:p w:rsidR="00602A51" w:rsidRDefault="00667A12">
      <w:pPr>
        <w:pStyle w:val="11"/>
      </w:pPr>
      <w:r>
        <w:t xml:space="preserve">3. Определить роль и место ссылочных и отсылочных карточек в ПК. </w:t>
      </w:r>
    </w:p>
    <w:p w:rsidR="00602A51" w:rsidRDefault="00667A12">
      <w:pPr>
        <w:pStyle w:val="11"/>
      </w:pPr>
      <w:r>
        <w:t xml:space="preserve">1. Сначала я стал искать напрямую предмет “Коптская литература” .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6"/>
        <w:gridCol w:w="748"/>
        <w:gridCol w:w="7109"/>
      </w:tblGrid>
      <w:tr w:rsidR="00602A51">
        <w:tc>
          <w:tcPr>
            <w:tcW w:w="1496" w:type="dxa"/>
          </w:tcPr>
          <w:p w:rsidR="00602A51" w:rsidRDefault="00667A12">
            <w:r>
              <w:t> </w:t>
            </w:r>
          </w:p>
        </w:tc>
        <w:tc>
          <w:tcPr>
            <w:tcW w:w="748" w:type="dxa"/>
          </w:tcPr>
          <w:p w:rsidR="00602A51" w:rsidRDefault="00667A12">
            <w:r>
              <w:t> </w:t>
            </w:r>
          </w:p>
        </w:tc>
        <w:tc>
          <w:tcPr>
            <w:tcW w:w="7109" w:type="dxa"/>
            <w:vAlign w:val="center"/>
          </w:tcPr>
          <w:p w:rsidR="00602A51" w:rsidRDefault="00667A12">
            <w:pPr>
              <w:pStyle w:val="11"/>
            </w:pPr>
            <w:r>
              <w:t>Коптская литература</w:t>
            </w:r>
          </w:p>
        </w:tc>
      </w:tr>
      <w:tr w:rsidR="00602A51">
        <w:tc>
          <w:tcPr>
            <w:tcW w:w="1496" w:type="dxa"/>
          </w:tcPr>
          <w:p w:rsidR="00602A51" w:rsidRDefault="00667A12">
            <w:r>
              <w:t> </w:t>
            </w:r>
          </w:p>
        </w:tc>
        <w:tc>
          <w:tcPr>
            <w:tcW w:w="748" w:type="dxa"/>
          </w:tcPr>
          <w:p w:rsidR="00602A51" w:rsidRDefault="00667A12">
            <w:r>
              <w:t> </w:t>
            </w:r>
          </w:p>
        </w:tc>
        <w:tc>
          <w:tcPr>
            <w:tcW w:w="7109" w:type="dxa"/>
          </w:tcPr>
          <w:p w:rsidR="00602A51" w:rsidRDefault="00667A12">
            <w:pPr>
              <w:pStyle w:val="11"/>
            </w:pPr>
            <w:r>
              <w:t xml:space="preserve">См. также Коптский роман об Александре. </w:t>
            </w:r>
          </w:p>
        </w:tc>
      </w:tr>
    </w:tbl>
    <w:p w:rsidR="00602A51" w:rsidRDefault="00667A12">
      <w:pPr>
        <w:pStyle w:val="11"/>
      </w:pPr>
      <w:r>
        <w:t xml:space="preserve">А, найдя ссылочную карточку, уже по ссылке указанной на ней нашел искомый термин.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6"/>
        <w:gridCol w:w="748"/>
        <w:gridCol w:w="7109"/>
      </w:tblGrid>
      <w:tr w:rsidR="00602A51">
        <w:tc>
          <w:tcPr>
            <w:tcW w:w="1496" w:type="dxa"/>
            <w:vAlign w:val="bottom"/>
          </w:tcPr>
          <w:p w:rsidR="00602A51" w:rsidRDefault="00667A12">
            <w:pPr>
              <w:pStyle w:val="11"/>
            </w:pPr>
            <w:r>
              <w:t>86-4 9870</w:t>
            </w:r>
          </w:p>
        </w:tc>
        <w:tc>
          <w:tcPr>
            <w:tcW w:w="748" w:type="dxa"/>
            <w:vAlign w:val="bottom"/>
          </w:tcPr>
          <w:p w:rsidR="00602A51" w:rsidRDefault="00667A12">
            <w:r>
              <w:t> </w:t>
            </w:r>
          </w:p>
        </w:tc>
        <w:tc>
          <w:tcPr>
            <w:tcW w:w="7109" w:type="dxa"/>
            <w:vAlign w:val="bottom"/>
          </w:tcPr>
          <w:p w:rsidR="00602A51" w:rsidRDefault="00667A12">
            <w:pPr>
              <w:pStyle w:val="11"/>
            </w:pPr>
            <w:r>
              <w:t xml:space="preserve">Коптский роман об Александре. </w:t>
            </w:r>
          </w:p>
          <w:p w:rsidR="00602A51" w:rsidRDefault="00667A12">
            <w:pPr>
              <w:pStyle w:val="11"/>
            </w:pPr>
            <w:r>
              <w:t xml:space="preserve">Хосроев, А. Л. </w:t>
            </w:r>
          </w:p>
        </w:tc>
      </w:tr>
      <w:tr w:rsidR="00602A51">
        <w:tc>
          <w:tcPr>
            <w:tcW w:w="1496" w:type="dxa"/>
          </w:tcPr>
          <w:p w:rsidR="00602A51" w:rsidRDefault="00667A12">
            <w:r>
              <w:t> </w:t>
            </w:r>
          </w:p>
        </w:tc>
        <w:tc>
          <w:tcPr>
            <w:tcW w:w="748" w:type="dxa"/>
          </w:tcPr>
          <w:p w:rsidR="00602A51" w:rsidRDefault="00602A51"/>
        </w:tc>
        <w:tc>
          <w:tcPr>
            <w:tcW w:w="7109" w:type="dxa"/>
          </w:tcPr>
          <w:p w:rsidR="00602A51" w:rsidRDefault="00667A12">
            <w:pPr>
              <w:pStyle w:val="11"/>
            </w:pPr>
            <w:r>
              <w:t xml:space="preserve">Роман об Александре на Ближнем Востоке (Коптская версия) : Автореф. дис. на соиск. учен. </w:t>
            </w:r>
          </w:p>
          <w:p w:rsidR="00602A51" w:rsidRDefault="00667A12">
            <w:pPr>
              <w:pStyle w:val="11"/>
            </w:pPr>
            <w:r>
              <w:t xml:space="preserve">степ. канд. филол. наук. (10,10,06) . — Л.: 1983. — 15 с. </w:t>
            </w:r>
          </w:p>
          <w:p w:rsidR="00602A51" w:rsidRDefault="00667A12">
            <w:pPr>
              <w:pStyle w:val="11"/>
            </w:pPr>
            <w:r>
              <w:t xml:space="preserve">I. Александр Македонский, о нем. </w:t>
            </w:r>
          </w:p>
        </w:tc>
      </w:tr>
    </w:tbl>
    <w:p w:rsidR="00602A51" w:rsidRDefault="00667A12">
      <w:pPr>
        <w:pStyle w:val="11"/>
      </w:pPr>
      <w:r>
        <w:t xml:space="preserve">2.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6"/>
        <w:gridCol w:w="748"/>
        <w:gridCol w:w="7109"/>
      </w:tblGrid>
      <w:tr w:rsidR="00602A51">
        <w:tc>
          <w:tcPr>
            <w:tcW w:w="1496" w:type="dxa"/>
          </w:tcPr>
          <w:p w:rsidR="00602A51" w:rsidRDefault="00667A12">
            <w:r>
              <w:t> </w:t>
            </w:r>
          </w:p>
        </w:tc>
        <w:tc>
          <w:tcPr>
            <w:tcW w:w="748" w:type="dxa"/>
          </w:tcPr>
          <w:p w:rsidR="00602A51" w:rsidRDefault="00667A12">
            <w:r>
              <w:t> </w:t>
            </w:r>
          </w:p>
        </w:tc>
        <w:tc>
          <w:tcPr>
            <w:tcW w:w="7109" w:type="dxa"/>
            <w:vAlign w:val="center"/>
          </w:tcPr>
          <w:p w:rsidR="00602A51" w:rsidRDefault="00667A12">
            <w:pPr>
              <w:pStyle w:val="11"/>
            </w:pPr>
            <w:r>
              <w:t>Фильмы</w:t>
            </w:r>
          </w:p>
        </w:tc>
      </w:tr>
      <w:tr w:rsidR="00602A51">
        <w:tc>
          <w:tcPr>
            <w:tcW w:w="1496" w:type="dxa"/>
          </w:tcPr>
          <w:p w:rsidR="00602A51" w:rsidRDefault="00667A12">
            <w:r>
              <w:t> </w:t>
            </w:r>
          </w:p>
        </w:tc>
        <w:tc>
          <w:tcPr>
            <w:tcW w:w="748" w:type="dxa"/>
          </w:tcPr>
          <w:p w:rsidR="00602A51" w:rsidRDefault="00602A51"/>
        </w:tc>
        <w:tc>
          <w:tcPr>
            <w:tcW w:w="7109" w:type="dxa"/>
          </w:tcPr>
          <w:p w:rsidR="00602A51" w:rsidRDefault="00667A12">
            <w:pPr>
              <w:pStyle w:val="11"/>
            </w:pPr>
            <w:r>
              <w:t>См. также Видовые фильмы Военно-исторические фильмы Детективные Документальные фильмы Железно-дорожный транспорт — фильмы Животноводческие фильмы</w:t>
            </w:r>
          </w:p>
        </w:tc>
      </w:tr>
    </w:tbl>
    <w:p w:rsidR="00602A51" w:rsidRDefault="00667A12">
      <w:pPr>
        <w:pStyle w:val="11"/>
      </w:pPr>
      <w:r>
        <w:t xml:space="preserve">3. Отсылки создают классы условной эквивалентности в языке предметных рубрик. </w:t>
      </w:r>
    </w:p>
    <w:p w:rsidR="00602A51" w:rsidRDefault="00667A12">
      <w:pPr>
        <w:pStyle w:val="11"/>
      </w:pPr>
      <w:r>
        <w:t xml:space="preserve">Ссылки используются в одном направлении — от общего к частному и свойством симметричности не обладают. </w:t>
      </w:r>
      <w:bookmarkStart w:id="0" w:name="_GoBack"/>
      <w:bookmarkEnd w:id="0"/>
    </w:p>
    <w:sectPr w:rsidR="00602A51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A12"/>
    <w:rsid w:val="00602A51"/>
    <w:rsid w:val="006608EE"/>
    <w:rsid w:val="006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83F11-149F-4AA3-9AE1-6964C4BB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3"/>
        <w:numId w:val="1"/>
      </w:numPr>
      <w:spacing w:before="100" w:after="100"/>
      <w:outlineLvl w:val="3"/>
    </w:pPr>
    <w:rPr>
      <w:b/>
      <w:bCs/>
      <w:sz w:val="27"/>
      <w:szCs w:val="27"/>
    </w:rPr>
  </w:style>
  <w:style w:type="paragraph" w:customStyle="1" w:styleId="11">
    <w:name w:val="Обычный (веб)1"/>
    <w:basedOn w:val="a"/>
    <w:pPr>
      <w:spacing w:before="100" w:after="100"/>
      <w:ind w:firstLine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2287</Words>
  <Characters>13042</Characters>
  <Application>Microsoft Office Word</Application>
  <DocSecurity>0</DocSecurity>
  <Lines>108</Lines>
  <Paragraphs>30</Paragraphs>
  <ScaleCrop>false</ScaleCrop>
  <Company/>
  <LinksUpToDate>false</LinksUpToDate>
  <CharactersWithSpaces>15299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2014-04-09T11:30:00Z</dcterms:created>
  <dcterms:modified xsi:type="dcterms:W3CDTF">2014-04-09T11:30:00Z</dcterms:modified>
</cp:coreProperties>
</file>