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8A8" w:rsidRPr="00990C2F" w:rsidRDefault="00A668A8" w:rsidP="00990C2F">
      <w:pPr>
        <w:pStyle w:val="a5"/>
        <w:spacing w:before="0" w:beforeAutospacing="0" w:after="0" w:afterAutospacing="0"/>
        <w:ind w:firstLine="360"/>
        <w:rPr>
          <w:rFonts w:ascii="Arial" w:hAnsi="Arial" w:cs="Arial"/>
          <w:b/>
          <w:sz w:val="20"/>
          <w:szCs w:val="20"/>
          <w:u w:val="single"/>
        </w:rPr>
      </w:pPr>
    </w:p>
    <w:p w:rsidR="006C7C22" w:rsidRPr="00990C2F" w:rsidRDefault="004F51FE" w:rsidP="00990C2F">
      <w:pPr>
        <w:pStyle w:val="a5"/>
        <w:spacing w:before="0" w:beforeAutospacing="0" w:after="0" w:afterAutospacing="0"/>
        <w:ind w:firstLine="360"/>
        <w:rPr>
          <w:rFonts w:ascii="Arial" w:hAnsi="Arial" w:cs="Arial"/>
          <w:b/>
          <w:sz w:val="20"/>
          <w:szCs w:val="20"/>
          <w:u w:val="single"/>
          <w:lang w:val="uk-UA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6pt;margin-top:-9pt;width:36pt;height:30.25pt;z-index:-251658752" wrapcoords="-304 0 -304 21240 21600 21240 21600 0 -304 0" o:userdrawn="t" fillcolor="#bbe0e3">
            <v:imagedata r:id="rId7" o:title=""/>
            <w10:wrap type="tight"/>
          </v:shape>
        </w:pict>
      </w:r>
      <w:r w:rsidR="002E3D35" w:rsidRPr="00990C2F">
        <w:rPr>
          <w:rFonts w:ascii="Arial" w:hAnsi="Arial" w:cs="Arial"/>
          <w:b/>
          <w:sz w:val="20"/>
          <w:szCs w:val="20"/>
          <w:u w:val="single"/>
        </w:rPr>
        <w:t>«Концерн АПФ» -</w:t>
      </w:r>
      <w:r w:rsidR="002E3D35" w:rsidRPr="00990C2F">
        <w:rPr>
          <w:rFonts w:ascii="Arial" w:hAnsi="Arial" w:cs="Arial"/>
          <w:b/>
          <w:sz w:val="20"/>
          <w:szCs w:val="20"/>
          <w:u w:val="single"/>
          <w:lang w:val="uk-UA"/>
        </w:rPr>
        <w:t xml:space="preserve"> офіційне</w:t>
      </w:r>
      <w:r w:rsidR="002E3D35" w:rsidRPr="00990C2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E3D35" w:rsidRPr="00990C2F">
        <w:rPr>
          <w:rFonts w:ascii="Arial" w:hAnsi="Arial" w:cs="Arial"/>
          <w:b/>
          <w:sz w:val="20"/>
          <w:szCs w:val="20"/>
          <w:u w:val="single"/>
          <w:lang w:val="uk-UA"/>
        </w:rPr>
        <w:t>представництво ЗАТ «Фарм - Синтез» в Україні</w:t>
      </w:r>
    </w:p>
    <w:p w:rsidR="002E3D35" w:rsidRPr="00990C2F" w:rsidRDefault="002E3D35" w:rsidP="00990C2F">
      <w:pPr>
        <w:rPr>
          <w:rFonts w:ascii="Arial" w:hAnsi="Arial" w:cs="Arial"/>
          <w:sz w:val="20"/>
          <w:szCs w:val="20"/>
          <w:lang w:val="uk-UA"/>
        </w:rPr>
      </w:pPr>
    </w:p>
    <w:p w:rsidR="00D351C6" w:rsidRPr="00990C2F" w:rsidRDefault="006C7C22" w:rsidP="00990C2F">
      <w:pPr>
        <w:widowControl w:val="0"/>
        <w:ind w:firstLine="709"/>
        <w:jc w:val="right"/>
        <w:rPr>
          <w:rFonts w:ascii="Arial" w:hAnsi="Arial" w:cs="Arial"/>
          <w:b/>
          <w:sz w:val="20"/>
          <w:szCs w:val="20"/>
        </w:rPr>
      </w:pPr>
      <w:r w:rsidRPr="00990C2F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ab/>
      </w:r>
    </w:p>
    <w:p w:rsidR="00D351C6" w:rsidRPr="00990C2F" w:rsidRDefault="00D351C6" w:rsidP="00990C2F">
      <w:pPr>
        <w:widowControl w:val="0"/>
        <w:ind w:right="74"/>
        <w:jc w:val="center"/>
        <w:rPr>
          <w:rFonts w:ascii="Arial" w:hAnsi="Arial" w:cs="Arial"/>
          <w:b/>
          <w:sz w:val="20"/>
          <w:szCs w:val="20"/>
        </w:rPr>
      </w:pPr>
      <w:r w:rsidRPr="00990C2F">
        <w:rPr>
          <w:rFonts w:ascii="Arial" w:hAnsi="Arial" w:cs="Arial"/>
          <w:b/>
          <w:sz w:val="20"/>
          <w:szCs w:val="20"/>
        </w:rPr>
        <w:t>ПРИМЕНЕНИЕ ОКТРЕСТАТИНА ДЛЯ ПРОФИЛАКТИКИ ОСТРОГО ПОСЛЕОПЕРАЦИОННОГО ПАНКРЕАТИТА ПОСЛЕ ТРАНСПАПИЛЛЯРНЫХ ВМЕШАТЕЛЬСТВ.</w:t>
      </w:r>
    </w:p>
    <w:p w:rsidR="00D351C6" w:rsidRPr="00990C2F" w:rsidRDefault="00D351C6" w:rsidP="00990C2F">
      <w:pPr>
        <w:widowControl w:val="0"/>
        <w:ind w:right="74"/>
        <w:jc w:val="center"/>
        <w:rPr>
          <w:rFonts w:ascii="Arial" w:hAnsi="Arial" w:cs="Arial"/>
          <w:b/>
          <w:sz w:val="20"/>
          <w:szCs w:val="20"/>
        </w:rPr>
      </w:pPr>
    </w:p>
    <w:p w:rsidR="00D351C6" w:rsidRPr="00990C2F" w:rsidRDefault="00D351C6" w:rsidP="00990C2F">
      <w:pPr>
        <w:widowControl w:val="0"/>
        <w:ind w:right="74" w:firstLine="709"/>
        <w:jc w:val="center"/>
        <w:rPr>
          <w:rFonts w:ascii="Arial" w:hAnsi="Arial" w:cs="Arial"/>
          <w:i/>
          <w:sz w:val="20"/>
          <w:szCs w:val="20"/>
        </w:rPr>
      </w:pPr>
      <w:r w:rsidRPr="00990C2F">
        <w:rPr>
          <w:rFonts w:ascii="Arial" w:hAnsi="Arial" w:cs="Arial"/>
          <w:i/>
          <w:sz w:val="20"/>
          <w:szCs w:val="20"/>
        </w:rPr>
        <w:t>В.Н. Клименко, С.Н.  Гулевский, С.М. Кравченко, С.П. Гулевская</w:t>
      </w:r>
      <w:r w:rsidR="00C9792B" w:rsidRPr="00990C2F">
        <w:rPr>
          <w:rFonts w:ascii="Arial" w:hAnsi="Arial" w:cs="Arial"/>
          <w:i/>
          <w:sz w:val="20"/>
          <w:szCs w:val="20"/>
        </w:rPr>
        <w:t>,</w:t>
      </w:r>
      <w:r w:rsidRPr="00990C2F">
        <w:rPr>
          <w:rFonts w:ascii="Arial" w:hAnsi="Arial" w:cs="Arial"/>
          <w:i/>
          <w:sz w:val="20"/>
          <w:szCs w:val="20"/>
        </w:rPr>
        <w:t xml:space="preserve"> И.И. Исайчиков.</w:t>
      </w:r>
    </w:p>
    <w:p w:rsidR="00C9792B" w:rsidRPr="00990C2F" w:rsidRDefault="00D351C6" w:rsidP="00990C2F">
      <w:pPr>
        <w:pStyle w:val="FR1"/>
        <w:spacing w:before="0"/>
        <w:ind w:right="75" w:firstLine="720"/>
        <w:outlineLvl w:val="0"/>
        <w:rPr>
          <w:rFonts w:cs="Arial"/>
          <w:b w:val="0"/>
          <w:sz w:val="20"/>
        </w:rPr>
      </w:pPr>
      <w:r w:rsidRPr="00990C2F">
        <w:rPr>
          <w:rFonts w:cs="Arial"/>
          <w:b w:val="0"/>
          <w:sz w:val="20"/>
        </w:rPr>
        <w:t>Кафедра факультетской хирургии (зав.- проф. В.Н.Клименко)</w:t>
      </w:r>
    </w:p>
    <w:p w:rsidR="00D351C6" w:rsidRPr="00990C2F" w:rsidRDefault="00D351C6" w:rsidP="00990C2F">
      <w:pPr>
        <w:pStyle w:val="FR1"/>
        <w:spacing w:before="0"/>
        <w:ind w:right="75" w:firstLine="720"/>
        <w:outlineLvl w:val="0"/>
        <w:rPr>
          <w:rFonts w:cs="Arial"/>
          <w:b w:val="0"/>
          <w:sz w:val="20"/>
        </w:rPr>
      </w:pPr>
      <w:r w:rsidRPr="00990C2F">
        <w:rPr>
          <w:rFonts w:cs="Arial"/>
          <w:b w:val="0"/>
          <w:sz w:val="20"/>
        </w:rPr>
        <w:t>Запорожского  государственного медицинского университета</w:t>
      </w:r>
    </w:p>
    <w:p w:rsidR="00D351C6" w:rsidRPr="00990C2F" w:rsidRDefault="00D351C6" w:rsidP="00990C2F">
      <w:pPr>
        <w:pStyle w:val="FR1"/>
        <w:spacing w:before="0"/>
        <w:ind w:right="75" w:firstLine="720"/>
        <w:outlineLvl w:val="0"/>
        <w:rPr>
          <w:rFonts w:cs="Arial"/>
          <w:b w:val="0"/>
          <w:i w:val="0"/>
          <w:sz w:val="20"/>
        </w:rPr>
      </w:pPr>
    </w:p>
    <w:p w:rsidR="00D351C6" w:rsidRPr="00990C2F" w:rsidRDefault="00D351C6" w:rsidP="00990C2F">
      <w:pPr>
        <w:pStyle w:val="FR1"/>
        <w:spacing w:before="0"/>
        <w:ind w:right="75" w:firstLine="709"/>
        <w:jc w:val="both"/>
        <w:outlineLvl w:val="0"/>
        <w:rPr>
          <w:rFonts w:cs="Arial"/>
          <w:b w:val="0"/>
          <w:sz w:val="20"/>
          <w:u w:val="single"/>
        </w:rPr>
        <w:sectPr w:rsidR="00D351C6" w:rsidRPr="00990C2F" w:rsidSect="00D351C6">
          <w:footerReference w:type="default" r:id="rId8"/>
          <w:type w:val="continuous"/>
          <w:pgSz w:w="11906" w:h="16838" w:code="9"/>
          <w:pgMar w:top="899" w:right="1106" w:bottom="1079" w:left="1260" w:header="181" w:footer="324" w:gutter="0"/>
          <w:cols w:space="708"/>
          <w:docGrid w:linePitch="360"/>
        </w:sectPr>
      </w:pPr>
    </w:p>
    <w:p w:rsidR="004C240A" w:rsidRDefault="00D351C6" w:rsidP="004C240A">
      <w:pPr>
        <w:pStyle w:val="FR1"/>
        <w:spacing w:before="0"/>
        <w:ind w:right="75"/>
        <w:jc w:val="both"/>
        <w:outlineLvl w:val="0"/>
        <w:rPr>
          <w:rFonts w:cs="Arial"/>
          <w:i w:val="0"/>
          <w:sz w:val="20"/>
          <w:u w:val="single"/>
          <w:lang w:val="en-US"/>
        </w:rPr>
      </w:pPr>
      <w:r w:rsidRPr="00990C2F">
        <w:rPr>
          <w:rFonts w:cs="Arial"/>
          <w:i w:val="0"/>
          <w:sz w:val="20"/>
          <w:u w:val="single"/>
        </w:rPr>
        <w:t>Реферат.</w:t>
      </w:r>
    </w:p>
    <w:p w:rsidR="00D351C6" w:rsidRPr="00990C2F" w:rsidRDefault="00D351C6" w:rsidP="004C240A">
      <w:pPr>
        <w:pStyle w:val="FR1"/>
        <w:spacing w:before="0"/>
        <w:ind w:right="75"/>
        <w:jc w:val="both"/>
        <w:outlineLvl w:val="0"/>
        <w:rPr>
          <w:rFonts w:cs="Arial"/>
          <w:b w:val="0"/>
          <w:i w:val="0"/>
          <w:sz w:val="20"/>
        </w:rPr>
      </w:pPr>
      <w:r w:rsidRPr="00990C2F">
        <w:rPr>
          <w:rFonts w:cs="Arial"/>
          <w:b w:val="0"/>
          <w:i w:val="0"/>
          <w:sz w:val="20"/>
        </w:rPr>
        <w:t xml:space="preserve"> Исследована эффективность применения синтетического аналога соматостатина – Октрестатина, обладающ</w:t>
      </w:r>
      <w:r w:rsidRPr="00990C2F">
        <w:rPr>
          <w:rFonts w:cs="Arial"/>
          <w:b w:val="0"/>
          <w:i w:val="0"/>
          <w:sz w:val="20"/>
          <w:lang w:val="uk-UA"/>
        </w:rPr>
        <w:t>его</w:t>
      </w:r>
      <w:r w:rsidRPr="00990C2F">
        <w:rPr>
          <w:rFonts w:cs="Arial"/>
          <w:b w:val="0"/>
          <w:i w:val="0"/>
          <w:sz w:val="20"/>
        </w:rPr>
        <w:t xml:space="preserve"> ингибирующим действием на секрецию желудочного сока, фермент</w:t>
      </w:r>
      <w:r w:rsidRPr="00990C2F">
        <w:rPr>
          <w:rFonts w:cs="Arial"/>
          <w:b w:val="0"/>
          <w:i w:val="0"/>
          <w:sz w:val="20"/>
          <w:lang w:val="uk-UA"/>
        </w:rPr>
        <w:t>о</w:t>
      </w:r>
      <w:r w:rsidRPr="00990C2F">
        <w:rPr>
          <w:rFonts w:cs="Arial"/>
          <w:b w:val="0"/>
          <w:i w:val="0"/>
          <w:sz w:val="20"/>
        </w:rPr>
        <w:t>в поджелудочной железы (ПЖ) и двенадцатиперстной кишки (ДПК)</w:t>
      </w:r>
      <w:r w:rsidRPr="00990C2F">
        <w:rPr>
          <w:rFonts w:cs="Arial"/>
          <w:b w:val="0"/>
          <w:i w:val="0"/>
          <w:sz w:val="20"/>
          <w:lang w:val="uk-UA"/>
        </w:rPr>
        <w:t>,</w:t>
      </w:r>
      <w:r w:rsidRPr="00990C2F">
        <w:rPr>
          <w:rFonts w:cs="Arial"/>
          <w:b w:val="0"/>
          <w:i w:val="0"/>
          <w:sz w:val="20"/>
        </w:rPr>
        <w:t xml:space="preserve"> с целью профилактики возникновения острого панкреатита после эндоскопических транспапиллярных вмешательств (ЭТПВ) на большом дуоденальном сосочке (БДС) у больных с доброкачественными  заболеваниями органов гепатопанкреато</w:t>
      </w:r>
      <w:r w:rsidR="00990C2F" w:rsidRPr="00990C2F">
        <w:rPr>
          <w:rFonts w:cs="Arial"/>
          <w:b w:val="0"/>
          <w:i w:val="0"/>
          <w:sz w:val="20"/>
        </w:rPr>
        <w:t>-</w:t>
      </w:r>
      <w:r w:rsidRPr="00990C2F">
        <w:rPr>
          <w:rFonts w:cs="Arial"/>
          <w:b w:val="0"/>
          <w:i w:val="0"/>
          <w:sz w:val="20"/>
        </w:rPr>
        <w:t>дуоденальной области (ГПДО</w:t>
      </w:r>
      <w:r w:rsidRPr="00990C2F">
        <w:rPr>
          <w:rFonts w:cs="Arial"/>
          <w:b w:val="0"/>
          <w:i w:val="0"/>
          <w:sz w:val="20"/>
          <w:lang w:val="uk-UA"/>
        </w:rPr>
        <w:t>)</w:t>
      </w:r>
      <w:r w:rsidRPr="00990C2F">
        <w:rPr>
          <w:rFonts w:cs="Arial"/>
          <w:b w:val="0"/>
          <w:i w:val="0"/>
          <w:sz w:val="20"/>
        </w:rPr>
        <w:t>.</w:t>
      </w:r>
    </w:p>
    <w:p w:rsidR="00D351C6" w:rsidRPr="00990C2F" w:rsidRDefault="00D351C6" w:rsidP="00990C2F">
      <w:pPr>
        <w:pStyle w:val="FR1"/>
        <w:spacing w:before="0"/>
        <w:ind w:right="75" w:firstLine="709"/>
        <w:jc w:val="both"/>
        <w:outlineLvl w:val="0"/>
        <w:rPr>
          <w:rFonts w:cs="Arial"/>
          <w:b w:val="0"/>
          <w:i w:val="0"/>
          <w:sz w:val="20"/>
        </w:rPr>
      </w:pPr>
      <w:r w:rsidRPr="00990C2F">
        <w:rPr>
          <w:rFonts w:cs="Arial"/>
          <w:b w:val="0"/>
          <w:i w:val="0"/>
          <w:sz w:val="20"/>
        </w:rPr>
        <w:t>Доказано, что применение Октрестатина с профилактической целью до и после ЭТПВ значительно снижает количество осложнений</w:t>
      </w:r>
      <w:r w:rsidRPr="00990C2F">
        <w:rPr>
          <w:rFonts w:cs="Arial"/>
          <w:b w:val="0"/>
          <w:i w:val="0"/>
          <w:sz w:val="20"/>
          <w:lang w:val="uk-UA"/>
        </w:rPr>
        <w:t xml:space="preserve"> после этих мани</w:t>
      </w:r>
      <w:r w:rsidR="00990C2F" w:rsidRPr="00990C2F">
        <w:rPr>
          <w:rFonts w:cs="Arial"/>
          <w:b w:val="0"/>
          <w:i w:val="0"/>
          <w:sz w:val="20"/>
        </w:rPr>
        <w:t>-</w:t>
      </w:r>
      <w:r w:rsidRPr="00990C2F">
        <w:rPr>
          <w:rFonts w:cs="Arial"/>
          <w:b w:val="0"/>
          <w:i w:val="0"/>
          <w:sz w:val="20"/>
          <w:lang w:val="uk-UA"/>
        </w:rPr>
        <w:t>пуляций</w:t>
      </w:r>
      <w:r w:rsidRPr="00990C2F">
        <w:rPr>
          <w:rFonts w:cs="Arial"/>
          <w:b w:val="0"/>
          <w:i w:val="0"/>
          <w:sz w:val="20"/>
        </w:rPr>
        <w:t xml:space="preserve">, в частности, острых панкреатитов и панкреонекрозов.  </w:t>
      </w:r>
    </w:p>
    <w:p w:rsidR="004C240A" w:rsidRPr="004C240A" w:rsidRDefault="00D351C6" w:rsidP="004C240A">
      <w:pPr>
        <w:pStyle w:val="FR1"/>
        <w:spacing w:before="0"/>
        <w:ind w:right="75"/>
        <w:jc w:val="both"/>
        <w:outlineLvl w:val="0"/>
        <w:rPr>
          <w:rFonts w:cs="Arial"/>
          <w:i w:val="0"/>
          <w:sz w:val="20"/>
          <w:u w:val="single"/>
        </w:rPr>
      </w:pPr>
      <w:r w:rsidRPr="00990C2F">
        <w:rPr>
          <w:rFonts w:cs="Arial"/>
          <w:i w:val="0"/>
          <w:sz w:val="20"/>
          <w:u w:val="single"/>
        </w:rPr>
        <w:t>Ключевые слова:</w:t>
      </w:r>
    </w:p>
    <w:p w:rsidR="00D351C6" w:rsidRPr="00990C2F" w:rsidRDefault="00D351C6" w:rsidP="004C240A">
      <w:pPr>
        <w:pStyle w:val="FR1"/>
        <w:spacing w:before="0"/>
        <w:ind w:right="75"/>
        <w:jc w:val="both"/>
        <w:outlineLvl w:val="0"/>
        <w:rPr>
          <w:rFonts w:cs="Arial"/>
          <w:b w:val="0"/>
          <w:i w:val="0"/>
          <w:sz w:val="20"/>
        </w:rPr>
      </w:pPr>
      <w:r w:rsidRPr="00990C2F">
        <w:rPr>
          <w:rFonts w:cs="Arial"/>
          <w:b w:val="0"/>
          <w:i w:val="0"/>
          <w:sz w:val="20"/>
        </w:rPr>
        <w:t xml:space="preserve"> заболевания органов гепатопанкреато</w:t>
      </w:r>
      <w:r w:rsidR="004C240A" w:rsidRPr="004C240A">
        <w:rPr>
          <w:rFonts w:cs="Arial"/>
          <w:b w:val="0"/>
          <w:i w:val="0"/>
          <w:sz w:val="20"/>
        </w:rPr>
        <w:t>-</w:t>
      </w:r>
      <w:r w:rsidRPr="00990C2F">
        <w:rPr>
          <w:rFonts w:cs="Arial"/>
          <w:b w:val="0"/>
          <w:i w:val="0"/>
          <w:sz w:val="20"/>
        </w:rPr>
        <w:t>дуоденальной области, эндоскопические транспапиллярные вмешательства, осложне</w:t>
      </w:r>
      <w:r w:rsidR="004C240A" w:rsidRPr="004C240A">
        <w:rPr>
          <w:rFonts w:cs="Arial"/>
          <w:b w:val="0"/>
          <w:i w:val="0"/>
          <w:sz w:val="20"/>
        </w:rPr>
        <w:t>-</w:t>
      </w:r>
      <w:r w:rsidRPr="00990C2F">
        <w:rPr>
          <w:rFonts w:cs="Arial"/>
          <w:b w:val="0"/>
          <w:i w:val="0"/>
          <w:sz w:val="20"/>
        </w:rPr>
        <w:t xml:space="preserve">ния, профилактика. </w:t>
      </w:r>
    </w:p>
    <w:p w:rsidR="00BD1043" w:rsidRDefault="00D351C6" w:rsidP="00BD1043">
      <w:pPr>
        <w:pStyle w:val="FR1"/>
        <w:spacing w:before="0"/>
        <w:ind w:right="75"/>
        <w:jc w:val="both"/>
        <w:outlineLvl w:val="0"/>
        <w:rPr>
          <w:rFonts w:cs="Arial"/>
          <w:i w:val="0"/>
          <w:sz w:val="20"/>
          <w:lang w:val="en-US"/>
        </w:rPr>
      </w:pPr>
      <w:r w:rsidRPr="00990C2F">
        <w:rPr>
          <w:rFonts w:cs="Arial"/>
          <w:i w:val="0"/>
          <w:sz w:val="20"/>
          <w:u w:val="single"/>
        </w:rPr>
        <w:t>Введение.</w:t>
      </w:r>
      <w:r w:rsidR="004C31F4" w:rsidRPr="00990C2F">
        <w:rPr>
          <w:rFonts w:cs="Arial"/>
          <w:i w:val="0"/>
          <w:sz w:val="20"/>
        </w:rPr>
        <w:t xml:space="preserve"> </w:t>
      </w:r>
    </w:p>
    <w:p w:rsidR="00D351C6" w:rsidRPr="00990C2F" w:rsidRDefault="00D351C6" w:rsidP="00BD1043">
      <w:pPr>
        <w:pStyle w:val="FR1"/>
        <w:spacing w:before="0"/>
        <w:ind w:right="75"/>
        <w:jc w:val="both"/>
        <w:outlineLvl w:val="0"/>
        <w:rPr>
          <w:rFonts w:cs="Arial"/>
          <w:b w:val="0"/>
          <w:i w:val="0"/>
          <w:sz w:val="20"/>
          <w:lang w:val="uk-UA"/>
        </w:rPr>
      </w:pPr>
      <w:r w:rsidRPr="00990C2F">
        <w:rPr>
          <w:rFonts w:cs="Arial"/>
          <w:b w:val="0"/>
          <w:i w:val="0"/>
          <w:sz w:val="20"/>
        </w:rPr>
        <w:t xml:space="preserve">Зона большого дуоденального сосочка является важнейшим объектом различных эндоскопических вмешательств при заболеваниях гепатопанкреатодуоденальной области.  </w:t>
      </w:r>
    </w:p>
    <w:p w:rsidR="00D351C6" w:rsidRPr="00990C2F" w:rsidRDefault="00D351C6" w:rsidP="00990C2F">
      <w:pPr>
        <w:pStyle w:val="FR1"/>
        <w:spacing w:before="0"/>
        <w:ind w:right="75" w:firstLine="709"/>
        <w:jc w:val="both"/>
        <w:outlineLvl w:val="0"/>
        <w:rPr>
          <w:rFonts w:cs="Arial"/>
          <w:b w:val="0"/>
          <w:i w:val="0"/>
          <w:sz w:val="20"/>
          <w:lang w:val="uk-UA"/>
        </w:rPr>
      </w:pPr>
      <w:r w:rsidRPr="00990C2F">
        <w:rPr>
          <w:rFonts w:cs="Arial"/>
          <w:b w:val="0"/>
          <w:i w:val="0"/>
          <w:sz w:val="20"/>
          <w:lang w:val="uk-UA"/>
        </w:rPr>
        <w:t>В последние годы в диагностике и лечении патологии панкреатобилиарной зоны самое широкое распространение получили методы эндоскопической ретроградной панкреатохолангиографии (ЭРПХГ) и прямые вмешательства на БДС, такие как эндоскопическая папиллосфинктеротомия (ЭПСТ), литоэкстракция, назобилиарное дренирование (НБД) и др. Комплексное применение этих методов еще в большей степени повышает эффективность транспапиллярных вмешательств  при синдроме внепеченочного холестаза. Вместе с тем, сам метод ЭРПХГ с манипуляцией на такой сложной анатомической структуре, каким является БДС, несет в себе возможность развития  опасных осложнений</w:t>
      </w:r>
      <w:r w:rsidRPr="00990C2F">
        <w:rPr>
          <w:rFonts w:cs="Arial"/>
          <w:b w:val="0"/>
          <w:i w:val="0"/>
          <w:sz w:val="20"/>
        </w:rPr>
        <w:t xml:space="preserve"> [2,5,6].</w:t>
      </w:r>
      <w:r w:rsidRPr="00990C2F">
        <w:rPr>
          <w:rFonts w:cs="Arial"/>
          <w:b w:val="0"/>
          <w:i w:val="0"/>
          <w:sz w:val="20"/>
          <w:lang w:val="uk-UA"/>
        </w:rPr>
        <w:t xml:space="preserve"> </w:t>
      </w:r>
    </w:p>
    <w:p w:rsidR="00D351C6" w:rsidRPr="00990C2F" w:rsidRDefault="00D351C6" w:rsidP="00990C2F">
      <w:pPr>
        <w:pStyle w:val="FR1"/>
        <w:spacing w:before="0"/>
        <w:ind w:right="75" w:firstLine="709"/>
        <w:jc w:val="both"/>
        <w:outlineLvl w:val="0"/>
        <w:rPr>
          <w:rFonts w:cs="Arial"/>
          <w:b w:val="0"/>
          <w:i w:val="0"/>
          <w:sz w:val="20"/>
        </w:rPr>
      </w:pPr>
      <w:r w:rsidRPr="00990C2F">
        <w:rPr>
          <w:rFonts w:cs="Arial"/>
          <w:b w:val="0"/>
          <w:i w:val="0"/>
          <w:sz w:val="20"/>
          <w:lang w:val="uk-UA"/>
        </w:rPr>
        <w:t xml:space="preserve">Из осложнений, непосредственно связанных с техническими погрешностями выполнения ЭТПВ, наиболее частыми являются: гиперамилаземия  (22-44% наблюдений), кровотечение из папиллотомной раны –( 2,2 – 5%), развитие острого панкреатита, вплоть до его деструктивних форм –  (2,2 – 3%), перфорация ДПК с формированием ретроперитонеальных абсцессов и флегмоны – ( 0,4%) </w:t>
      </w:r>
      <w:r w:rsidRPr="00990C2F">
        <w:rPr>
          <w:rFonts w:cs="Arial"/>
          <w:b w:val="0"/>
          <w:i w:val="0"/>
          <w:sz w:val="20"/>
        </w:rPr>
        <w:t xml:space="preserve"> [3,7].</w:t>
      </w:r>
      <w:r w:rsidRPr="00990C2F">
        <w:rPr>
          <w:rFonts w:cs="Arial"/>
          <w:b w:val="0"/>
          <w:i w:val="0"/>
          <w:sz w:val="20"/>
          <w:lang w:val="uk-UA"/>
        </w:rPr>
        <w:t xml:space="preserve"> </w:t>
      </w:r>
    </w:p>
    <w:p w:rsidR="00D351C6" w:rsidRPr="00990C2F" w:rsidRDefault="00D351C6" w:rsidP="00990C2F">
      <w:pPr>
        <w:pStyle w:val="FR1"/>
        <w:spacing w:before="0"/>
        <w:ind w:right="75" w:firstLine="709"/>
        <w:jc w:val="both"/>
        <w:outlineLvl w:val="0"/>
        <w:rPr>
          <w:rFonts w:cs="Arial"/>
          <w:b w:val="0"/>
          <w:i w:val="0"/>
          <w:sz w:val="20"/>
        </w:rPr>
      </w:pPr>
      <w:r w:rsidRPr="00990C2F">
        <w:rPr>
          <w:rFonts w:cs="Arial"/>
          <w:b w:val="0"/>
          <w:i w:val="0"/>
          <w:sz w:val="20"/>
        </w:rPr>
        <w:t>Развитие этих грозных осложнений  является одним из факторов, сдерживающих более широкое внедрение данного лечебно-диагностического комплекса в клиническую практику [1].</w:t>
      </w:r>
      <w:r w:rsidRPr="00990C2F">
        <w:rPr>
          <w:rFonts w:cs="Arial"/>
          <w:b w:val="0"/>
          <w:i w:val="0"/>
          <w:sz w:val="20"/>
          <w:lang w:val="uk-UA"/>
        </w:rPr>
        <w:t xml:space="preserve"> </w:t>
      </w:r>
      <w:r w:rsidRPr="00990C2F">
        <w:rPr>
          <w:rFonts w:cs="Arial"/>
          <w:b w:val="0"/>
          <w:i w:val="0"/>
          <w:sz w:val="20"/>
        </w:rPr>
        <w:t xml:space="preserve">В связи с этим разработка профилактических мер по  предупреждению подобных осложнений является актуальной проблемой эндоскопической хирургии. </w:t>
      </w:r>
    </w:p>
    <w:p w:rsidR="00D351C6" w:rsidRPr="00990C2F" w:rsidRDefault="004C31F4" w:rsidP="00BD1043">
      <w:pPr>
        <w:pStyle w:val="FR1"/>
        <w:spacing w:before="0"/>
        <w:ind w:right="75"/>
        <w:jc w:val="both"/>
        <w:outlineLvl w:val="0"/>
        <w:rPr>
          <w:rFonts w:cs="Arial"/>
          <w:b w:val="0"/>
          <w:i w:val="0"/>
          <w:sz w:val="20"/>
        </w:rPr>
      </w:pPr>
      <w:r w:rsidRPr="00990C2F">
        <w:rPr>
          <w:rFonts w:cs="Arial"/>
          <w:i w:val="0"/>
          <w:sz w:val="20"/>
          <w:u w:val="single"/>
        </w:rPr>
        <w:t>Цель работы</w:t>
      </w:r>
      <w:r w:rsidR="00D351C6" w:rsidRPr="00990C2F">
        <w:rPr>
          <w:rFonts w:cs="Arial"/>
          <w:i w:val="0"/>
          <w:sz w:val="20"/>
          <w:u w:val="single"/>
        </w:rPr>
        <w:t>:</w:t>
      </w:r>
      <w:r w:rsidR="00D351C6" w:rsidRPr="00990C2F">
        <w:rPr>
          <w:rFonts w:cs="Arial"/>
          <w:b w:val="0"/>
          <w:i w:val="0"/>
          <w:sz w:val="20"/>
        </w:rPr>
        <w:t xml:space="preserve"> у больных с заболеваниями органов ГПДО, которым выполнены  различные виды ЭТПВ, провести анализ эффективности применения в пред - и послеоперационном периодах препарата Октрестатин в качестве профилактического средства, предупреждающего возникновение острого послеоперационного панкреатита.</w:t>
      </w:r>
    </w:p>
    <w:p w:rsidR="00BD1043" w:rsidRDefault="00BD1043" w:rsidP="00BD1043">
      <w:pPr>
        <w:pStyle w:val="FR1"/>
        <w:spacing w:before="0"/>
        <w:ind w:right="75"/>
        <w:jc w:val="both"/>
        <w:outlineLvl w:val="0"/>
        <w:rPr>
          <w:rFonts w:cs="Arial"/>
          <w:i w:val="0"/>
          <w:sz w:val="20"/>
          <w:u w:val="single"/>
          <w:lang w:val="en-US"/>
        </w:rPr>
      </w:pPr>
    </w:p>
    <w:p w:rsidR="00D351C6" w:rsidRPr="00990C2F" w:rsidRDefault="00D351C6" w:rsidP="00BD1043">
      <w:pPr>
        <w:pStyle w:val="FR1"/>
        <w:spacing w:before="0"/>
        <w:ind w:right="75"/>
        <w:jc w:val="both"/>
        <w:outlineLvl w:val="0"/>
        <w:rPr>
          <w:rFonts w:cs="Arial"/>
          <w:b w:val="0"/>
          <w:i w:val="0"/>
          <w:sz w:val="20"/>
        </w:rPr>
      </w:pPr>
      <w:r w:rsidRPr="00990C2F">
        <w:rPr>
          <w:rFonts w:cs="Arial"/>
          <w:i w:val="0"/>
          <w:sz w:val="20"/>
          <w:u w:val="single"/>
        </w:rPr>
        <w:t>Материалы и методы.</w:t>
      </w:r>
    </w:p>
    <w:p w:rsidR="00D351C6" w:rsidRPr="00990C2F" w:rsidRDefault="00D351C6" w:rsidP="00BD1043">
      <w:pPr>
        <w:pStyle w:val="FR1"/>
        <w:spacing w:before="0"/>
        <w:ind w:right="75"/>
        <w:jc w:val="both"/>
        <w:outlineLvl w:val="0"/>
        <w:rPr>
          <w:rFonts w:cs="Arial"/>
          <w:b w:val="0"/>
          <w:i w:val="0"/>
          <w:sz w:val="20"/>
        </w:rPr>
      </w:pPr>
      <w:r w:rsidRPr="00990C2F">
        <w:rPr>
          <w:rFonts w:cs="Arial"/>
          <w:b w:val="0"/>
          <w:i w:val="0"/>
          <w:sz w:val="20"/>
        </w:rPr>
        <w:t xml:space="preserve">Проанализированы результаты лечения 49 больных с заболеваниями органов ГПДО, подвергшихся ЭТПВ. Возраст пациентов был от 26 лет до 71 года,  в среднем 48 лет. В возрасте 60 лет и старше было 57,1% больных. </w:t>
      </w:r>
    </w:p>
    <w:p w:rsidR="00D351C6" w:rsidRPr="00990C2F" w:rsidRDefault="00D351C6" w:rsidP="00990C2F">
      <w:pPr>
        <w:pStyle w:val="FR1"/>
        <w:spacing w:before="0"/>
        <w:ind w:right="75" w:firstLine="709"/>
        <w:jc w:val="both"/>
        <w:outlineLvl w:val="0"/>
        <w:rPr>
          <w:rFonts w:cs="Arial"/>
          <w:b w:val="0"/>
          <w:i w:val="0"/>
          <w:sz w:val="20"/>
        </w:rPr>
      </w:pPr>
      <w:r w:rsidRPr="00990C2F">
        <w:rPr>
          <w:rFonts w:cs="Arial"/>
          <w:b w:val="0"/>
          <w:i w:val="0"/>
          <w:sz w:val="20"/>
        </w:rPr>
        <w:t>При лечении доброкачественной патологии желчевыводящих протоков придерживались двухэтапной тактики лечения: первыми выполнялись диагностические и рентгенэндоскопические вмешательства с последующей лапароско</w:t>
      </w:r>
      <w:r w:rsidR="00990C2F" w:rsidRPr="004C240A">
        <w:rPr>
          <w:rFonts w:cs="Arial"/>
          <w:b w:val="0"/>
          <w:i w:val="0"/>
          <w:sz w:val="20"/>
        </w:rPr>
        <w:t>-</w:t>
      </w:r>
      <w:r w:rsidRPr="00990C2F">
        <w:rPr>
          <w:rFonts w:cs="Arial"/>
          <w:b w:val="0"/>
          <w:i w:val="0"/>
          <w:sz w:val="20"/>
        </w:rPr>
        <w:t>ической холецистэктомией (ЛХЭ), либо желчный пузырь удалялся из минимального лапаротомного   доступа, разработанного в клинике.</w:t>
      </w:r>
    </w:p>
    <w:p w:rsidR="00D351C6" w:rsidRPr="00990C2F" w:rsidRDefault="00D351C6" w:rsidP="00990C2F">
      <w:pPr>
        <w:pStyle w:val="FR1"/>
        <w:spacing w:before="0"/>
        <w:ind w:right="75" w:firstLine="720"/>
        <w:jc w:val="both"/>
        <w:outlineLvl w:val="0"/>
        <w:rPr>
          <w:rFonts w:cs="Arial"/>
          <w:b w:val="0"/>
          <w:i w:val="0"/>
          <w:sz w:val="20"/>
        </w:rPr>
      </w:pPr>
      <w:r w:rsidRPr="00990C2F">
        <w:rPr>
          <w:rFonts w:cs="Arial"/>
          <w:b w:val="0"/>
          <w:i w:val="0"/>
          <w:sz w:val="20"/>
        </w:rPr>
        <w:t>По нозологическим формам  больные распределились следующим образом (табл.1). Хронический калькулезный холецистит (ХКХ) с папилломатозными изменениями БДС и  явлениями билиарной гипертензии  наблюдался у 8 больных;  ХКХ, холедохолитиаз, механическая желтуха - у 12; острый калькулезный холецистит (ОКХ), холедохолитиаз, механическая желтуха - у 9; постхолецистэктомический синдром, стенозирующий папиллит, холедохолитиаз - у 8; острый панкреатит, стенозирующий папиллит, механическая желтуха - у 4;  хронический рецидивирующий панкреатит,  стеноз сфинктера Одди - у 7;  хронический калькулезный холецистит, холедохо</w:t>
      </w:r>
      <w:r w:rsidR="004C31F4" w:rsidRPr="00990C2F">
        <w:rPr>
          <w:rFonts w:cs="Arial"/>
          <w:b w:val="0"/>
          <w:i w:val="0"/>
          <w:sz w:val="20"/>
        </w:rPr>
        <w:t>-</w:t>
      </w:r>
      <w:r w:rsidRPr="00990C2F">
        <w:rPr>
          <w:rFonts w:cs="Arial"/>
          <w:b w:val="0"/>
          <w:i w:val="0"/>
          <w:sz w:val="20"/>
        </w:rPr>
        <w:t>литиаз, рестеноз БДС после ЭПСТ - у 1. У 5 пациентов (10%)  определялся парапапиллярный дивертикул;  папиллома</w:t>
      </w:r>
      <w:r w:rsidR="00990C2F" w:rsidRPr="00990C2F">
        <w:rPr>
          <w:rFonts w:cs="Arial"/>
          <w:b w:val="0"/>
          <w:i w:val="0"/>
          <w:sz w:val="20"/>
        </w:rPr>
        <w:t>-</w:t>
      </w:r>
      <w:r w:rsidRPr="00990C2F">
        <w:rPr>
          <w:rFonts w:cs="Arial"/>
          <w:b w:val="0"/>
          <w:i w:val="0"/>
          <w:sz w:val="20"/>
        </w:rPr>
        <w:t xml:space="preserve">тозные изменения БДС отмечались у 22 (45%) человек.  </w:t>
      </w:r>
    </w:p>
    <w:p w:rsidR="00D351C6" w:rsidRPr="00990C2F" w:rsidRDefault="00D351C6" w:rsidP="00990C2F">
      <w:pPr>
        <w:pStyle w:val="FR1"/>
        <w:spacing w:before="0"/>
        <w:ind w:right="75" w:firstLine="720"/>
        <w:jc w:val="both"/>
        <w:outlineLvl w:val="0"/>
        <w:rPr>
          <w:rFonts w:cs="Arial"/>
          <w:b w:val="0"/>
          <w:i w:val="0"/>
          <w:sz w:val="20"/>
        </w:rPr>
      </w:pPr>
      <w:r w:rsidRPr="00990C2F">
        <w:rPr>
          <w:rFonts w:cs="Arial"/>
          <w:b w:val="0"/>
          <w:i w:val="0"/>
          <w:sz w:val="20"/>
        </w:rPr>
        <w:t>Наблюдаемых больных разделили на две группы: основную – 19 человек, которым в процессе лечения до и после ЭТПВ с профилактической целью применяли синтетический аналог соматостатина – Октрестатин  (действующее вещество – октреотид, производство ЗАО «ФАРМ-СИНТЕЗ», Москва, Россия);  контрольную – 30 человек, которым данный препарат не вводился.</w:t>
      </w:r>
    </w:p>
    <w:p w:rsidR="00D351C6" w:rsidRPr="00990C2F" w:rsidRDefault="00D351C6" w:rsidP="00990C2F">
      <w:pPr>
        <w:pStyle w:val="FR1"/>
        <w:spacing w:before="0"/>
        <w:ind w:right="75" w:firstLine="709"/>
        <w:jc w:val="both"/>
        <w:outlineLvl w:val="0"/>
        <w:rPr>
          <w:rFonts w:cs="Arial"/>
          <w:b w:val="0"/>
          <w:i w:val="0"/>
          <w:sz w:val="20"/>
        </w:rPr>
      </w:pPr>
      <w:r w:rsidRPr="00990C2F">
        <w:rPr>
          <w:rFonts w:cs="Arial"/>
          <w:b w:val="0"/>
          <w:i w:val="0"/>
          <w:sz w:val="20"/>
        </w:rPr>
        <w:t>Всем больным основной и контрольной групп проводились: биохимическое исследование крови, фиброэзофагогастродуоденоскопия, УЗИ органов гепатобилиарной системы и ПЖ. Рентгенэндоскопические исследования и оперативные вмешательства на БДС, холедо</w:t>
      </w:r>
      <w:r w:rsidR="00990C2F" w:rsidRPr="00990C2F">
        <w:rPr>
          <w:rFonts w:cs="Arial"/>
          <w:b w:val="0"/>
          <w:i w:val="0"/>
          <w:sz w:val="20"/>
        </w:rPr>
        <w:t>-</w:t>
      </w:r>
      <w:r w:rsidRPr="00990C2F">
        <w:rPr>
          <w:rFonts w:cs="Arial"/>
          <w:b w:val="0"/>
          <w:i w:val="0"/>
          <w:sz w:val="20"/>
        </w:rPr>
        <w:t>холитоэкстракция проводились на С–арочной рентгенустановке «</w:t>
      </w:r>
      <w:r w:rsidRPr="00990C2F">
        <w:rPr>
          <w:rFonts w:cs="Arial"/>
          <w:b w:val="0"/>
          <w:i w:val="0"/>
          <w:sz w:val="20"/>
          <w:lang w:val="en-US"/>
        </w:rPr>
        <w:t>Supra</w:t>
      </w:r>
      <w:r w:rsidRPr="00990C2F">
        <w:rPr>
          <w:rFonts w:cs="Arial"/>
          <w:b w:val="0"/>
          <w:i w:val="0"/>
          <w:sz w:val="20"/>
        </w:rPr>
        <w:t xml:space="preserve">» </w:t>
      </w:r>
      <w:r w:rsidRPr="00990C2F">
        <w:rPr>
          <w:rFonts w:cs="Arial"/>
          <w:b w:val="0"/>
          <w:i w:val="0"/>
          <w:sz w:val="20"/>
          <w:lang w:val="en-US"/>
        </w:rPr>
        <w:t>DSA</w:t>
      </w:r>
      <w:r w:rsidRPr="00990C2F">
        <w:rPr>
          <w:rFonts w:cs="Arial"/>
          <w:b w:val="0"/>
          <w:i w:val="0"/>
          <w:sz w:val="20"/>
        </w:rPr>
        <w:t>-1000 фирмы «</w:t>
      </w:r>
      <w:r w:rsidRPr="00990C2F">
        <w:rPr>
          <w:rFonts w:cs="Arial"/>
          <w:b w:val="0"/>
          <w:i w:val="0"/>
          <w:sz w:val="20"/>
          <w:lang w:val="en-US"/>
        </w:rPr>
        <w:t>Apelem</w:t>
      </w:r>
      <w:r w:rsidRPr="00990C2F">
        <w:rPr>
          <w:rFonts w:cs="Arial"/>
          <w:b w:val="0"/>
          <w:i w:val="0"/>
          <w:sz w:val="20"/>
        </w:rPr>
        <w:t xml:space="preserve">» (Франция). </w:t>
      </w:r>
    </w:p>
    <w:p w:rsidR="00D351C6" w:rsidRPr="00990C2F" w:rsidRDefault="00D351C6" w:rsidP="00990C2F">
      <w:pPr>
        <w:pStyle w:val="FR1"/>
        <w:spacing w:before="0"/>
        <w:ind w:right="75" w:firstLine="709"/>
        <w:jc w:val="both"/>
        <w:outlineLvl w:val="0"/>
        <w:rPr>
          <w:rFonts w:cs="Arial"/>
          <w:b w:val="0"/>
          <w:i w:val="0"/>
          <w:sz w:val="20"/>
        </w:rPr>
      </w:pPr>
      <w:r w:rsidRPr="00990C2F">
        <w:rPr>
          <w:rFonts w:cs="Arial"/>
          <w:b w:val="0"/>
          <w:i w:val="0"/>
          <w:sz w:val="20"/>
        </w:rPr>
        <w:t xml:space="preserve">Больным основной группы Октрестатин вводился вместе с премедикацией за 30 мин до ЭТПВ подкожно в дозе 100 мкг, а затем в суточной дозе 300 мкг подкожно 3 раза в течение первых 2-х дней. </w:t>
      </w:r>
    </w:p>
    <w:p w:rsidR="00D351C6" w:rsidRPr="00990C2F" w:rsidRDefault="00D351C6" w:rsidP="00990C2F">
      <w:pPr>
        <w:pStyle w:val="FR1"/>
        <w:spacing w:before="0"/>
        <w:ind w:right="75" w:firstLine="709"/>
        <w:jc w:val="both"/>
        <w:outlineLvl w:val="0"/>
        <w:rPr>
          <w:rFonts w:cs="Arial"/>
          <w:b w:val="0"/>
          <w:i w:val="0"/>
          <w:sz w:val="20"/>
        </w:rPr>
      </w:pPr>
      <w:r w:rsidRPr="00990C2F">
        <w:rPr>
          <w:rFonts w:cs="Arial"/>
          <w:b w:val="0"/>
          <w:i w:val="0"/>
          <w:sz w:val="20"/>
        </w:rPr>
        <w:t>В комплексе консервативного лечения больным основной и контрольной групп после ЭТПВ проводилась инфузионная  терапия, обезболивание,  ингибиторы протеаз (гордокс, контрикал), ингибиторы желудочной секреции (лосек, квамател),   антибиотико</w:t>
      </w:r>
      <w:r w:rsidR="00990C2F" w:rsidRPr="00990C2F">
        <w:rPr>
          <w:rFonts w:cs="Arial"/>
          <w:b w:val="0"/>
          <w:i w:val="0"/>
          <w:sz w:val="20"/>
        </w:rPr>
        <w:t>-</w:t>
      </w:r>
      <w:r w:rsidRPr="00990C2F">
        <w:rPr>
          <w:rFonts w:cs="Arial"/>
          <w:b w:val="0"/>
          <w:i w:val="0"/>
          <w:sz w:val="20"/>
        </w:rPr>
        <w:t xml:space="preserve">терапия по показаниям. </w:t>
      </w:r>
    </w:p>
    <w:p w:rsidR="00D351C6" w:rsidRPr="00990C2F" w:rsidRDefault="00D351C6" w:rsidP="00990C2F">
      <w:pPr>
        <w:pStyle w:val="FR1"/>
        <w:spacing w:before="0"/>
        <w:ind w:right="75" w:firstLine="720"/>
        <w:jc w:val="both"/>
        <w:outlineLvl w:val="0"/>
        <w:rPr>
          <w:rFonts w:cs="Arial"/>
          <w:b w:val="0"/>
          <w:i w:val="0"/>
          <w:sz w:val="20"/>
        </w:rPr>
        <w:sectPr w:rsidR="00D351C6" w:rsidRPr="00990C2F" w:rsidSect="00D351C6">
          <w:type w:val="continuous"/>
          <w:pgSz w:w="11906" w:h="16838" w:code="9"/>
          <w:pgMar w:top="899" w:right="1106" w:bottom="1079" w:left="1260" w:header="181" w:footer="324" w:gutter="0"/>
          <w:cols w:num="2" w:space="708" w:equalWidth="0">
            <w:col w:w="4416" w:space="708"/>
            <w:col w:w="4416"/>
          </w:cols>
          <w:docGrid w:linePitch="360"/>
        </w:sectPr>
      </w:pPr>
    </w:p>
    <w:p w:rsidR="00D351C6" w:rsidRPr="00990C2F" w:rsidRDefault="00D351C6" w:rsidP="00990C2F">
      <w:pPr>
        <w:pStyle w:val="FR1"/>
        <w:spacing w:before="0"/>
        <w:ind w:right="75" w:firstLine="720"/>
        <w:jc w:val="both"/>
        <w:outlineLvl w:val="0"/>
        <w:rPr>
          <w:rFonts w:cs="Arial"/>
          <w:b w:val="0"/>
          <w:i w:val="0"/>
          <w:sz w:val="20"/>
        </w:rPr>
      </w:pPr>
    </w:p>
    <w:p w:rsidR="00D351C6" w:rsidRPr="00990C2F" w:rsidRDefault="00D351C6" w:rsidP="00990C2F">
      <w:pPr>
        <w:ind w:left="1260" w:right="75" w:hanging="1260"/>
        <w:jc w:val="right"/>
        <w:rPr>
          <w:rFonts w:ascii="Arial" w:hAnsi="Arial" w:cs="Arial"/>
          <w:sz w:val="20"/>
          <w:szCs w:val="20"/>
        </w:rPr>
      </w:pPr>
      <w:r w:rsidRPr="00990C2F">
        <w:rPr>
          <w:rFonts w:ascii="Arial" w:hAnsi="Arial" w:cs="Arial"/>
          <w:b/>
          <w:sz w:val="20"/>
          <w:szCs w:val="20"/>
        </w:rPr>
        <w:t>Таблица 1.</w:t>
      </w:r>
    </w:p>
    <w:p w:rsidR="007A554E" w:rsidRPr="00990C2F" w:rsidRDefault="007A554E" w:rsidP="00990C2F">
      <w:pPr>
        <w:ind w:right="75"/>
        <w:jc w:val="both"/>
        <w:rPr>
          <w:rFonts w:ascii="Arial" w:hAnsi="Arial" w:cs="Arial"/>
          <w:b/>
          <w:sz w:val="20"/>
          <w:szCs w:val="20"/>
        </w:rPr>
      </w:pPr>
    </w:p>
    <w:p w:rsidR="00D351C6" w:rsidRPr="00990C2F" w:rsidRDefault="00D351C6" w:rsidP="00990C2F">
      <w:pPr>
        <w:ind w:right="75"/>
        <w:jc w:val="both"/>
        <w:rPr>
          <w:rFonts w:ascii="Arial" w:hAnsi="Arial" w:cs="Arial"/>
          <w:b/>
          <w:sz w:val="20"/>
          <w:szCs w:val="20"/>
        </w:rPr>
      </w:pPr>
      <w:r w:rsidRPr="00990C2F">
        <w:rPr>
          <w:rFonts w:ascii="Arial" w:hAnsi="Arial" w:cs="Arial"/>
          <w:b/>
          <w:sz w:val="20"/>
          <w:szCs w:val="20"/>
        </w:rPr>
        <w:t>Распределение больных по нозологическим формам в основной и контрольной группах.</w:t>
      </w:r>
    </w:p>
    <w:p w:rsidR="007A554E" w:rsidRPr="00990C2F" w:rsidRDefault="007A554E" w:rsidP="00990C2F">
      <w:pPr>
        <w:ind w:right="75"/>
        <w:jc w:val="both"/>
        <w:rPr>
          <w:rFonts w:ascii="Arial" w:hAnsi="Arial" w:cs="Arial"/>
          <w:b/>
          <w:sz w:val="20"/>
          <w:szCs w:val="20"/>
        </w:rPr>
      </w:pPr>
    </w:p>
    <w:p w:rsidR="00D351C6" w:rsidRPr="00990C2F" w:rsidRDefault="00D351C6" w:rsidP="00990C2F">
      <w:pPr>
        <w:ind w:right="75"/>
        <w:rPr>
          <w:rFonts w:ascii="Arial" w:hAnsi="Arial" w:cs="Arial"/>
          <w:sz w:val="20"/>
          <w:szCs w:val="20"/>
        </w:rPr>
      </w:pPr>
    </w:p>
    <w:p w:rsidR="004C31F4" w:rsidRPr="00990C2F" w:rsidRDefault="004C31F4" w:rsidP="00990C2F">
      <w:pPr>
        <w:ind w:right="75"/>
        <w:rPr>
          <w:rFonts w:ascii="Arial" w:hAnsi="Arial" w:cs="Arial"/>
          <w:sz w:val="20"/>
          <w:szCs w:val="20"/>
        </w:rPr>
      </w:pPr>
    </w:p>
    <w:tbl>
      <w:tblPr>
        <w:tblStyle w:val="a7"/>
        <w:tblW w:w="9620" w:type="dxa"/>
        <w:tblLayout w:type="fixed"/>
        <w:tblLook w:val="01E0" w:firstRow="1" w:lastRow="1" w:firstColumn="1" w:lastColumn="1" w:noHBand="0" w:noVBand="0"/>
      </w:tblPr>
      <w:tblGrid>
        <w:gridCol w:w="4788"/>
        <w:gridCol w:w="2520"/>
        <w:gridCol w:w="2312"/>
      </w:tblGrid>
      <w:tr w:rsidR="00D351C6" w:rsidRPr="00990C2F">
        <w:trPr>
          <w:trHeight w:val="798"/>
        </w:trPr>
        <w:tc>
          <w:tcPr>
            <w:tcW w:w="47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51C6" w:rsidRPr="00990C2F" w:rsidRDefault="00D351C6" w:rsidP="00990C2F">
            <w:pPr>
              <w:ind w:right="75"/>
              <w:rPr>
                <w:rFonts w:ascii="Arial" w:hAnsi="Arial" w:cs="Arial"/>
                <w:b/>
                <w:sz w:val="20"/>
                <w:szCs w:val="20"/>
              </w:rPr>
            </w:pPr>
            <w:r w:rsidRPr="00990C2F">
              <w:rPr>
                <w:rFonts w:ascii="Arial" w:hAnsi="Arial" w:cs="Arial"/>
                <w:b/>
                <w:sz w:val="20"/>
                <w:szCs w:val="20"/>
              </w:rPr>
              <w:t>Нозологические формы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51C6" w:rsidRPr="00990C2F" w:rsidRDefault="00D351C6" w:rsidP="00990C2F">
            <w:pPr>
              <w:ind w:right="75"/>
              <w:rPr>
                <w:rFonts w:ascii="Arial" w:hAnsi="Arial" w:cs="Arial"/>
                <w:b/>
                <w:sz w:val="20"/>
                <w:szCs w:val="20"/>
              </w:rPr>
            </w:pPr>
            <w:r w:rsidRPr="00990C2F">
              <w:rPr>
                <w:rFonts w:ascii="Arial" w:hAnsi="Arial" w:cs="Arial"/>
                <w:b/>
                <w:sz w:val="20"/>
                <w:szCs w:val="20"/>
              </w:rPr>
              <w:t>Основная</w:t>
            </w:r>
          </w:p>
          <w:p w:rsidR="00D351C6" w:rsidRPr="00990C2F" w:rsidRDefault="00D351C6" w:rsidP="00990C2F">
            <w:pPr>
              <w:ind w:right="75"/>
              <w:rPr>
                <w:rFonts w:ascii="Arial" w:hAnsi="Arial" w:cs="Arial"/>
                <w:b/>
                <w:sz w:val="20"/>
                <w:szCs w:val="20"/>
              </w:rPr>
            </w:pPr>
            <w:r w:rsidRPr="00990C2F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990C2F">
              <w:rPr>
                <w:rFonts w:ascii="Arial" w:hAnsi="Arial" w:cs="Arial"/>
                <w:b/>
                <w:sz w:val="20"/>
                <w:szCs w:val="20"/>
                <w:lang w:val="en-US"/>
              </w:rPr>
              <w:t>n=19</w:t>
            </w:r>
            <w:r w:rsidRPr="00990C2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3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51C6" w:rsidRPr="00990C2F" w:rsidRDefault="00D351C6" w:rsidP="00990C2F">
            <w:pPr>
              <w:ind w:right="75"/>
              <w:rPr>
                <w:rFonts w:ascii="Arial" w:hAnsi="Arial" w:cs="Arial"/>
                <w:b/>
                <w:sz w:val="20"/>
                <w:szCs w:val="20"/>
              </w:rPr>
            </w:pPr>
            <w:r w:rsidRPr="00990C2F">
              <w:rPr>
                <w:rFonts w:ascii="Arial" w:hAnsi="Arial" w:cs="Arial"/>
                <w:b/>
                <w:sz w:val="20"/>
                <w:szCs w:val="20"/>
              </w:rPr>
              <w:t>Контрольная (</w:t>
            </w:r>
            <w:r w:rsidRPr="00990C2F">
              <w:rPr>
                <w:rFonts w:ascii="Arial" w:hAnsi="Arial" w:cs="Arial"/>
                <w:b/>
                <w:sz w:val="20"/>
                <w:szCs w:val="20"/>
                <w:lang w:val="en-US"/>
              </w:rPr>
              <w:t>n=30</w:t>
            </w:r>
            <w:r w:rsidRPr="00990C2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D351C6" w:rsidRPr="00990C2F">
        <w:tc>
          <w:tcPr>
            <w:tcW w:w="47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51C6" w:rsidRPr="00990C2F" w:rsidRDefault="00D351C6" w:rsidP="00990C2F">
            <w:pPr>
              <w:ind w:right="75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ХКХ с папилломатозными изменениями БДС, билиарная гипертензия без желтухи.</w:t>
            </w:r>
          </w:p>
          <w:p w:rsidR="004C31F4" w:rsidRPr="00990C2F" w:rsidRDefault="004C31F4" w:rsidP="00990C2F">
            <w:pPr>
              <w:ind w:right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ind w:righ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4 (21,3%)</w:t>
            </w:r>
          </w:p>
        </w:tc>
        <w:tc>
          <w:tcPr>
            <w:tcW w:w="23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ind w:righ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4 (13,3%)</w:t>
            </w:r>
          </w:p>
        </w:tc>
      </w:tr>
      <w:tr w:rsidR="00D351C6" w:rsidRPr="00990C2F">
        <w:tc>
          <w:tcPr>
            <w:tcW w:w="4788" w:type="dxa"/>
            <w:tcBorders>
              <w:left w:val="single" w:sz="18" w:space="0" w:color="auto"/>
              <w:right w:val="single" w:sz="18" w:space="0" w:color="auto"/>
            </w:tcBorders>
          </w:tcPr>
          <w:p w:rsidR="00D351C6" w:rsidRPr="00990C2F" w:rsidRDefault="00D351C6" w:rsidP="00990C2F">
            <w:pPr>
              <w:ind w:right="75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ХКХ, холедохолитиаз, механическая желтуха.</w:t>
            </w:r>
          </w:p>
          <w:p w:rsidR="004C31F4" w:rsidRPr="00990C2F" w:rsidRDefault="004C31F4" w:rsidP="00990C2F">
            <w:pPr>
              <w:ind w:right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ind w:righ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9 (47,3%)</w:t>
            </w:r>
          </w:p>
        </w:tc>
        <w:tc>
          <w:tcPr>
            <w:tcW w:w="23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ind w:righ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3 (10%)</w:t>
            </w:r>
          </w:p>
        </w:tc>
      </w:tr>
      <w:tr w:rsidR="00D351C6" w:rsidRPr="00990C2F">
        <w:tc>
          <w:tcPr>
            <w:tcW w:w="4788" w:type="dxa"/>
            <w:tcBorders>
              <w:left w:val="single" w:sz="18" w:space="0" w:color="auto"/>
              <w:right w:val="single" w:sz="18" w:space="0" w:color="auto"/>
            </w:tcBorders>
          </w:tcPr>
          <w:p w:rsidR="00D351C6" w:rsidRPr="00990C2F" w:rsidRDefault="00D351C6" w:rsidP="00990C2F">
            <w:pPr>
              <w:ind w:right="75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ОКХ, холедохолитиаз, механическая желтуха.</w:t>
            </w:r>
          </w:p>
          <w:p w:rsidR="004C31F4" w:rsidRPr="00990C2F" w:rsidRDefault="004C31F4" w:rsidP="00990C2F">
            <w:pPr>
              <w:ind w:right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ind w:righ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1 (5,2%)</w:t>
            </w:r>
          </w:p>
        </w:tc>
        <w:tc>
          <w:tcPr>
            <w:tcW w:w="23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ind w:righ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8 (26,6%)</w:t>
            </w:r>
          </w:p>
        </w:tc>
      </w:tr>
      <w:tr w:rsidR="00D351C6" w:rsidRPr="00990C2F">
        <w:tc>
          <w:tcPr>
            <w:tcW w:w="4788" w:type="dxa"/>
            <w:tcBorders>
              <w:left w:val="single" w:sz="18" w:space="0" w:color="auto"/>
              <w:right w:val="single" w:sz="18" w:space="0" w:color="auto"/>
            </w:tcBorders>
          </w:tcPr>
          <w:p w:rsidR="00D351C6" w:rsidRPr="00990C2F" w:rsidRDefault="00D351C6" w:rsidP="00990C2F">
            <w:pPr>
              <w:ind w:right="75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ПХЭС, папилломатозные изменения БДС, холедохолитиаз, билиарная гипертензия без желтухи.</w:t>
            </w:r>
          </w:p>
          <w:p w:rsidR="004C31F4" w:rsidRPr="00990C2F" w:rsidRDefault="004C31F4" w:rsidP="00990C2F">
            <w:pPr>
              <w:ind w:right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ind w:righ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2 (10,5%)</w:t>
            </w:r>
          </w:p>
        </w:tc>
        <w:tc>
          <w:tcPr>
            <w:tcW w:w="23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ind w:righ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6 (20%)</w:t>
            </w:r>
          </w:p>
        </w:tc>
      </w:tr>
      <w:tr w:rsidR="00D351C6" w:rsidRPr="00990C2F">
        <w:tc>
          <w:tcPr>
            <w:tcW w:w="4788" w:type="dxa"/>
            <w:tcBorders>
              <w:left w:val="single" w:sz="18" w:space="0" w:color="auto"/>
              <w:right w:val="single" w:sz="18" w:space="0" w:color="auto"/>
            </w:tcBorders>
          </w:tcPr>
          <w:p w:rsidR="00D351C6" w:rsidRPr="00990C2F" w:rsidRDefault="00D351C6" w:rsidP="00990C2F">
            <w:pPr>
              <w:ind w:right="75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Острый панкреатит, стенозирующий папиллит, механическая желтуха.</w:t>
            </w:r>
          </w:p>
          <w:p w:rsidR="004C31F4" w:rsidRPr="00990C2F" w:rsidRDefault="004C31F4" w:rsidP="00990C2F">
            <w:pPr>
              <w:ind w:right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ind w:righ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ind w:righ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4 (13,3%)</w:t>
            </w:r>
          </w:p>
        </w:tc>
      </w:tr>
      <w:tr w:rsidR="00D351C6" w:rsidRPr="00990C2F">
        <w:tc>
          <w:tcPr>
            <w:tcW w:w="4788" w:type="dxa"/>
            <w:tcBorders>
              <w:left w:val="single" w:sz="18" w:space="0" w:color="auto"/>
              <w:right w:val="single" w:sz="18" w:space="0" w:color="auto"/>
            </w:tcBorders>
          </w:tcPr>
          <w:p w:rsidR="00D351C6" w:rsidRPr="00990C2F" w:rsidRDefault="00D351C6" w:rsidP="00990C2F">
            <w:pPr>
              <w:ind w:right="75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Хронический рецидивирующий панкреатит, стеноз сфинктера Одди.</w:t>
            </w:r>
          </w:p>
          <w:p w:rsidR="00D351C6" w:rsidRPr="00990C2F" w:rsidRDefault="00D351C6" w:rsidP="00990C2F">
            <w:pPr>
              <w:ind w:right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ind w:righ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2 (10,5%)</w:t>
            </w:r>
          </w:p>
        </w:tc>
        <w:tc>
          <w:tcPr>
            <w:tcW w:w="23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ind w:righ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5 (16,6%)</w:t>
            </w:r>
          </w:p>
        </w:tc>
      </w:tr>
      <w:tr w:rsidR="00D351C6" w:rsidRPr="00990C2F">
        <w:tc>
          <w:tcPr>
            <w:tcW w:w="47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51C6" w:rsidRPr="00990C2F" w:rsidRDefault="00D351C6" w:rsidP="00990C2F">
            <w:pPr>
              <w:widowControl w:val="0"/>
              <w:ind w:right="75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ХКХ, холедохолитиаз, рестеноз папиллы после ЭПСТ.</w:t>
            </w:r>
          </w:p>
          <w:p w:rsidR="007A554E" w:rsidRPr="00990C2F" w:rsidRDefault="007A554E" w:rsidP="00990C2F">
            <w:pPr>
              <w:widowControl w:val="0"/>
              <w:ind w:right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widowControl w:val="0"/>
              <w:ind w:righ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1 (5,2%)</w:t>
            </w:r>
          </w:p>
        </w:tc>
        <w:tc>
          <w:tcPr>
            <w:tcW w:w="23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widowControl w:val="0"/>
              <w:ind w:righ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351C6" w:rsidRPr="00990C2F" w:rsidRDefault="00D351C6" w:rsidP="00990C2F">
      <w:pPr>
        <w:widowControl w:val="0"/>
        <w:ind w:right="75"/>
        <w:rPr>
          <w:rFonts w:ascii="Arial" w:hAnsi="Arial" w:cs="Arial"/>
          <w:sz w:val="20"/>
          <w:szCs w:val="20"/>
        </w:rPr>
      </w:pPr>
    </w:p>
    <w:p w:rsidR="00D351C6" w:rsidRPr="00990C2F" w:rsidRDefault="00D351C6" w:rsidP="00990C2F">
      <w:pPr>
        <w:pStyle w:val="FR1"/>
        <w:spacing w:before="0"/>
        <w:ind w:right="75" w:firstLine="709"/>
        <w:jc w:val="both"/>
        <w:outlineLvl w:val="0"/>
        <w:rPr>
          <w:rFonts w:cs="Arial"/>
          <w:b w:val="0"/>
          <w:i w:val="0"/>
          <w:sz w:val="20"/>
        </w:rPr>
      </w:pPr>
    </w:p>
    <w:p w:rsidR="00D351C6" w:rsidRPr="00990C2F" w:rsidRDefault="00D351C6" w:rsidP="00990C2F">
      <w:pPr>
        <w:pStyle w:val="FR1"/>
        <w:spacing w:before="0"/>
        <w:ind w:right="75" w:firstLine="709"/>
        <w:jc w:val="both"/>
        <w:outlineLvl w:val="0"/>
        <w:rPr>
          <w:rFonts w:cs="Arial"/>
          <w:b w:val="0"/>
          <w:i w:val="0"/>
          <w:sz w:val="20"/>
        </w:rPr>
        <w:sectPr w:rsidR="00D351C6" w:rsidRPr="00990C2F" w:rsidSect="00D351C6">
          <w:type w:val="continuous"/>
          <w:pgSz w:w="11906" w:h="16838" w:code="9"/>
          <w:pgMar w:top="899" w:right="1106" w:bottom="1079" w:left="1260" w:header="181" w:footer="324" w:gutter="0"/>
          <w:cols w:space="708"/>
          <w:docGrid w:linePitch="360"/>
        </w:sectPr>
      </w:pPr>
    </w:p>
    <w:p w:rsidR="00D351C6" w:rsidRPr="00990C2F" w:rsidRDefault="00D351C6" w:rsidP="00990C2F">
      <w:pPr>
        <w:pStyle w:val="FR1"/>
        <w:spacing w:before="0"/>
        <w:ind w:right="75" w:firstLine="709"/>
        <w:jc w:val="both"/>
        <w:outlineLvl w:val="0"/>
        <w:rPr>
          <w:rFonts w:cs="Arial"/>
          <w:b w:val="0"/>
          <w:i w:val="0"/>
          <w:sz w:val="20"/>
        </w:rPr>
      </w:pPr>
      <w:r w:rsidRPr="00990C2F">
        <w:rPr>
          <w:rFonts w:cs="Arial"/>
          <w:b w:val="0"/>
          <w:i w:val="0"/>
          <w:sz w:val="20"/>
        </w:rPr>
        <w:t>По характеру и количеству эндоскопических вмешательств   обе  группы  были  однородны.  В обеих группах преобладающими были комплексные одномоментные рентгенэндоскопические вмешательства -</w:t>
      </w:r>
      <w:r w:rsidRPr="00990C2F">
        <w:rPr>
          <w:rFonts w:cs="Arial"/>
          <w:b w:val="0"/>
          <w:i w:val="0"/>
          <w:sz w:val="20"/>
        </w:rPr>
        <w:softHyphen/>
        <w:t xml:space="preserve"> РПХГ и ЭПСТ (табл.2).</w:t>
      </w:r>
    </w:p>
    <w:p w:rsidR="00D351C6" w:rsidRPr="00990C2F" w:rsidRDefault="00D351C6" w:rsidP="00990C2F">
      <w:pPr>
        <w:pStyle w:val="FR1"/>
        <w:spacing w:before="0"/>
        <w:ind w:right="75" w:firstLine="709"/>
        <w:jc w:val="both"/>
        <w:outlineLvl w:val="0"/>
        <w:rPr>
          <w:rFonts w:cs="Arial"/>
          <w:b w:val="0"/>
          <w:i w:val="0"/>
          <w:sz w:val="20"/>
        </w:rPr>
      </w:pPr>
      <w:r w:rsidRPr="00990C2F">
        <w:rPr>
          <w:rFonts w:cs="Arial"/>
          <w:b w:val="0"/>
          <w:i w:val="0"/>
          <w:sz w:val="20"/>
        </w:rPr>
        <w:t xml:space="preserve">Контроль эффективности лечения проводился на основании нормализации общего состояния больного, клинико-биохимических анализов и частоты развития ранних послеоперационных осложнений после ЭТПВ в виде острого панкреатита или панкреонекроза. </w:t>
      </w:r>
    </w:p>
    <w:p w:rsidR="00D351C6" w:rsidRPr="00990C2F" w:rsidRDefault="00D351C6" w:rsidP="00990C2F">
      <w:pPr>
        <w:pStyle w:val="FR1"/>
        <w:spacing w:before="0"/>
        <w:ind w:right="75"/>
        <w:jc w:val="both"/>
        <w:outlineLvl w:val="0"/>
        <w:rPr>
          <w:rFonts w:cs="Arial"/>
          <w:b w:val="0"/>
          <w:i w:val="0"/>
          <w:sz w:val="20"/>
        </w:rPr>
      </w:pPr>
      <w:r w:rsidRPr="00990C2F">
        <w:rPr>
          <w:rFonts w:cs="Arial"/>
          <w:b w:val="0"/>
          <w:i w:val="0"/>
          <w:sz w:val="20"/>
        </w:rPr>
        <w:t>Динамика лабораторных показателей на этапах исследования отражена в таблице 3.</w:t>
      </w:r>
    </w:p>
    <w:p w:rsidR="00D351C6" w:rsidRPr="00990C2F" w:rsidRDefault="00D351C6" w:rsidP="00990C2F">
      <w:pPr>
        <w:pStyle w:val="FR1"/>
        <w:spacing w:before="0"/>
        <w:ind w:right="75" w:firstLine="709"/>
        <w:jc w:val="both"/>
        <w:outlineLvl w:val="0"/>
        <w:rPr>
          <w:rFonts w:cs="Arial"/>
          <w:b w:val="0"/>
          <w:i w:val="0"/>
          <w:sz w:val="20"/>
        </w:rPr>
      </w:pPr>
    </w:p>
    <w:p w:rsidR="00D351C6" w:rsidRPr="00990C2F" w:rsidRDefault="00D351C6" w:rsidP="00990C2F">
      <w:pPr>
        <w:pStyle w:val="FR1"/>
        <w:spacing w:before="0"/>
        <w:ind w:left="1622" w:right="255" w:hanging="1622"/>
        <w:jc w:val="right"/>
        <w:outlineLvl w:val="0"/>
        <w:rPr>
          <w:rFonts w:cs="Arial"/>
          <w:i w:val="0"/>
          <w:sz w:val="20"/>
        </w:rPr>
        <w:sectPr w:rsidR="00D351C6" w:rsidRPr="00990C2F" w:rsidSect="00D351C6">
          <w:type w:val="continuous"/>
          <w:pgSz w:w="11906" w:h="16838" w:code="9"/>
          <w:pgMar w:top="899" w:right="1106" w:bottom="1079" w:left="1260" w:header="181" w:footer="324" w:gutter="0"/>
          <w:cols w:num="2" w:space="708" w:equalWidth="0">
            <w:col w:w="4416" w:space="708"/>
            <w:col w:w="4416"/>
          </w:cols>
          <w:docGrid w:linePitch="360"/>
        </w:sectPr>
      </w:pPr>
    </w:p>
    <w:p w:rsidR="00D351C6" w:rsidRPr="00990C2F" w:rsidRDefault="00D351C6" w:rsidP="00990C2F">
      <w:pPr>
        <w:pStyle w:val="FR1"/>
        <w:spacing w:before="0"/>
        <w:ind w:left="1622" w:right="255" w:hanging="1622"/>
        <w:jc w:val="right"/>
        <w:outlineLvl w:val="0"/>
        <w:rPr>
          <w:rFonts w:cs="Arial"/>
          <w:i w:val="0"/>
          <w:sz w:val="20"/>
        </w:rPr>
      </w:pPr>
    </w:p>
    <w:p w:rsidR="00D351C6" w:rsidRPr="00990C2F" w:rsidRDefault="00D351C6" w:rsidP="00990C2F">
      <w:pPr>
        <w:pStyle w:val="FR1"/>
        <w:spacing w:before="0"/>
        <w:ind w:left="1622" w:right="255" w:hanging="1622"/>
        <w:jc w:val="right"/>
        <w:outlineLvl w:val="0"/>
        <w:rPr>
          <w:rFonts w:cs="Arial"/>
          <w:b w:val="0"/>
          <w:i w:val="0"/>
          <w:sz w:val="20"/>
        </w:rPr>
      </w:pPr>
      <w:r w:rsidRPr="00990C2F">
        <w:rPr>
          <w:rFonts w:cs="Arial"/>
          <w:i w:val="0"/>
          <w:sz w:val="20"/>
        </w:rPr>
        <w:t>Таблица 2.</w:t>
      </w:r>
    </w:p>
    <w:p w:rsidR="00D351C6" w:rsidRPr="00990C2F" w:rsidRDefault="00D351C6" w:rsidP="00990C2F">
      <w:pPr>
        <w:pStyle w:val="FR1"/>
        <w:spacing w:before="0"/>
        <w:ind w:right="75"/>
        <w:jc w:val="left"/>
        <w:outlineLvl w:val="0"/>
        <w:rPr>
          <w:rFonts w:cs="Arial"/>
          <w:i w:val="0"/>
          <w:sz w:val="20"/>
        </w:rPr>
      </w:pPr>
      <w:r w:rsidRPr="00990C2F">
        <w:rPr>
          <w:rFonts w:cs="Arial"/>
          <w:i w:val="0"/>
          <w:sz w:val="20"/>
        </w:rPr>
        <w:t>Виды ЭТПВ  и частота осложнений после них в исследуемых группах.</w:t>
      </w:r>
    </w:p>
    <w:p w:rsidR="00D351C6" w:rsidRPr="00990C2F" w:rsidRDefault="00D351C6" w:rsidP="00990C2F">
      <w:pPr>
        <w:pStyle w:val="FR1"/>
        <w:spacing w:before="0"/>
        <w:ind w:right="75"/>
        <w:jc w:val="left"/>
        <w:outlineLvl w:val="0"/>
        <w:rPr>
          <w:rFonts w:cs="Arial"/>
          <w:b w:val="0"/>
          <w:i w:val="0"/>
          <w:sz w:val="20"/>
        </w:rPr>
      </w:pPr>
    </w:p>
    <w:tbl>
      <w:tblPr>
        <w:tblStyle w:val="a7"/>
        <w:tblW w:w="0" w:type="auto"/>
        <w:tblLayout w:type="fixed"/>
        <w:tblLook w:val="01E0" w:firstRow="1" w:lastRow="1" w:firstColumn="1" w:lastColumn="1" w:noHBand="0" w:noVBand="0"/>
      </w:tblPr>
      <w:tblGrid>
        <w:gridCol w:w="2146"/>
        <w:gridCol w:w="2282"/>
        <w:gridCol w:w="1800"/>
        <w:gridCol w:w="1980"/>
        <w:gridCol w:w="1800"/>
      </w:tblGrid>
      <w:tr w:rsidR="00D351C6" w:rsidRPr="00990C2F">
        <w:trPr>
          <w:trHeight w:val="420"/>
        </w:trPr>
        <w:tc>
          <w:tcPr>
            <w:tcW w:w="21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51C6" w:rsidRPr="00990C2F" w:rsidRDefault="00D351C6" w:rsidP="00990C2F">
            <w:pPr>
              <w:widowControl w:val="0"/>
              <w:ind w:right="75" w:firstLine="70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0C2F">
              <w:rPr>
                <w:rFonts w:ascii="Arial" w:hAnsi="Arial" w:cs="Arial"/>
                <w:b/>
                <w:sz w:val="20"/>
                <w:szCs w:val="20"/>
              </w:rPr>
              <w:t>Виды вмешательств</w:t>
            </w:r>
          </w:p>
        </w:tc>
        <w:tc>
          <w:tcPr>
            <w:tcW w:w="40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51C6" w:rsidRPr="00990C2F" w:rsidRDefault="00D351C6" w:rsidP="00990C2F">
            <w:pPr>
              <w:widowControl w:val="0"/>
              <w:ind w:right="75" w:firstLine="70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0C2F">
              <w:rPr>
                <w:rFonts w:ascii="Arial" w:hAnsi="Arial" w:cs="Arial"/>
                <w:b/>
                <w:sz w:val="20"/>
                <w:szCs w:val="20"/>
              </w:rPr>
              <w:t>Основная группа</w:t>
            </w:r>
          </w:p>
        </w:tc>
        <w:tc>
          <w:tcPr>
            <w:tcW w:w="37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51C6" w:rsidRPr="00990C2F" w:rsidRDefault="00D351C6" w:rsidP="00990C2F">
            <w:pPr>
              <w:widowControl w:val="0"/>
              <w:ind w:right="75" w:firstLine="70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0C2F">
              <w:rPr>
                <w:rFonts w:ascii="Arial" w:hAnsi="Arial" w:cs="Arial"/>
                <w:b/>
                <w:sz w:val="20"/>
                <w:szCs w:val="20"/>
              </w:rPr>
              <w:t>Контрольная группа</w:t>
            </w:r>
          </w:p>
        </w:tc>
      </w:tr>
      <w:tr w:rsidR="00D351C6" w:rsidRPr="00990C2F">
        <w:trPr>
          <w:trHeight w:val="210"/>
        </w:trPr>
        <w:tc>
          <w:tcPr>
            <w:tcW w:w="21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51C6" w:rsidRPr="00990C2F" w:rsidRDefault="00D351C6" w:rsidP="00990C2F">
            <w:pPr>
              <w:widowControl w:val="0"/>
              <w:ind w:right="75" w:firstLine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51C6" w:rsidRPr="00990C2F" w:rsidRDefault="00D351C6" w:rsidP="00990C2F">
            <w:pPr>
              <w:widowControl w:val="0"/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Кол-во вмешательств</w:t>
            </w:r>
          </w:p>
          <w:p w:rsidR="00D351C6" w:rsidRPr="00990C2F" w:rsidRDefault="00D351C6" w:rsidP="00990C2F">
            <w:pPr>
              <w:widowControl w:val="0"/>
              <w:ind w:right="75" w:firstLine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51C6" w:rsidRPr="00990C2F" w:rsidRDefault="00D351C6" w:rsidP="00990C2F">
            <w:pPr>
              <w:widowControl w:val="0"/>
              <w:ind w:right="75" w:firstLine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51C6" w:rsidRPr="00990C2F" w:rsidRDefault="00D351C6" w:rsidP="00990C2F">
            <w:pPr>
              <w:widowControl w:val="0"/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Осложнения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51C6" w:rsidRPr="00990C2F" w:rsidRDefault="00D351C6" w:rsidP="00990C2F">
            <w:pPr>
              <w:widowControl w:val="0"/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Кол-во вмешательств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51C6" w:rsidRPr="00990C2F" w:rsidRDefault="00D351C6" w:rsidP="00990C2F">
            <w:pPr>
              <w:widowControl w:val="0"/>
              <w:ind w:right="75" w:firstLine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51C6" w:rsidRPr="00990C2F" w:rsidRDefault="00D351C6" w:rsidP="00990C2F">
            <w:pPr>
              <w:widowControl w:val="0"/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Осложнения</w:t>
            </w:r>
          </w:p>
        </w:tc>
      </w:tr>
      <w:tr w:rsidR="00D351C6" w:rsidRPr="00990C2F">
        <w:tc>
          <w:tcPr>
            <w:tcW w:w="21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51C6" w:rsidRPr="00990C2F" w:rsidRDefault="00D351C6" w:rsidP="00990C2F">
            <w:pPr>
              <w:widowControl w:val="0"/>
              <w:ind w:right="75" w:firstLine="709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РПХГ</w:t>
            </w:r>
          </w:p>
          <w:p w:rsidR="00D351C6" w:rsidRPr="00990C2F" w:rsidRDefault="00D351C6" w:rsidP="00990C2F">
            <w:pPr>
              <w:widowControl w:val="0"/>
              <w:ind w:right="75"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widowControl w:val="0"/>
              <w:ind w:righ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4 (21,0 %)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widowControl w:val="0"/>
              <w:ind w:right="75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widowControl w:val="0"/>
              <w:ind w:righ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7 (23,3%)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widowControl w:val="0"/>
              <w:ind w:right="75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51C6" w:rsidRPr="00990C2F">
        <w:tc>
          <w:tcPr>
            <w:tcW w:w="2146" w:type="dxa"/>
            <w:tcBorders>
              <w:left w:val="single" w:sz="18" w:space="0" w:color="auto"/>
              <w:right w:val="single" w:sz="18" w:space="0" w:color="auto"/>
            </w:tcBorders>
          </w:tcPr>
          <w:p w:rsidR="004C31F4" w:rsidRPr="00990C2F" w:rsidRDefault="004C31F4" w:rsidP="00990C2F">
            <w:pPr>
              <w:widowControl w:val="0"/>
              <w:ind w:right="75" w:firstLine="709"/>
              <w:rPr>
                <w:rFonts w:ascii="Arial" w:hAnsi="Arial" w:cs="Arial"/>
                <w:sz w:val="20"/>
                <w:szCs w:val="20"/>
              </w:rPr>
            </w:pPr>
          </w:p>
          <w:p w:rsidR="00D351C6" w:rsidRPr="00990C2F" w:rsidRDefault="00D351C6" w:rsidP="00990C2F">
            <w:pPr>
              <w:widowControl w:val="0"/>
              <w:ind w:right="75" w:firstLine="709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ЭПСТ</w:t>
            </w:r>
          </w:p>
          <w:p w:rsidR="00D351C6" w:rsidRPr="00990C2F" w:rsidRDefault="00D351C6" w:rsidP="00990C2F">
            <w:pPr>
              <w:widowControl w:val="0"/>
              <w:ind w:right="75"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widowControl w:val="0"/>
              <w:ind w:righ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3 (15,7 %)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widowControl w:val="0"/>
              <w:ind w:right="75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widowControl w:val="0"/>
              <w:ind w:righ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5 (16,7%)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widowControl w:val="0"/>
              <w:ind w:righ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1 (20,0%)</w:t>
            </w:r>
          </w:p>
        </w:tc>
      </w:tr>
      <w:tr w:rsidR="00D351C6" w:rsidRPr="00990C2F">
        <w:tc>
          <w:tcPr>
            <w:tcW w:w="2146" w:type="dxa"/>
            <w:tcBorders>
              <w:left w:val="single" w:sz="18" w:space="0" w:color="auto"/>
              <w:right w:val="single" w:sz="18" w:space="0" w:color="auto"/>
            </w:tcBorders>
          </w:tcPr>
          <w:p w:rsidR="004C31F4" w:rsidRPr="00990C2F" w:rsidRDefault="004C31F4" w:rsidP="00990C2F">
            <w:pPr>
              <w:widowControl w:val="0"/>
              <w:ind w:right="75"/>
              <w:rPr>
                <w:rFonts w:ascii="Arial" w:hAnsi="Arial" w:cs="Arial"/>
                <w:sz w:val="20"/>
                <w:szCs w:val="20"/>
              </w:rPr>
            </w:pPr>
          </w:p>
          <w:p w:rsidR="00D351C6" w:rsidRPr="00990C2F" w:rsidRDefault="004C31F4" w:rsidP="00990C2F">
            <w:pPr>
              <w:widowControl w:val="0"/>
              <w:ind w:right="75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D351C6" w:rsidRPr="00990C2F">
              <w:rPr>
                <w:rFonts w:ascii="Arial" w:hAnsi="Arial" w:cs="Arial"/>
                <w:sz w:val="20"/>
                <w:szCs w:val="20"/>
              </w:rPr>
              <w:t>РПХГ + ЭПСТ</w:t>
            </w:r>
          </w:p>
          <w:p w:rsidR="00D351C6" w:rsidRPr="00990C2F" w:rsidRDefault="00D351C6" w:rsidP="00990C2F">
            <w:pPr>
              <w:widowControl w:val="0"/>
              <w:ind w:right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widowControl w:val="0"/>
              <w:ind w:righ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7 (36,8%)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widowControl w:val="0"/>
              <w:ind w:right="75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widowControl w:val="0"/>
              <w:ind w:righ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11 (36,7%)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widowControl w:val="0"/>
              <w:ind w:righ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3 (27,3%)</w:t>
            </w:r>
          </w:p>
        </w:tc>
      </w:tr>
      <w:tr w:rsidR="00D351C6" w:rsidRPr="00990C2F">
        <w:tc>
          <w:tcPr>
            <w:tcW w:w="21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31F4" w:rsidRPr="00990C2F" w:rsidRDefault="004C31F4" w:rsidP="00990C2F">
            <w:pPr>
              <w:widowControl w:val="0"/>
              <w:ind w:right="75"/>
              <w:rPr>
                <w:rFonts w:ascii="Arial" w:hAnsi="Arial" w:cs="Arial"/>
                <w:sz w:val="20"/>
                <w:szCs w:val="20"/>
              </w:rPr>
            </w:pPr>
          </w:p>
          <w:p w:rsidR="00D351C6" w:rsidRPr="00990C2F" w:rsidRDefault="004C31F4" w:rsidP="00990C2F">
            <w:pPr>
              <w:widowControl w:val="0"/>
              <w:ind w:right="75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51C6" w:rsidRPr="00990C2F">
              <w:rPr>
                <w:rFonts w:ascii="Arial" w:hAnsi="Arial" w:cs="Arial"/>
                <w:sz w:val="20"/>
                <w:szCs w:val="20"/>
              </w:rPr>
              <w:t>РПХГ +ЭПСТ + ЛЭ</w:t>
            </w:r>
          </w:p>
        </w:tc>
        <w:tc>
          <w:tcPr>
            <w:tcW w:w="22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widowControl w:val="0"/>
              <w:ind w:righ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5 (23,8%)</w:t>
            </w:r>
          </w:p>
        </w:tc>
        <w:tc>
          <w:tcPr>
            <w:tcW w:w="18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widowControl w:val="0"/>
              <w:ind w:right="75" w:firstLine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51C6" w:rsidRPr="00990C2F" w:rsidRDefault="00D351C6" w:rsidP="00990C2F">
            <w:pPr>
              <w:widowControl w:val="0"/>
              <w:ind w:right="75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widowControl w:val="0"/>
              <w:ind w:righ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7 (23,3%)</w:t>
            </w:r>
          </w:p>
        </w:tc>
        <w:tc>
          <w:tcPr>
            <w:tcW w:w="18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widowControl w:val="0"/>
              <w:ind w:righ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1 (14,3%)</w:t>
            </w:r>
          </w:p>
        </w:tc>
      </w:tr>
      <w:tr w:rsidR="00D351C6" w:rsidRPr="00990C2F">
        <w:tc>
          <w:tcPr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51C6" w:rsidRPr="00990C2F" w:rsidRDefault="00D351C6" w:rsidP="00990C2F">
            <w:pPr>
              <w:widowControl w:val="0"/>
              <w:ind w:right="75" w:firstLine="709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2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widowControl w:val="0"/>
              <w:ind w:right="75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widowControl w:val="0"/>
              <w:ind w:right="75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widowControl w:val="0"/>
              <w:ind w:right="75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51C6" w:rsidRPr="00990C2F" w:rsidRDefault="00D351C6" w:rsidP="00990C2F">
            <w:pPr>
              <w:widowControl w:val="0"/>
              <w:ind w:righ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C2F">
              <w:rPr>
                <w:rFonts w:ascii="Arial" w:hAnsi="Arial" w:cs="Arial"/>
                <w:sz w:val="20"/>
                <w:szCs w:val="20"/>
              </w:rPr>
              <w:t>5 (16,7%)</w:t>
            </w:r>
          </w:p>
        </w:tc>
      </w:tr>
    </w:tbl>
    <w:p w:rsidR="00D351C6" w:rsidRPr="00990C2F" w:rsidRDefault="00D351C6" w:rsidP="00990C2F">
      <w:pPr>
        <w:widowControl w:val="0"/>
        <w:ind w:right="75" w:firstLine="709"/>
        <w:jc w:val="both"/>
        <w:rPr>
          <w:rFonts w:ascii="Arial" w:hAnsi="Arial" w:cs="Arial"/>
          <w:b/>
          <w:i/>
          <w:sz w:val="20"/>
          <w:szCs w:val="20"/>
        </w:rPr>
      </w:pPr>
    </w:p>
    <w:p w:rsidR="00D351C6" w:rsidRPr="00990C2F" w:rsidRDefault="00D351C6" w:rsidP="00990C2F">
      <w:pPr>
        <w:widowControl w:val="0"/>
        <w:ind w:right="75" w:firstLine="709"/>
        <w:jc w:val="both"/>
        <w:rPr>
          <w:rFonts w:ascii="Arial" w:hAnsi="Arial" w:cs="Arial"/>
          <w:sz w:val="20"/>
          <w:szCs w:val="20"/>
        </w:rPr>
      </w:pPr>
      <w:r w:rsidRPr="00990C2F">
        <w:rPr>
          <w:rFonts w:ascii="Arial" w:hAnsi="Arial" w:cs="Arial"/>
          <w:b/>
          <w:i/>
          <w:sz w:val="20"/>
          <w:szCs w:val="20"/>
        </w:rPr>
        <w:t xml:space="preserve">Примечание: </w:t>
      </w:r>
      <w:r w:rsidRPr="00990C2F">
        <w:rPr>
          <w:rFonts w:ascii="Arial" w:hAnsi="Arial" w:cs="Arial"/>
          <w:sz w:val="20"/>
          <w:szCs w:val="20"/>
        </w:rPr>
        <w:t>ЛЭ – литоэкстракция.</w:t>
      </w:r>
      <w:r w:rsidRPr="00990C2F">
        <w:rPr>
          <w:rFonts w:ascii="Arial" w:hAnsi="Arial" w:cs="Arial"/>
          <w:b/>
          <w:i/>
          <w:sz w:val="20"/>
          <w:szCs w:val="20"/>
        </w:rPr>
        <w:t xml:space="preserve"> </w:t>
      </w:r>
      <w:r w:rsidRPr="00990C2F">
        <w:rPr>
          <w:rFonts w:ascii="Arial" w:hAnsi="Arial" w:cs="Arial"/>
          <w:sz w:val="20"/>
          <w:szCs w:val="20"/>
        </w:rPr>
        <w:t xml:space="preserve"> </w:t>
      </w:r>
    </w:p>
    <w:p w:rsidR="00D351C6" w:rsidRPr="00990C2F" w:rsidRDefault="00D351C6" w:rsidP="00990C2F">
      <w:pPr>
        <w:pStyle w:val="FR1"/>
        <w:spacing w:before="0"/>
        <w:ind w:left="2699" w:right="74" w:hanging="2699"/>
        <w:jc w:val="right"/>
        <w:outlineLvl w:val="0"/>
        <w:rPr>
          <w:rFonts w:cs="Arial"/>
          <w:i w:val="0"/>
          <w:sz w:val="20"/>
        </w:rPr>
      </w:pPr>
    </w:p>
    <w:p w:rsidR="00D351C6" w:rsidRPr="00990C2F" w:rsidRDefault="00D351C6" w:rsidP="00990C2F">
      <w:pPr>
        <w:pStyle w:val="FR1"/>
        <w:spacing w:before="0"/>
        <w:ind w:left="2699" w:right="74" w:hanging="2699"/>
        <w:jc w:val="right"/>
        <w:outlineLvl w:val="0"/>
        <w:rPr>
          <w:rFonts w:cs="Arial"/>
          <w:i w:val="0"/>
          <w:sz w:val="20"/>
        </w:rPr>
      </w:pPr>
      <w:r w:rsidRPr="00990C2F">
        <w:rPr>
          <w:rFonts w:cs="Arial"/>
          <w:i w:val="0"/>
          <w:sz w:val="20"/>
        </w:rPr>
        <w:t>Таблица 3.</w:t>
      </w:r>
    </w:p>
    <w:p w:rsidR="00D351C6" w:rsidRPr="00990C2F" w:rsidRDefault="00D351C6" w:rsidP="00990C2F">
      <w:pPr>
        <w:pStyle w:val="FR1"/>
        <w:spacing w:before="0"/>
        <w:ind w:left="2700" w:right="75" w:hanging="2700"/>
        <w:jc w:val="both"/>
        <w:outlineLvl w:val="0"/>
        <w:rPr>
          <w:rFonts w:cs="Arial"/>
          <w:i w:val="0"/>
          <w:sz w:val="20"/>
        </w:rPr>
      </w:pPr>
      <w:r w:rsidRPr="00990C2F">
        <w:rPr>
          <w:rFonts w:cs="Arial"/>
          <w:i w:val="0"/>
          <w:sz w:val="20"/>
        </w:rPr>
        <w:t xml:space="preserve"> Динамика лабораторных показателей на этапах исследования.</w:t>
      </w:r>
    </w:p>
    <w:tbl>
      <w:tblPr>
        <w:tblStyle w:val="a7"/>
        <w:tblW w:w="10008" w:type="dxa"/>
        <w:tblLook w:val="01E0" w:firstRow="1" w:lastRow="1" w:firstColumn="1" w:lastColumn="1" w:noHBand="0" w:noVBand="0"/>
      </w:tblPr>
      <w:tblGrid>
        <w:gridCol w:w="2342"/>
        <w:gridCol w:w="1835"/>
        <w:gridCol w:w="1461"/>
        <w:gridCol w:w="1180"/>
        <w:gridCol w:w="1180"/>
        <w:gridCol w:w="2010"/>
      </w:tblGrid>
      <w:tr w:rsidR="00D351C6" w:rsidRPr="00990C2F">
        <w:trPr>
          <w:trHeight w:val="555"/>
        </w:trPr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spacing w:before="0"/>
              <w:ind w:right="75"/>
              <w:jc w:val="both"/>
              <w:outlineLvl w:val="0"/>
              <w:rPr>
                <w:rFonts w:cs="Arial"/>
                <w:i w:val="0"/>
                <w:sz w:val="20"/>
              </w:rPr>
            </w:pPr>
            <w:r w:rsidRPr="00990C2F">
              <w:rPr>
                <w:rFonts w:cs="Arial"/>
                <w:i w:val="0"/>
                <w:sz w:val="20"/>
              </w:rPr>
              <w:t>Показатель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spacing w:before="0"/>
              <w:ind w:right="75"/>
              <w:outlineLvl w:val="0"/>
              <w:rPr>
                <w:rFonts w:cs="Arial"/>
                <w:i w:val="0"/>
                <w:sz w:val="20"/>
              </w:rPr>
            </w:pPr>
            <w:r w:rsidRPr="00990C2F">
              <w:rPr>
                <w:rFonts w:cs="Arial"/>
                <w:i w:val="0"/>
                <w:sz w:val="20"/>
              </w:rPr>
              <w:t>Группы больных</w:t>
            </w:r>
          </w:p>
        </w:tc>
        <w:tc>
          <w:tcPr>
            <w:tcW w:w="563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spacing w:before="0"/>
              <w:ind w:right="75" w:firstLine="709"/>
              <w:jc w:val="both"/>
              <w:outlineLvl w:val="0"/>
              <w:rPr>
                <w:rFonts w:cs="Arial"/>
                <w:i w:val="0"/>
                <w:sz w:val="20"/>
              </w:rPr>
            </w:pPr>
            <w:r w:rsidRPr="00990C2F">
              <w:rPr>
                <w:rFonts w:cs="Arial"/>
                <w:i w:val="0"/>
                <w:sz w:val="20"/>
              </w:rPr>
              <w:t>Этапы исследования</w:t>
            </w:r>
          </w:p>
        </w:tc>
      </w:tr>
      <w:tr w:rsidR="00D351C6" w:rsidRPr="00990C2F">
        <w:trPr>
          <w:trHeight w:val="480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D351C6" w:rsidRPr="00990C2F" w:rsidRDefault="00D351C6" w:rsidP="00990C2F">
            <w:pPr>
              <w:pStyle w:val="FR1"/>
              <w:spacing w:before="0"/>
              <w:ind w:right="75" w:firstLine="709"/>
              <w:jc w:val="both"/>
              <w:outlineLvl w:val="0"/>
              <w:rPr>
                <w:rFonts w:cs="Arial"/>
                <w:b w:val="0"/>
                <w:i w:val="0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D351C6" w:rsidRPr="00990C2F" w:rsidRDefault="00D351C6" w:rsidP="00990C2F">
            <w:pPr>
              <w:pStyle w:val="FR1"/>
              <w:spacing w:before="0"/>
              <w:ind w:right="75" w:firstLine="709"/>
              <w:jc w:val="both"/>
              <w:outlineLvl w:val="0"/>
              <w:rPr>
                <w:rFonts w:cs="Arial"/>
                <w:b w:val="0"/>
                <w:i w:val="0"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ind w:right="75"/>
              <w:outlineLvl w:val="0"/>
              <w:rPr>
                <w:rFonts w:cs="Arial"/>
                <w:i w:val="0"/>
                <w:sz w:val="20"/>
              </w:rPr>
            </w:pPr>
            <w:r w:rsidRPr="00990C2F">
              <w:rPr>
                <w:rFonts w:cs="Arial"/>
                <w:i w:val="0"/>
                <w:sz w:val="20"/>
              </w:rPr>
              <w:t>До операции</w:t>
            </w:r>
          </w:p>
        </w:tc>
        <w:tc>
          <w:tcPr>
            <w:tcW w:w="4192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ind w:right="75"/>
              <w:outlineLvl w:val="0"/>
              <w:rPr>
                <w:rFonts w:cs="Arial"/>
                <w:i w:val="0"/>
                <w:sz w:val="20"/>
              </w:rPr>
            </w:pPr>
            <w:r w:rsidRPr="00990C2F">
              <w:rPr>
                <w:rFonts w:cs="Arial"/>
                <w:i w:val="0"/>
                <w:sz w:val="20"/>
              </w:rPr>
              <w:t>После операции</w:t>
            </w:r>
          </w:p>
        </w:tc>
      </w:tr>
      <w:tr w:rsidR="00D351C6" w:rsidRPr="00990C2F">
        <w:trPr>
          <w:trHeight w:val="400"/>
        </w:trPr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351C6" w:rsidRPr="00990C2F" w:rsidRDefault="00D351C6" w:rsidP="00990C2F">
            <w:pPr>
              <w:pStyle w:val="FR1"/>
              <w:spacing w:before="0"/>
              <w:ind w:right="75" w:firstLine="709"/>
              <w:jc w:val="both"/>
              <w:outlineLvl w:val="0"/>
              <w:rPr>
                <w:rFonts w:cs="Arial"/>
                <w:b w:val="0"/>
                <w:i w:val="0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351C6" w:rsidRPr="00990C2F" w:rsidRDefault="00D351C6" w:rsidP="00990C2F">
            <w:pPr>
              <w:pStyle w:val="FR1"/>
              <w:spacing w:before="0"/>
              <w:ind w:right="75" w:firstLine="709"/>
              <w:jc w:val="both"/>
              <w:outlineLvl w:val="0"/>
              <w:rPr>
                <w:rFonts w:cs="Arial"/>
                <w:b w:val="0"/>
                <w:i w:val="0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ind w:right="75"/>
              <w:jc w:val="both"/>
              <w:outlineLvl w:val="0"/>
              <w:rPr>
                <w:rFonts w:cs="Arial"/>
                <w:b w:val="0"/>
                <w:i w:val="0"/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ind w:right="75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1-й день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D351C6" w:rsidRPr="00990C2F" w:rsidRDefault="00D351C6" w:rsidP="00990C2F">
            <w:pPr>
              <w:pStyle w:val="FR1"/>
              <w:ind w:right="75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2-й день</w:t>
            </w:r>
          </w:p>
        </w:tc>
        <w:tc>
          <w:tcPr>
            <w:tcW w:w="2010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D351C6" w:rsidRPr="00990C2F" w:rsidRDefault="00D351C6" w:rsidP="00990C2F">
            <w:pPr>
              <w:pStyle w:val="FR1"/>
              <w:ind w:right="75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3-й день</w:t>
            </w:r>
          </w:p>
        </w:tc>
      </w:tr>
      <w:tr w:rsidR="00D351C6" w:rsidRPr="00990C2F">
        <w:trPr>
          <w:trHeight w:val="555"/>
        </w:trPr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spacing w:before="0"/>
              <w:ind w:right="75"/>
              <w:jc w:val="both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Амилаза,   г/лч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ind w:right="75"/>
              <w:jc w:val="both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Контрольная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351C6" w:rsidRPr="00990C2F" w:rsidRDefault="00D351C6" w:rsidP="00990C2F">
            <w:pPr>
              <w:pStyle w:val="FR1"/>
              <w:ind w:right="75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34,6±28,2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ind w:right="75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48,8±20,4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ind w:right="75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45,4±32,4</w:t>
            </w:r>
          </w:p>
        </w:tc>
        <w:tc>
          <w:tcPr>
            <w:tcW w:w="201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ind w:right="75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27,9±22,9</w:t>
            </w:r>
          </w:p>
        </w:tc>
      </w:tr>
      <w:tr w:rsidR="00D351C6" w:rsidRPr="00990C2F">
        <w:trPr>
          <w:trHeight w:val="555"/>
        </w:trPr>
        <w:tc>
          <w:tcPr>
            <w:tcW w:w="0" w:type="auto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spacing w:before="0"/>
              <w:ind w:right="75" w:firstLine="709"/>
              <w:jc w:val="both"/>
              <w:outlineLvl w:val="0"/>
              <w:rPr>
                <w:rFonts w:cs="Arial"/>
                <w:b w:val="0"/>
                <w:i w:val="0"/>
                <w:sz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ind w:right="75"/>
              <w:jc w:val="both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Основная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ind w:right="75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24,5±9,8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ind w:right="75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36,6±15,9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ind w:right="75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35,9±23,5</w:t>
            </w:r>
          </w:p>
        </w:tc>
        <w:tc>
          <w:tcPr>
            <w:tcW w:w="2010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ind w:right="75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26,2±17,0</w:t>
            </w:r>
          </w:p>
        </w:tc>
      </w:tr>
      <w:tr w:rsidR="00D351C6" w:rsidRPr="00990C2F">
        <w:trPr>
          <w:trHeight w:val="55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spacing w:before="0"/>
              <w:ind w:right="75"/>
              <w:jc w:val="both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Билирубин общий,    мкм/л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ind w:right="75"/>
              <w:jc w:val="both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Контрольная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ind w:right="75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88,1±72,2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ind w:right="75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64,5±62,8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ind w:right="75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53,4±49,4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ind w:right="75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38,4±35,6</w:t>
            </w:r>
          </w:p>
        </w:tc>
      </w:tr>
      <w:tr w:rsidR="00D351C6" w:rsidRPr="00990C2F">
        <w:trPr>
          <w:trHeight w:val="555"/>
        </w:trPr>
        <w:tc>
          <w:tcPr>
            <w:tcW w:w="0" w:type="auto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spacing w:before="0"/>
              <w:ind w:right="75" w:firstLine="709"/>
              <w:jc w:val="both"/>
              <w:outlineLvl w:val="0"/>
              <w:rPr>
                <w:rFonts w:cs="Arial"/>
                <w:b w:val="0"/>
                <w:i w:val="0"/>
                <w:sz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ind w:right="75"/>
              <w:jc w:val="both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Основная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ind w:right="75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60,0±57,0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ind w:right="75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50,1±44,0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ind w:right="75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46,3±35,9</w:t>
            </w:r>
          </w:p>
        </w:tc>
        <w:tc>
          <w:tcPr>
            <w:tcW w:w="2010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ind w:right="75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31,9±25,0</w:t>
            </w:r>
          </w:p>
        </w:tc>
      </w:tr>
      <w:tr w:rsidR="00D351C6" w:rsidRPr="00990C2F">
        <w:trPr>
          <w:trHeight w:val="55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spacing w:before="0"/>
              <w:ind w:right="74"/>
              <w:jc w:val="both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Лейкоциты × 10</w:t>
            </w:r>
          </w:p>
          <w:p w:rsidR="00D351C6" w:rsidRPr="00990C2F" w:rsidRDefault="00D351C6" w:rsidP="00990C2F">
            <w:pPr>
              <w:pStyle w:val="FR1"/>
              <w:spacing w:before="0"/>
              <w:ind w:right="74"/>
              <w:jc w:val="both"/>
              <w:outlineLvl w:val="0"/>
              <w:rPr>
                <w:rFonts w:cs="Arial"/>
                <w:b w:val="0"/>
                <w:i w:val="0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ind w:right="75"/>
              <w:jc w:val="both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Контрольная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spacing w:before="0"/>
              <w:ind w:right="75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8,9±4,2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spacing w:before="0"/>
              <w:ind w:right="75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7,9±2,9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spacing w:before="0"/>
              <w:ind w:right="75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7,3±2,8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spacing w:before="0"/>
              <w:ind w:right="75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6,7±2,3</w:t>
            </w:r>
          </w:p>
        </w:tc>
      </w:tr>
      <w:tr w:rsidR="00D351C6" w:rsidRPr="00990C2F">
        <w:trPr>
          <w:trHeight w:val="555"/>
        </w:trPr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spacing w:before="0"/>
              <w:ind w:right="75" w:firstLine="709"/>
              <w:jc w:val="both"/>
              <w:outlineLvl w:val="0"/>
              <w:rPr>
                <w:rFonts w:cs="Arial"/>
                <w:b w:val="0"/>
                <w:i w:val="0"/>
                <w:sz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ind w:right="75"/>
              <w:jc w:val="both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Основная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spacing w:before="0"/>
              <w:ind w:right="75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5,9±2,0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spacing w:before="0"/>
              <w:ind w:right="75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6,5±1,9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spacing w:before="0"/>
              <w:ind w:right="75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6,4±1,5</w:t>
            </w:r>
          </w:p>
        </w:tc>
        <w:tc>
          <w:tcPr>
            <w:tcW w:w="201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351C6" w:rsidRPr="00990C2F" w:rsidRDefault="00D351C6" w:rsidP="00990C2F">
            <w:pPr>
              <w:pStyle w:val="FR1"/>
              <w:spacing w:before="0"/>
              <w:ind w:right="75"/>
              <w:outlineLvl w:val="0"/>
              <w:rPr>
                <w:rFonts w:cs="Arial"/>
                <w:b w:val="0"/>
                <w:i w:val="0"/>
                <w:sz w:val="20"/>
              </w:rPr>
            </w:pPr>
            <w:r w:rsidRPr="00990C2F">
              <w:rPr>
                <w:rFonts w:cs="Arial"/>
                <w:b w:val="0"/>
                <w:i w:val="0"/>
                <w:sz w:val="20"/>
              </w:rPr>
              <w:t>6,0±1,5</w:t>
            </w:r>
          </w:p>
        </w:tc>
      </w:tr>
    </w:tbl>
    <w:p w:rsidR="00D351C6" w:rsidRPr="00990C2F" w:rsidRDefault="00D351C6" w:rsidP="00990C2F">
      <w:pPr>
        <w:pStyle w:val="FR1"/>
        <w:spacing w:before="0"/>
        <w:ind w:left="720" w:right="75" w:firstLine="709"/>
        <w:jc w:val="both"/>
        <w:outlineLvl w:val="0"/>
        <w:rPr>
          <w:rFonts w:cs="Arial"/>
          <w:b w:val="0"/>
          <w:i w:val="0"/>
          <w:sz w:val="20"/>
        </w:rPr>
      </w:pPr>
    </w:p>
    <w:p w:rsidR="00D351C6" w:rsidRPr="00990C2F" w:rsidRDefault="00D351C6" w:rsidP="00990C2F">
      <w:pPr>
        <w:pStyle w:val="FR1"/>
        <w:spacing w:before="0"/>
        <w:ind w:left="720" w:right="75" w:firstLine="709"/>
        <w:jc w:val="both"/>
        <w:outlineLvl w:val="0"/>
        <w:rPr>
          <w:rFonts w:cs="Arial"/>
          <w:b w:val="0"/>
          <w:i w:val="0"/>
          <w:sz w:val="20"/>
        </w:rPr>
      </w:pPr>
    </w:p>
    <w:p w:rsidR="00D351C6" w:rsidRPr="00990C2F" w:rsidRDefault="00D351C6" w:rsidP="00990C2F">
      <w:pPr>
        <w:pStyle w:val="FR1"/>
        <w:spacing w:before="0"/>
        <w:ind w:right="75" w:firstLine="709"/>
        <w:jc w:val="both"/>
        <w:outlineLvl w:val="0"/>
        <w:rPr>
          <w:rFonts w:cs="Arial"/>
          <w:i w:val="0"/>
          <w:sz w:val="20"/>
          <w:u w:val="single"/>
        </w:rPr>
        <w:sectPr w:rsidR="00D351C6" w:rsidRPr="00990C2F" w:rsidSect="00D351C6">
          <w:type w:val="continuous"/>
          <w:pgSz w:w="11906" w:h="16838" w:code="9"/>
          <w:pgMar w:top="902" w:right="1106" w:bottom="1077" w:left="1259" w:header="181" w:footer="323" w:gutter="0"/>
          <w:cols w:space="708"/>
          <w:docGrid w:linePitch="360"/>
        </w:sectPr>
      </w:pPr>
    </w:p>
    <w:p w:rsidR="007A554E" w:rsidRPr="00990C2F" w:rsidRDefault="00D351C6" w:rsidP="00990C2F">
      <w:pPr>
        <w:pStyle w:val="FR1"/>
        <w:spacing w:before="0"/>
        <w:ind w:right="75" w:firstLine="709"/>
        <w:jc w:val="both"/>
        <w:outlineLvl w:val="0"/>
        <w:rPr>
          <w:rFonts w:cs="Arial"/>
          <w:i w:val="0"/>
          <w:sz w:val="20"/>
          <w:u w:val="single"/>
        </w:rPr>
      </w:pPr>
      <w:r w:rsidRPr="00990C2F">
        <w:rPr>
          <w:rFonts w:cs="Arial"/>
          <w:i w:val="0"/>
          <w:sz w:val="20"/>
          <w:u w:val="single"/>
        </w:rPr>
        <w:t>Результаты и обсуждения.</w:t>
      </w:r>
    </w:p>
    <w:p w:rsidR="00D351C6" w:rsidRPr="00990C2F" w:rsidRDefault="00D351C6" w:rsidP="00990C2F">
      <w:pPr>
        <w:pStyle w:val="FR1"/>
        <w:spacing w:before="0"/>
        <w:ind w:right="75" w:firstLine="709"/>
        <w:jc w:val="both"/>
        <w:outlineLvl w:val="0"/>
        <w:rPr>
          <w:rFonts w:cs="Arial"/>
          <w:b w:val="0"/>
          <w:i w:val="0"/>
          <w:sz w:val="20"/>
        </w:rPr>
      </w:pPr>
      <w:r w:rsidRPr="00990C2F">
        <w:rPr>
          <w:rFonts w:cs="Arial"/>
          <w:b w:val="0"/>
          <w:i w:val="0"/>
          <w:sz w:val="20"/>
        </w:rPr>
        <w:t xml:space="preserve">Анализируя причины, вызвавшие ранние осложнения в виде острого послеоперационного панкреатита или панкреонекроза, проявляющиеся ухудшением клинического состояния больного и повышением в крови и моче альфа-амилазы и диастазы, было установлено, что чаще эти осложнения возникали у больных, которым выполнялись комплексные вмешательства на БДС в виде РПХГ и ЭПСТ,  со стенозирующими и папилломатозными изменениями сосочка,   длительностью операционного периода от 40  до 90 мин, а также у  пациентов, которым выполнялись нестандартные папиллотомии. Несмотря на проводимую превентивную противопанкреатическую терапию, у больных контрольной группы  отмечено 16,7%  случаев осложнений в виде острого панкреатита  (3)  и панкреонекроза (2) . Летальных исходов не было. В то же время у больных основной группы, где в качестве ингибитора секреции ферментов ПЖ использовался синтетический аналог соматостатина - Октрестатин, осложнений  не было. Средняя продолжительность операционного периода в основной группе составила 40 ± 15,2 мин. </w:t>
      </w:r>
    </w:p>
    <w:p w:rsidR="00D351C6" w:rsidRPr="00990C2F" w:rsidRDefault="00D351C6" w:rsidP="00990C2F">
      <w:pPr>
        <w:pStyle w:val="FR1"/>
        <w:spacing w:before="0"/>
        <w:ind w:right="75" w:firstLine="709"/>
        <w:jc w:val="both"/>
        <w:outlineLvl w:val="0"/>
        <w:rPr>
          <w:rFonts w:cs="Arial"/>
          <w:b w:val="0"/>
          <w:i w:val="0"/>
          <w:sz w:val="20"/>
        </w:rPr>
      </w:pPr>
      <w:r w:rsidRPr="00990C2F">
        <w:rPr>
          <w:rFonts w:cs="Arial"/>
          <w:b w:val="0"/>
          <w:i w:val="0"/>
          <w:sz w:val="20"/>
        </w:rPr>
        <w:t>Анализ активности альфа-амилазы крови в сравниваемых группах показал, что в 1-е сутки после ЭТПВ в основной группе отмечалась тенденция к снижению альфа-амилазы крови, а в контрольной - к повышению до субнормальных цифр. Явная положительная динамика активности альфа-амилазы крови в основной группе обусловлена восстановлением дренажной функции БДС после адекватной ЭПСТ на фоне применения октрестатина.  Следует заметить, что изменения активности амилазы в контрольной группе имели скачкообразный спонтанный характер. Если в первые сутки и отмечается некоторая положительная динамика, то в последующие дни снова появляется гиперамилаземия с  клиническими проявлениями  острого панкреатита.</w:t>
      </w:r>
    </w:p>
    <w:p w:rsidR="00D351C6" w:rsidRPr="00990C2F" w:rsidRDefault="00D351C6" w:rsidP="00990C2F">
      <w:pPr>
        <w:pStyle w:val="FR1"/>
        <w:spacing w:before="0"/>
        <w:ind w:right="75" w:firstLine="709"/>
        <w:jc w:val="both"/>
        <w:outlineLvl w:val="0"/>
        <w:rPr>
          <w:rFonts w:cs="Arial"/>
          <w:b w:val="0"/>
          <w:i w:val="0"/>
          <w:sz w:val="20"/>
        </w:rPr>
      </w:pPr>
      <w:r w:rsidRPr="00990C2F">
        <w:rPr>
          <w:rFonts w:cs="Arial"/>
          <w:b w:val="0"/>
          <w:i w:val="0"/>
          <w:sz w:val="20"/>
        </w:rPr>
        <w:t xml:space="preserve">  Применение Октрестатина при ЭТПВ с целью предупреждения острого послеоперационного панкреатита в основной группе оказалось эффективным в 89,5% случаев (у 2 больных из 19 в первые два дня отмечалась гиперамилаземия без клинических проявлений, что составило 10,5% случаев). </w:t>
      </w:r>
    </w:p>
    <w:p w:rsidR="00D351C6" w:rsidRPr="00990C2F" w:rsidRDefault="00D351C6" w:rsidP="00990C2F">
      <w:pPr>
        <w:pStyle w:val="FR1"/>
        <w:spacing w:before="0"/>
        <w:ind w:right="75" w:firstLine="709"/>
        <w:jc w:val="both"/>
        <w:outlineLvl w:val="0"/>
        <w:rPr>
          <w:rFonts w:cs="Arial"/>
          <w:b w:val="0"/>
          <w:i w:val="0"/>
          <w:sz w:val="20"/>
        </w:rPr>
      </w:pPr>
      <w:r w:rsidRPr="00990C2F">
        <w:rPr>
          <w:rFonts w:cs="Arial"/>
          <w:b w:val="0"/>
          <w:i w:val="0"/>
          <w:sz w:val="20"/>
        </w:rPr>
        <w:t>На динамику снижения билирубина Октрестатин заметного воздействия не оказывал. В обеих группах билирубин снижался постепенно по мере восстановления дренажной функции БДС .</w:t>
      </w:r>
    </w:p>
    <w:p w:rsidR="00D351C6" w:rsidRPr="00990C2F" w:rsidRDefault="00D351C6" w:rsidP="00990C2F">
      <w:pPr>
        <w:pStyle w:val="FR1"/>
        <w:spacing w:before="0"/>
        <w:ind w:right="75" w:firstLine="709"/>
        <w:jc w:val="both"/>
        <w:outlineLvl w:val="0"/>
        <w:rPr>
          <w:rFonts w:cs="Arial"/>
          <w:b w:val="0"/>
          <w:i w:val="0"/>
          <w:sz w:val="20"/>
        </w:rPr>
      </w:pPr>
      <w:r w:rsidRPr="00990C2F">
        <w:rPr>
          <w:rFonts w:cs="Arial"/>
          <w:b w:val="0"/>
          <w:i w:val="0"/>
          <w:sz w:val="20"/>
        </w:rPr>
        <w:t>Таким образом, на основе  анализа использования препарата Октрестатина с целью ингибирования ферментообразующей функции ПЖ  во время и после ЭТПВ, можно сделать  вывод, что его применение  с профилактической целью  является эффективным средством, предотвращающим возникновение острого послеоперационного панкреатита.</w:t>
      </w:r>
    </w:p>
    <w:p w:rsidR="007A554E" w:rsidRPr="00990C2F" w:rsidRDefault="007A554E" w:rsidP="00990C2F">
      <w:pPr>
        <w:pStyle w:val="FR1"/>
        <w:spacing w:before="0"/>
        <w:ind w:right="75" w:firstLine="709"/>
        <w:jc w:val="both"/>
        <w:outlineLvl w:val="0"/>
        <w:rPr>
          <w:rFonts w:cs="Arial"/>
          <w:i w:val="0"/>
          <w:sz w:val="20"/>
          <w:u w:val="single"/>
        </w:rPr>
      </w:pPr>
    </w:p>
    <w:p w:rsidR="00D351C6" w:rsidRPr="00990C2F" w:rsidRDefault="00D351C6" w:rsidP="00990C2F">
      <w:pPr>
        <w:pStyle w:val="FR1"/>
        <w:spacing w:before="0"/>
        <w:ind w:right="75" w:firstLine="709"/>
        <w:jc w:val="both"/>
        <w:outlineLvl w:val="0"/>
        <w:rPr>
          <w:rFonts w:cs="Arial"/>
          <w:i w:val="0"/>
          <w:sz w:val="20"/>
          <w:u w:val="single"/>
        </w:rPr>
      </w:pPr>
      <w:r w:rsidRPr="00990C2F">
        <w:rPr>
          <w:rFonts w:cs="Arial"/>
          <w:i w:val="0"/>
          <w:sz w:val="20"/>
          <w:u w:val="single"/>
        </w:rPr>
        <w:t>Литература.</w:t>
      </w:r>
    </w:p>
    <w:p w:rsidR="00D351C6" w:rsidRPr="00990C2F" w:rsidRDefault="00D351C6" w:rsidP="00990C2F">
      <w:pPr>
        <w:pStyle w:val="FR1"/>
        <w:numPr>
          <w:ilvl w:val="0"/>
          <w:numId w:val="1"/>
        </w:numPr>
        <w:tabs>
          <w:tab w:val="clear" w:pos="720"/>
          <w:tab w:val="num" w:pos="0"/>
        </w:tabs>
        <w:spacing w:before="0"/>
        <w:ind w:left="0" w:right="75" w:firstLine="0"/>
        <w:jc w:val="both"/>
        <w:outlineLvl w:val="0"/>
        <w:rPr>
          <w:rFonts w:cs="Arial"/>
          <w:b w:val="0"/>
          <w:i w:val="0"/>
          <w:sz w:val="20"/>
        </w:rPr>
      </w:pPr>
      <w:r w:rsidRPr="00990C2F">
        <w:rPr>
          <w:rFonts w:cs="Arial"/>
          <w:b w:val="0"/>
          <w:i w:val="0"/>
          <w:sz w:val="20"/>
        </w:rPr>
        <w:t>Климович    В.В.  Октреотид в хирургической гастроэнтерологии. //Рецепт.-2003.-№4 (30).</w:t>
      </w:r>
    </w:p>
    <w:p w:rsidR="00D351C6" w:rsidRPr="00990C2F" w:rsidRDefault="00D351C6" w:rsidP="00990C2F">
      <w:pPr>
        <w:pStyle w:val="FR1"/>
        <w:numPr>
          <w:ilvl w:val="0"/>
          <w:numId w:val="1"/>
        </w:numPr>
        <w:tabs>
          <w:tab w:val="clear" w:pos="720"/>
          <w:tab w:val="num" w:pos="0"/>
        </w:tabs>
        <w:spacing w:before="0"/>
        <w:ind w:left="0" w:right="75" w:firstLine="0"/>
        <w:jc w:val="both"/>
        <w:outlineLvl w:val="0"/>
        <w:rPr>
          <w:rFonts w:cs="Arial"/>
          <w:b w:val="0"/>
          <w:i w:val="0"/>
          <w:sz w:val="20"/>
        </w:rPr>
      </w:pPr>
      <w:r w:rsidRPr="00990C2F">
        <w:rPr>
          <w:rFonts w:cs="Arial"/>
          <w:b w:val="0"/>
          <w:i w:val="0"/>
          <w:sz w:val="20"/>
        </w:rPr>
        <w:t>Малков И.С., Бикмухаметов А.Ф., Чагаева З.И. Коррекция желчеоттока при осложненном калькулезном холецистите. // Хирургия. – 2004. - №7. -С. 19-22.</w:t>
      </w:r>
    </w:p>
    <w:p w:rsidR="00D351C6" w:rsidRPr="00990C2F" w:rsidRDefault="00D351C6" w:rsidP="00990C2F">
      <w:pPr>
        <w:pStyle w:val="FR1"/>
        <w:numPr>
          <w:ilvl w:val="0"/>
          <w:numId w:val="1"/>
        </w:numPr>
        <w:tabs>
          <w:tab w:val="clear" w:pos="720"/>
          <w:tab w:val="num" w:pos="0"/>
        </w:tabs>
        <w:spacing w:before="0"/>
        <w:ind w:left="0" w:right="75" w:firstLine="0"/>
        <w:jc w:val="both"/>
        <w:outlineLvl w:val="0"/>
        <w:rPr>
          <w:rFonts w:cs="Arial"/>
          <w:b w:val="0"/>
          <w:i w:val="0"/>
          <w:sz w:val="20"/>
        </w:rPr>
      </w:pPr>
      <w:r w:rsidRPr="00990C2F">
        <w:rPr>
          <w:rFonts w:cs="Arial"/>
          <w:b w:val="0"/>
          <w:i w:val="0"/>
          <w:sz w:val="20"/>
        </w:rPr>
        <w:t>Насташенко И.Л. Осложнения эндоскопической папиллосфинктеротомии. //</w:t>
      </w:r>
      <w:r w:rsidRPr="00990C2F">
        <w:rPr>
          <w:rFonts w:cs="Arial"/>
          <w:b w:val="0"/>
          <w:i w:val="0"/>
          <w:sz w:val="20"/>
          <w:lang w:val="uk-UA"/>
        </w:rPr>
        <w:t xml:space="preserve">Український журнал малоінвазивної та ендоскопічної хірургії. – 2001, - </w:t>
      </w:r>
      <w:r w:rsidRPr="00990C2F">
        <w:rPr>
          <w:rFonts w:cs="Arial"/>
          <w:b w:val="0"/>
          <w:i w:val="0"/>
          <w:sz w:val="20"/>
          <w:lang w:val="en-US"/>
        </w:rPr>
        <w:t>Vol</w:t>
      </w:r>
      <w:r w:rsidRPr="00990C2F">
        <w:rPr>
          <w:rFonts w:cs="Arial"/>
          <w:b w:val="0"/>
          <w:i w:val="0"/>
          <w:sz w:val="20"/>
          <w:lang w:val="uk-UA"/>
        </w:rPr>
        <w:t>. 5; 4. – С. 10-13.</w:t>
      </w:r>
      <w:r w:rsidRPr="00990C2F">
        <w:rPr>
          <w:rFonts w:cs="Arial"/>
          <w:b w:val="0"/>
          <w:i w:val="0"/>
          <w:sz w:val="20"/>
        </w:rPr>
        <w:t xml:space="preserve"> </w:t>
      </w:r>
    </w:p>
    <w:p w:rsidR="00D351C6" w:rsidRPr="00990C2F" w:rsidRDefault="00D351C6" w:rsidP="00990C2F">
      <w:pPr>
        <w:pStyle w:val="FR1"/>
        <w:numPr>
          <w:ilvl w:val="0"/>
          <w:numId w:val="1"/>
        </w:numPr>
        <w:tabs>
          <w:tab w:val="clear" w:pos="720"/>
          <w:tab w:val="num" w:pos="0"/>
        </w:tabs>
        <w:spacing w:before="0"/>
        <w:ind w:left="0" w:right="75" w:firstLine="0"/>
        <w:jc w:val="both"/>
        <w:outlineLvl w:val="0"/>
        <w:rPr>
          <w:rFonts w:cs="Arial"/>
          <w:b w:val="0"/>
          <w:i w:val="0"/>
          <w:sz w:val="20"/>
        </w:rPr>
      </w:pPr>
      <w:r w:rsidRPr="00990C2F">
        <w:rPr>
          <w:rFonts w:cs="Arial"/>
          <w:b w:val="0"/>
          <w:i w:val="0"/>
          <w:sz w:val="20"/>
        </w:rPr>
        <w:t>Нестеренко Ю.А., Шаповальянц С.Г., Андрейцева О.И., Кононов М.А. Роль изменения большого дуоденального сосочка при заболеваниях органов панкреатобилиарной области. //Хирургия. -1993. -№3. –С. 49-55.</w:t>
      </w:r>
    </w:p>
    <w:p w:rsidR="00D351C6" w:rsidRPr="00990C2F" w:rsidRDefault="00D351C6" w:rsidP="00990C2F">
      <w:pPr>
        <w:pStyle w:val="FR1"/>
        <w:numPr>
          <w:ilvl w:val="0"/>
          <w:numId w:val="1"/>
        </w:numPr>
        <w:tabs>
          <w:tab w:val="clear" w:pos="720"/>
          <w:tab w:val="num" w:pos="0"/>
        </w:tabs>
        <w:spacing w:before="0"/>
        <w:ind w:left="0" w:right="75" w:firstLine="0"/>
        <w:jc w:val="both"/>
        <w:outlineLvl w:val="0"/>
        <w:rPr>
          <w:rFonts w:cs="Arial"/>
          <w:b w:val="0"/>
          <w:i w:val="0"/>
          <w:sz w:val="20"/>
        </w:rPr>
      </w:pPr>
      <w:r w:rsidRPr="00990C2F">
        <w:rPr>
          <w:rFonts w:cs="Arial"/>
          <w:b w:val="0"/>
          <w:i w:val="0"/>
          <w:sz w:val="20"/>
        </w:rPr>
        <w:t>Ничитайло М.Е. Синтетический аналог соматостатина- Октрестатин в лечении и профилактике острого панкреатита и его осложнений. //Клиническая хирургия. – 2005 - № 5</w:t>
      </w:r>
    </w:p>
    <w:p w:rsidR="00D351C6" w:rsidRPr="00990C2F" w:rsidRDefault="00D351C6" w:rsidP="00990C2F">
      <w:pPr>
        <w:pStyle w:val="FR1"/>
        <w:numPr>
          <w:ilvl w:val="0"/>
          <w:numId w:val="1"/>
        </w:numPr>
        <w:tabs>
          <w:tab w:val="clear" w:pos="720"/>
          <w:tab w:val="num" w:pos="0"/>
        </w:tabs>
        <w:spacing w:before="0"/>
        <w:ind w:left="0" w:right="75" w:firstLine="0"/>
        <w:jc w:val="both"/>
        <w:outlineLvl w:val="0"/>
        <w:rPr>
          <w:rFonts w:cs="Arial"/>
          <w:b w:val="0"/>
          <w:i w:val="0"/>
          <w:sz w:val="20"/>
        </w:rPr>
      </w:pPr>
      <w:r w:rsidRPr="00990C2F">
        <w:rPr>
          <w:rFonts w:cs="Arial"/>
          <w:b w:val="0"/>
          <w:i w:val="0"/>
          <w:sz w:val="20"/>
        </w:rPr>
        <w:t>Ревякин В.И., Климов П.В. Осложнения и летальность после ЭПСТ. Опыт 1300 операций. //Матер. Симп. «Внутрипросветная эндоскопическая хирургия». – М. – 1998. – С. 67-68.</w:t>
      </w:r>
    </w:p>
    <w:p w:rsidR="00D351C6" w:rsidRPr="00990C2F" w:rsidRDefault="00D351C6" w:rsidP="00990C2F">
      <w:pPr>
        <w:pStyle w:val="FR1"/>
        <w:numPr>
          <w:ilvl w:val="0"/>
          <w:numId w:val="1"/>
        </w:numPr>
        <w:tabs>
          <w:tab w:val="clear" w:pos="720"/>
          <w:tab w:val="num" w:pos="0"/>
        </w:tabs>
        <w:spacing w:before="0"/>
        <w:ind w:left="0" w:right="75" w:firstLine="0"/>
        <w:jc w:val="both"/>
        <w:outlineLvl w:val="0"/>
        <w:rPr>
          <w:rFonts w:cs="Arial"/>
          <w:b w:val="0"/>
          <w:i w:val="0"/>
          <w:sz w:val="20"/>
        </w:rPr>
      </w:pPr>
      <w:r w:rsidRPr="00990C2F">
        <w:rPr>
          <w:rFonts w:cs="Arial"/>
          <w:b w:val="0"/>
          <w:i w:val="0"/>
          <w:sz w:val="20"/>
        </w:rPr>
        <w:t>Редькин А.Н., Филипцова Л.А., Иваненков А.В. Эффективность эндоскопической папиллосфинктеротомии при остром билиарном панкреатите. // Эндоскопическая хирургия. - 2001. - №4. – С. 39-42.</w:t>
      </w:r>
    </w:p>
    <w:p w:rsidR="00412B46" w:rsidRPr="00990C2F" w:rsidRDefault="00412B46" w:rsidP="00990C2F">
      <w:pPr>
        <w:pStyle w:val="FR1"/>
        <w:spacing w:before="0"/>
        <w:ind w:right="75"/>
        <w:jc w:val="both"/>
        <w:outlineLvl w:val="0"/>
        <w:rPr>
          <w:rFonts w:cs="Arial"/>
          <w:b w:val="0"/>
          <w:i w:val="0"/>
          <w:sz w:val="20"/>
        </w:rPr>
      </w:pPr>
    </w:p>
    <w:p w:rsidR="00412B46" w:rsidRPr="00990C2F" w:rsidRDefault="00412B46" w:rsidP="00990C2F">
      <w:pPr>
        <w:pStyle w:val="FR1"/>
        <w:spacing w:before="0"/>
        <w:ind w:right="75"/>
        <w:jc w:val="both"/>
        <w:outlineLvl w:val="0"/>
        <w:rPr>
          <w:rFonts w:cs="Arial"/>
          <w:b w:val="0"/>
          <w:i w:val="0"/>
          <w:sz w:val="20"/>
        </w:rPr>
      </w:pPr>
    </w:p>
    <w:p w:rsidR="00412B46" w:rsidRPr="00990C2F" w:rsidRDefault="00412B46" w:rsidP="00990C2F">
      <w:pPr>
        <w:pStyle w:val="FR1"/>
        <w:spacing w:before="0"/>
        <w:ind w:right="75"/>
        <w:jc w:val="both"/>
        <w:outlineLvl w:val="0"/>
        <w:rPr>
          <w:rFonts w:cs="Arial"/>
          <w:b w:val="0"/>
          <w:i w:val="0"/>
          <w:sz w:val="20"/>
        </w:rPr>
      </w:pPr>
    </w:p>
    <w:p w:rsidR="00D351C6" w:rsidRPr="00990C2F" w:rsidRDefault="00D351C6" w:rsidP="00990C2F">
      <w:pPr>
        <w:pStyle w:val="FR1"/>
        <w:spacing w:before="0"/>
        <w:ind w:right="75"/>
        <w:jc w:val="both"/>
        <w:outlineLvl w:val="0"/>
        <w:rPr>
          <w:rFonts w:cs="Arial"/>
          <w:b w:val="0"/>
          <w:i w:val="0"/>
          <w:sz w:val="20"/>
        </w:rPr>
      </w:pPr>
    </w:p>
    <w:p w:rsidR="00412B46" w:rsidRPr="00990C2F" w:rsidRDefault="00412B46" w:rsidP="00990C2F">
      <w:pPr>
        <w:pStyle w:val="FR1"/>
        <w:spacing w:before="0"/>
        <w:ind w:right="75"/>
        <w:jc w:val="both"/>
        <w:outlineLvl w:val="0"/>
        <w:rPr>
          <w:rFonts w:cs="Arial"/>
          <w:b w:val="0"/>
          <w:i w:val="0"/>
          <w:sz w:val="20"/>
        </w:rPr>
      </w:pPr>
    </w:p>
    <w:p w:rsidR="002E3D35" w:rsidRPr="00990C2F" w:rsidRDefault="00D351C6" w:rsidP="00990C2F">
      <w:pPr>
        <w:pStyle w:val="FR1"/>
        <w:spacing w:before="0"/>
        <w:ind w:right="75"/>
        <w:jc w:val="both"/>
        <w:outlineLvl w:val="0"/>
        <w:rPr>
          <w:rFonts w:cs="Arial"/>
          <w:bCs/>
          <w:color w:val="000000"/>
          <w:sz w:val="20"/>
        </w:rPr>
      </w:pPr>
      <w:r w:rsidRPr="00990C2F">
        <w:rPr>
          <w:sz w:val="20"/>
        </w:rPr>
        <w:t xml:space="preserve">  </w:t>
      </w:r>
      <w:bookmarkStart w:id="0" w:name="_GoBack"/>
      <w:bookmarkEnd w:id="0"/>
    </w:p>
    <w:sectPr w:rsidR="002E3D35" w:rsidRPr="00990C2F" w:rsidSect="00D351C6">
      <w:type w:val="continuous"/>
      <w:pgSz w:w="11906" w:h="16838" w:code="9"/>
      <w:pgMar w:top="899" w:right="1106" w:bottom="1079" w:left="1260" w:header="181" w:footer="324" w:gutter="0"/>
      <w:cols w:num="2" w:space="708" w:equalWidth="0">
        <w:col w:w="4416" w:space="708"/>
        <w:col w:w="441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5FD" w:rsidRDefault="00D115FD">
      <w:r>
        <w:separator/>
      </w:r>
    </w:p>
  </w:endnote>
  <w:endnote w:type="continuationSeparator" w:id="0">
    <w:p w:rsidR="00D115FD" w:rsidRDefault="00D1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1F4" w:rsidRDefault="004C31F4" w:rsidP="004C31F4">
    <w:pPr>
      <w:pStyle w:val="a4"/>
      <w:jc w:val="center"/>
      <w:rPr>
        <w:rFonts w:ascii="Arial" w:hAnsi="Arial" w:cs="Arial"/>
        <w:b/>
        <w:sz w:val="28"/>
        <w:szCs w:val="28"/>
      </w:rPr>
    </w:pPr>
  </w:p>
  <w:p w:rsidR="004C31F4" w:rsidRDefault="004C31F4" w:rsidP="004C31F4">
    <w:pPr>
      <w:pStyle w:val="a4"/>
      <w:jc w:val="center"/>
      <w:rPr>
        <w:rFonts w:ascii="Arial" w:hAnsi="Arial" w:cs="Arial"/>
        <w:b/>
        <w:sz w:val="28"/>
        <w:szCs w:val="28"/>
      </w:rPr>
    </w:pPr>
  </w:p>
  <w:p w:rsidR="004C31F4" w:rsidRDefault="004C31F4" w:rsidP="004C31F4">
    <w:pPr>
      <w:pStyle w:val="a4"/>
      <w:jc w:val="center"/>
      <w:rPr>
        <w:rFonts w:ascii="Arial" w:hAnsi="Arial" w:cs="Arial"/>
        <w:b/>
        <w:sz w:val="28"/>
        <w:szCs w:val="28"/>
      </w:rPr>
    </w:pPr>
  </w:p>
  <w:p w:rsidR="004C31F4" w:rsidRPr="0081083F" w:rsidRDefault="004C31F4" w:rsidP="004C31F4">
    <w:pPr>
      <w:pStyle w:val="a4"/>
      <w:jc w:val="center"/>
      <w:rPr>
        <w:rFonts w:ascii="Arial" w:hAnsi="Arial" w:cs="Arial"/>
        <w:b/>
        <w:sz w:val="28"/>
        <w:szCs w:val="28"/>
      </w:rPr>
    </w:pPr>
    <w:r w:rsidRPr="0081083F">
      <w:rPr>
        <w:rFonts w:ascii="Arial" w:hAnsi="Arial" w:cs="Arial"/>
        <w:b/>
        <w:sz w:val="28"/>
        <w:szCs w:val="28"/>
      </w:rPr>
      <w:t>Октрестатин</w:t>
    </w:r>
  </w:p>
  <w:p w:rsidR="004C31F4" w:rsidRPr="0081083F" w:rsidRDefault="004C31F4" w:rsidP="004C31F4">
    <w:pPr>
      <w:pStyle w:val="a4"/>
      <w:ind w:firstLine="18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(</w:t>
    </w:r>
    <w:r>
      <w:rPr>
        <w:rFonts w:ascii="Arial" w:hAnsi="Arial" w:cs="Arial"/>
        <w:sz w:val="18"/>
        <w:szCs w:val="18"/>
        <w:lang w:val="uk-UA"/>
      </w:rPr>
      <w:t>торгова назва О</w:t>
    </w:r>
    <w:r w:rsidRPr="0081083F">
      <w:rPr>
        <w:rFonts w:ascii="Arial" w:hAnsi="Arial" w:cs="Arial"/>
        <w:sz w:val="18"/>
        <w:szCs w:val="18"/>
      </w:rPr>
      <w:t>ктреотид</w:t>
    </w:r>
    <w:r>
      <w:rPr>
        <w:rFonts w:ascii="Arial" w:hAnsi="Arial" w:cs="Arial"/>
        <w:sz w:val="18"/>
        <w:szCs w:val="18"/>
        <w:lang w:val="uk-UA"/>
      </w:rPr>
      <w:t>у</w:t>
    </w:r>
    <w:r w:rsidRPr="0081083F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  <w:lang w:val="uk-UA"/>
      </w:rPr>
      <w:t>виробництва</w:t>
    </w:r>
    <w:r w:rsidRPr="0081083F">
      <w:rPr>
        <w:rFonts w:ascii="Arial" w:hAnsi="Arial" w:cs="Arial"/>
        <w:sz w:val="18"/>
        <w:szCs w:val="18"/>
      </w:rPr>
      <w:t xml:space="preserve"> ЗА</w:t>
    </w:r>
    <w:r>
      <w:rPr>
        <w:rFonts w:ascii="Arial" w:hAnsi="Arial" w:cs="Arial"/>
        <w:sz w:val="18"/>
        <w:szCs w:val="18"/>
        <w:lang w:val="uk-UA"/>
      </w:rPr>
      <w:t>Т</w:t>
    </w:r>
    <w:r w:rsidRPr="0081083F">
      <w:rPr>
        <w:rFonts w:ascii="Arial" w:hAnsi="Arial" w:cs="Arial"/>
        <w:sz w:val="18"/>
        <w:szCs w:val="18"/>
      </w:rPr>
      <w:t xml:space="preserve"> «Фарм – Синтез», Москва</w:t>
    </w:r>
    <w:r>
      <w:rPr>
        <w:rFonts w:ascii="Arial" w:hAnsi="Arial" w:cs="Arial"/>
        <w:sz w:val="18"/>
        <w:szCs w:val="18"/>
        <w:lang w:val="uk-UA"/>
      </w:rPr>
      <w:t xml:space="preserve"> в Україні</w:t>
    </w:r>
    <w:r w:rsidRPr="0081083F">
      <w:rPr>
        <w:rFonts w:ascii="Arial" w:hAnsi="Arial" w:cs="Arial"/>
        <w:sz w:val="18"/>
        <w:szCs w:val="18"/>
      </w:rPr>
      <w:t>)</w:t>
    </w:r>
  </w:p>
  <w:p w:rsidR="004C31F4" w:rsidRDefault="004C31F4" w:rsidP="004C31F4">
    <w:pPr>
      <w:pStyle w:val="FR1"/>
      <w:spacing w:before="0" w:line="360" w:lineRule="auto"/>
      <w:ind w:right="75"/>
      <w:jc w:val="both"/>
      <w:outlineLvl w:val="0"/>
      <w:rPr>
        <w:rFonts w:cs="Arial"/>
        <w:b w:val="0"/>
        <w:i w:val="0"/>
        <w:sz w:val="18"/>
        <w:szCs w:val="18"/>
      </w:rPr>
    </w:pPr>
  </w:p>
  <w:p w:rsidR="004C31F4" w:rsidRDefault="004C31F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5FD" w:rsidRDefault="00D115FD">
      <w:r>
        <w:separator/>
      </w:r>
    </w:p>
  </w:footnote>
  <w:footnote w:type="continuationSeparator" w:id="0">
    <w:p w:rsidR="00D115FD" w:rsidRDefault="00D11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6779F"/>
    <w:multiLevelType w:val="hybridMultilevel"/>
    <w:tmpl w:val="D7C8C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59A2"/>
    <w:rsid w:val="000351C4"/>
    <w:rsid w:val="000D25B6"/>
    <w:rsid w:val="000E026E"/>
    <w:rsid w:val="002A01AA"/>
    <w:rsid w:val="002E3D35"/>
    <w:rsid w:val="003A2B70"/>
    <w:rsid w:val="00412B46"/>
    <w:rsid w:val="004C240A"/>
    <w:rsid w:val="004C31F4"/>
    <w:rsid w:val="004F51FE"/>
    <w:rsid w:val="006C7C22"/>
    <w:rsid w:val="006E5DEA"/>
    <w:rsid w:val="007A554E"/>
    <w:rsid w:val="007A59A2"/>
    <w:rsid w:val="007D254B"/>
    <w:rsid w:val="0081083F"/>
    <w:rsid w:val="008842F9"/>
    <w:rsid w:val="00990C2F"/>
    <w:rsid w:val="00A668A8"/>
    <w:rsid w:val="00B3337F"/>
    <w:rsid w:val="00BD1043"/>
    <w:rsid w:val="00C02387"/>
    <w:rsid w:val="00C9792B"/>
    <w:rsid w:val="00D115FD"/>
    <w:rsid w:val="00D351C6"/>
    <w:rsid w:val="00D5632D"/>
    <w:rsid w:val="00E464AE"/>
    <w:rsid w:val="00E51344"/>
    <w:rsid w:val="00E60B8C"/>
    <w:rsid w:val="00E64AD3"/>
    <w:rsid w:val="00F70BF4"/>
    <w:rsid w:val="00FC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1A66F22A-3EA0-4105-ACD2-6C9D6DF8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9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A59A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A59A2"/>
    <w:pPr>
      <w:tabs>
        <w:tab w:val="center" w:pos="4677"/>
        <w:tab w:val="right" w:pos="9355"/>
      </w:tabs>
    </w:pPr>
  </w:style>
  <w:style w:type="paragraph" w:styleId="a5">
    <w:name w:val="Normal (Web)"/>
    <w:basedOn w:val="a"/>
    <w:rsid w:val="007A59A2"/>
    <w:pPr>
      <w:spacing w:before="100" w:beforeAutospacing="1" w:after="100" w:afterAutospacing="1"/>
    </w:pPr>
  </w:style>
  <w:style w:type="character" w:styleId="a6">
    <w:name w:val="Strong"/>
    <w:basedOn w:val="a0"/>
    <w:qFormat/>
    <w:rsid w:val="007A59A2"/>
    <w:rPr>
      <w:b/>
      <w:bCs/>
    </w:rPr>
  </w:style>
  <w:style w:type="paragraph" w:styleId="2">
    <w:name w:val="Body Text 2"/>
    <w:basedOn w:val="a"/>
    <w:rsid w:val="007A59A2"/>
    <w:pPr>
      <w:spacing w:before="100" w:beforeAutospacing="1" w:after="100" w:afterAutospacing="1"/>
    </w:pPr>
  </w:style>
  <w:style w:type="paragraph" w:customStyle="1" w:styleId="FR1">
    <w:name w:val="FR1"/>
    <w:rsid w:val="00A668A8"/>
    <w:pPr>
      <w:widowControl w:val="0"/>
      <w:spacing w:before="240"/>
      <w:jc w:val="center"/>
    </w:pPr>
    <w:rPr>
      <w:rFonts w:ascii="Arial" w:hAnsi="Arial"/>
      <w:b/>
      <w:i/>
      <w:snapToGrid w:val="0"/>
      <w:sz w:val="16"/>
    </w:rPr>
  </w:style>
  <w:style w:type="table" w:styleId="a7">
    <w:name w:val="Table Grid"/>
    <w:basedOn w:val="a1"/>
    <w:rsid w:val="00A66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Применение Октреотида </vt:lpstr>
    </vt:vector>
  </TitlesOfParts>
  <Company>ap</Company>
  <LinksUpToDate>false</LinksUpToDate>
  <CharactersWithSpaces>11360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Применение Октреотида </dc:title>
  <dc:subject/>
  <dc:creator>evgeniya</dc:creator>
  <cp:keywords/>
  <dc:description/>
  <cp:lastModifiedBy>Irina</cp:lastModifiedBy>
  <cp:revision>2</cp:revision>
  <cp:lastPrinted>2006-02-28T07:47:00Z</cp:lastPrinted>
  <dcterms:created xsi:type="dcterms:W3CDTF">2014-08-02T18:13:00Z</dcterms:created>
  <dcterms:modified xsi:type="dcterms:W3CDTF">2014-08-02T18:13:00Z</dcterms:modified>
</cp:coreProperties>
</file>