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C5" w:rsidRPr="00617DCB" w:rsidRDefault="003027C5" w:rsidP="003027C5">
      <w:pPr>
        <w:pStyle w:val="a4"/>
        <w:rPr>
          <w:b/>
        </w:rPr>
      </w:pPr>
      <w:r w:rsidRPr="00617DCB">
        <w:rPr>
          <w:b/>
        </w:rPr>
        <w:t xml:space="preserve">Тема работы: </w:t>
      </w:r>
      <w:r>
        <w:rPr>
          <w:b/>
        </w:rPr>
        <w:t>Архитектура бренда</w:t>
      </w:r>
    </w:p>
    <w:p w:rsidR="003027C5" w:rsidRPr="00617DCB" w:rsidRDefault="003027C5" w:rsidP="003027C5">
      <w:pPr>
        <w:pStyle w:val="a4"/>
        <w:rPr>
          <w:b/>
        </w:rPr>
      </w:pPr>
      <w:r w:rsidRPr="00617DCB">
        <w:rPr>
          <w:b/>
        </w:rPr>
        <w:t xml:space="preserve">Вид работы: </w:t>
      </w:r>
      <w:r>
        <w:rPr>
          <w:b/>
        </w:rPr>
        <w:t>к</w:t>
      </w:r>
      <w:r w:rsidRPr="00617DCB">
        <w:rPr>
          <w:b/>
        </w:rPr>
        <w:t>онтрольная работа</w:t>
      </w:r>
    </w:p>
    <w:p w:rsidR="003027C5" w:rsidRDefault="003027C5" w:rsidP="003027C5">
      <w:pPr>
        <w:pStyle w:val="a4"/>
        <w:rPr>
          <w:b/>
        </w:rPr>
      </w:pPr>
      <w:r>
        <w:rPr>
          <w:b/>
        </w:rPr>
        <w:t>Дополнения:</w:t>
      </w:r>
    </w:p>
    <w:p w:rsidR="003027C5" w:rsidRDefault="003027C5" w:rsidP="003027C5">
      <w:pPr>
        <w:pStyle w:val="a4"/>
        <w:numPr>
          <w:ilvl w:val="0"/>
          <w:numId w:val="8"/>
        </w:numPr>
        <w:spacing w:before="144" w:beforeAutospacing="0" w:after="144" w:afterAutospacing="0"/>
        <w:rPr>
          <w:b/>
        </w:rPr>
      </w:pPr>
      <w:r>
        <w:rPr>
          <w:b/>
        </w:rPr>
        <w:t>н</w:t>
      </w:r>
      <w:r w:rsidRPr="00617DCB">
        <w:rPr>
          <w:b/>
        </w:rPr>
        <w:t>а все источники литературы в работе указаны сноски</w:t>
      </w:r>
    </w:p>
    <w:p w:rsidR="003027C5" w:rsidRPr="00617DCB" w:rsidRDefault="003027C5" w:rsidP="003027C5">
      <w:pPr>
        <w:pStyle w:val="a4"/>
        <w:rPr>
          <w:b/>
        </w:rPr>
      </w:pPr>
      <w:r w:rsidRPr="00617DCB">
        <w:rPr>
          <w:b/>
        </w:rPr>
        <w:t xml:space="preserve">Цена в рос. руб.: 500 р. </w:t>
      </w:r>
    </w:p>
    <w:p w:rsidR="000A7FBD" w:rsidRDefault="003027C5" w:rsidP="000A7FBD">
      <w:pPr>
        <w:pStyle w:val="a4"/>
        <w:rPr>
          <w:b/>
        </w:rPr>
      </w:pPr>
      <w:r w:rsidRPr="00617DCB">
        <w:rPr>
          <w:b/>
        </w:rPr>
        <w:t xml:space="preserve">Цена в укр. грн.: 100 грн. </w:t>
      </w:r>
      <w:r w:rsidR="000A7FBD" w:rsidRPr="00577112">
        <w:rPr>
          <w:b/>
        </w:rPr>
        <w:t>Бесплатный перевод на украинский язык.</w:t>
      </w:r>
    </w:p>
    <w:p w:rsidR="00B759B7" w:rsidRPr="00617DCB" w:rsidRDefault="00B759B7" w:rsidP="00B759B7">
      <w:pPr>
        <w:pStyle w:val="a4"/>
        <w:rPr>
          <w:b/>
        </w:rPr>
      </w:pPr>
      <w:r>
        <w:rPr>
          <w:b/>
        </w:rPr>
        <w:t>Заказ №05.</w:t>
      </w:r>
    </w:p>
    <w:p w:rsidR="0052146D" w:rsidRDefault="0052146D" w:rsidP="000A7FBD">
      <w:pPr>
        <w:rPr>
          <w:b/>
        </w:rPr>
      </w:pPr>
      <w:r w:rsidRPr="0052146D">
        <w:rPr>
          <w:b/>
        </w:rPr>
        <w:t xml:space="preserve">                                                  </w:t>
      </w:r>
      <w:r w:rsidRPr="003027C5">
        <w:rPr>
          <w:b/>
        </w:rPr>
        <w:t>СОДЕРЖАНИЕ</w:t>
      </w:r>
    </w:p>
    <w:p w:rsidR="003027C5" w:rsidRPr="003027C5" w:rsidRDefault="003027C5" w:rsidP="003027C5">
      <w:pPr>
        <w:jc w:val="center"/>
        <w:rPr>
          <w:b/>
          <w:color w:val="000000"/>
        </w:rPr>
      </w:pPr>
    </w:p>
    <w:p w:rsidR="00F13E97" w:rsidRPr="003027C5" w:rsidRDefault="00F13E97" w:rsidP="00F13E97">
      <w:pPr>
        <w:pStyle w:val="20"/>
        <w:tabs>
          <w:tab w:val="right" w:leader="dot" w:pos="9345"/>
        </w:tabs>
        <w:spacing w:line="360" w:lineRule="auto"/>
        <w:jc w:val="both"/>
        <w:rPr>
          <w:rStyle w:val="a3"/>
          <w:noProof/>
        </w:rPr>
      </w:pPr>
      <w:r w:rsidRPr="003027C5">
        <w:rPr>
          <w:color w:val="000000"/>
        </w:rPr>
        <w:fldChar w:fldCharType="begin"/>
      </w:r>
      <w:r w:rsidRPr="003027C5">
        <w:rPr>
          <w:color w:val="000000"/>
        </w:rPr>
        <w:instrText xml:space="preserve"> TOC \o "1-3" \h \z \u </w:instrText>
      </w:r>
      <w:r w:rsidRPr="003027C5">
        <w:rPr>
          <w:color w:val="000000"/>
        </w:rPr>
        <w:fldChar w:fldCharType="separate"/>
      </w:r>
      <w:hyperlink w:anchor="_Toc219986238" w:history="1">
        <w:r w:rsidRPr="003027C5">
          <w:rPr>
            <w:rStyle w:val="a3"/>
            <w:noProof/>
          </w:rPr>
          <w:t>Введение</w:t>
        </w:r>
        <w:r w:rsidRPr="003027C5">
          <w:rPr>
            <w:noProof/>
            <w:webHidden/>
          </w:rPr>
          <w:tab/>
        </w:r>
        <w:r w:rsidRPr="003027C5">
          <w:rPr>
            <w:noProof/>
            <w:webHidden/>
          </w:rPr>
          <w:fldChar w:fldCharType="begin"/>
        </w:r>
        <w:r w:rsidRPr="003027C5">
          <w:rPr>
            <w:noProof/>
            <w:webHidden/>
          </w:rPr>
          <w:instrText xml:space="preserve"> PAGEREF _Toc219986238 \h </w:instrText>
        </w:r>
        <w:r w:rsidRPr="003027C5">
          <w:rPr>
            <w:noProof/>
            <w:webHidden/>
          </w:rPr>
        </w:r>
        <w:r w:rsidRPr="003027C5">
          <w:rPr>
            <w:noProof/>
            <w:webHidden/>
          </w:rPr>
          <w:fldChar w:fldCharType="separate"/>
        </w:r>
        <w:r w:rsidR="00F501B6" w:rsidRPr="003027C5">
          <w:rPr>
            <w:noProof/>
            <w:webHidden/>
          </w:rPr>
          <w:t>3</w:t>
        </w:r>
        <w:r w:rsidRPr="003027C5">
          <w:rPr>
            <w:noProof/>
            <w:webHidden/>
          </w:rPr>
          <w:fldChar w:fldCharType="end"/>
        </w:r>
      </w:hyperlink>
    </w:p>
    <w:p w:rsidR="00F13E97" w:rsidRPr="003027C5" w:rsidRDefault="0060428C" w:rsidP="00F13E97">
      <w:pPr>
        <w:pStyle w:val="20"/>
        <w:tabs>
          <w:tab w:val="right" w:leader="dot" w:pos="9345"/>
        </w:tabs>
        <w:spacing w:line="360" w:lineRule="auto"/>
        <w:jc w:val="both"/>
        <w:rPr>
          <w:noProof/>
        </w:rPr>
      </w:pPr>
      <w:hyperlink w:anchor="_Toc219986239" w:history="1">
        <w:r w:rsidR="00F13E97" w:rsidRPr="003027C5">
          <w:rPr>
            <w:rStyle w:val="a3"/>
            <w:noProof/>
          </w:rPr>
          <w:t>1. Понятие архитектуры бренда, ее составляющие элементы</w:t>
        </w:r>
        <w:r w:rsidR="00F13E97" w:rsidRPr="003027C5">
          <w:rPr>
            <w:noProof/>
            <w:webHidden/>
          </w:rPr>
          <w:tab/>
        </w:r>
        <w:r w:rsidR="00F13E97" w:rsidRPr="003027C5">
          <w:rPr>
            <w:noProof/>
            <w:webHidden/>
          </w:rPr>
          <w:fldChar w:fldCharType="begin"/>
        </w:r>
        <w:r w:rsidR="00F13E97" w:rsidRPr="003027C5">
          <w:rPr>
            <w:noProof/>
            <w:webHidden/>
          </w:rPr>
          <w:instrText xml:space="preserve"> PAGEREF _Toc219986239 \h </w:instrText>
        </w:r>
        <w:r w:rsidR="00F13E97" w:rsidRPr="003027C5">
          <w:rPr>
            <w:noProof/>
            <w:webHidden/>
          </w:rPr>
        </w:r>
        <w:r w:rsidR="00F13E97" w:rsidRPr="003027C5">
          <w:rPr>
            <w:noProof/>
            <w:webHidden/>
          </w:rPr>
          <w:fldChar w:fldCharType="separate"/>
        </w:r>
        <w:r w:rsidR="00F501B6" w:rsidRPr="003027C5">
          <w:rPr>
            <w:noProof/>
            <w:webHidden/>
          </w:rPr>
          <w:t>4</w:t>
        </w:r>
        <w:r w:rsidR="00F13E97" w:rsidRPr="003027C5">
          <w:rPr>
            <w:noProof/>
            <w:webHidden/>
          </w:rPr>
          <w:fldChar w:fldCharType="end"/>
        </w:r>
      </w:hyperlink>
    </w:p>
    <w:p w:rsidR="00F13E97" w:rsidRPr="003027C5" w:rsidRDefault="0060428C" w:rsidP="00F13E97">
      <w:pPr>
        <w:pStyle w:val="20"/>
        <w:tabs>
          <w:tab w:val="right" w:leader="dot" w:pos="9345"/>
        </w:tabs>
        <w:spacing w:line="360" w:lineRule="auto"/>
        <w:jc w:val="both"/>
        <w:rPr>
          <w:noProof/>
        </w:rPr>
      </w:pPr>
      <w:hyperlink w:anchor="_Toc219986240" w:history="1">
        <w:r w:rsidR="00F13E97" w:rsidRPr="003027C5">
          <w:rPr>
            <w:rStyle w:val="a3"/>
            <w:noProof/>
          </w:rPr>
          <w:t>2. Модели архитектуры бренда</w:t>
        </w:r>
        <w:r w:rsidR="00F13E97" w:rsidRPr="003027C5">
          <w:rPr>
            <w:noProof/>
            <w:webHidden/>
          </w:rPr>
          <w:tab/>
        </w:r>
        <w:r w:rsidR="00F13E97" w:rsidRPr="003027C5">
          <w:rPr>
            <w:noProof/>
            <w:webHidden/>
          </w:rPr>
          <w:fldChar w:fldCharType="begin"/>
        </w:r>
        <w:r w:rsidR="00F13E97" w:rsidRPr="003027C5">
          <w:rPr>
            <w:noProof/>
            <w:webHidden/>
          </w:rPr>
          <w:instrText xml:space="preserve"> PAGEREF _Toc219986240 \h </w:instrText>
        </w:r>
        <w:r w:rsidR="00F13E97" w:rsidRPr="003027C5">
          <w:rPr>
            <w:noProof/>
            <w:webHidden/>
          </w:rPr>
        </w:r>
        <w:r w:rsidR="00F13E97" w:rsidRPr="003027C5">
          <w:rPr>
            <w:noProof/>
            <w:webHidden/>
          </w:rPr>
          <w:fldChar w:fldCharType="separate"/>
        </w:r>
        <w:r w:rsidR="00F501B6" w:rsidRPr="003027C5">
          <w:rPr>
            <w:noProof/>
            <w:webHidden/>
          </w:rPr>
          <w:t>5</w:t>
        </w:r>
        <w:r w:rsidR="00F13E97" w:rsidRPr="003027C5">
          <w:rPr>
            <w:noProof/>
            <w:webHidden/>
          </w:rPr>
          <w:fldChar w:fldCharType="end"/>
        </w:r>
      </w:hyperlink>
    </w:p>
    <w:p w:rsidR="00F13E97" w:rsidRPr="003027C5" w:rsidRDefault="0060428C" w:rsidP="00F13E97">
      <w:pPr>
        <w:pStyle w:val="20"/>
        <w:tabs>
          <w:tab w:val="right" w:leader="dot" w:pos="9345"/>
        </w:tabs>
        <w:spacing w:line="360" w:lineRule="auto"/>
        <w:jc w:val="both"/>
        <w:rPr>
          <w:noProof/>
        </w:rPr>
      </w:pPr>
      <w:hyperlink w:anchor="_Toc219986241" w:history="1">
        <w:r w:rsidR="00F13E97" w:rsidRPr="003027C5">
          <w:rPr>
            <w:rStyle w:val="a3"/>
            <w:rFonts w:eastAsia="Helvetica-Bold"/>
            <w:noProof/>
          </w:rPr>
          <w:t>3. Групповые и корпоративные бренды</w:t>
        </w:r>
        <w:r w:rsidR="00F13E97" w:rsidRPr="003027C5">
          <w:rPr>
            <w:noProof/>
            <w:webHidden/>
          </w:rPr>
          <w:tab/>
        </w:r>
        <w:r w:rsidR="00F13E97" w:rsidRPr="003027C5">
          <w:rPr>
            <w:noProof/>
            <w:webHidden/>
          </w:rPr>
          <w:fldChar w:fldCharType="begin"/>
        </w:r>
        <w:r w:rsidR="00F13E97" w:rsidRPr="003027C5">
          <w:rPr>
            <w:noProof/>
            <w:webHidden/>
          </w:rPr>
          <w:instrText xml:space="preserve"> PAGEREF _Toc219986241 \h </w:instrText>
        </w:r>
        <w:r w:rsidR="00F13E97" w:rsidRPr="003027C5">
          <w:rPr>
            <w:noProof/>
            <w:webHidden/>
          </w:rPr>
        </w:r>
        <w:r w:rsidR="00F13E97" w:rsidRPr="003027C5">
          <w:rPr>
            <w:noProof/>
            <w:webHidden/>
          </w:rPr>
          <w:fldChar w:fldCharType="separate"/>
        </w:r>
        <w:r w:rsidR="00F501B6" w:rsidRPr="003027C5">
          <w:rPr>
            <w:noProof/>
            <w:webHidden/>
          </w:rPr>
          <w:t>9</w:t>
        </w:r>
        <w:r w:rsidR="00F13E97" w:rsidRPr="003027C5">
          <w:rPr>
            <w:noProof/>
            <w:webHidden/>
          </w:rPr>
          <w:fldChar w:fldCharType="end"/>
        </w:r>
      </w:hyperlink>
    </w:p>
    <w:p w:rsidR="00F13E97" w:rsidRPr="003027C5" w:rsidRDefault="0060428C" w:rsidP="00F13E97">
      <w:pPr>
        <w:pStyle w:val="20"/>
        <w:tabs>
          <w:tab w:val="right" w:leader="dot" w:pos="9345"/>
        </w:tabs>
        <w:spacing w:line="360" w:lineRule="auto"/>
        <w:jc w:val="both"/>
        <w:rPr>
          <w:noProof/>
        </w:rPr>
      </w:pPr>
      <w:hyperlink w:anchor="_Toc219986242" w:history="1">
        <w:r w:rsidR="00F13E97" w:rsidRPr="003027C5">
          <w:rPr>
            <w:rStyle w:val="a3"/>
            <w:noProof/>
          </w:rPr>
          <w:t>4. Комбинированные подходы к архитектуре бренда</w:t>
        </w:r>
        <w:r w:rsidR="00F13E97" w:rsidRPr="003027C5">
          <w:rPr>
            <w:noProof/>
            <w:webHidden/>
          </w:rPr>
          <w:tab/>
        </w:r>
        <w:r w:rsidR="00F13E97" w:rsidRPr="003027C5">
          <w:rPr>
            <w:noProof/>
            <w:webHidden/>
          </w:rPr>
          <w:fldChar w:fldCharType="begin"/>
        </w:r>
        <w:r w:rsidR="00F13E97" w:rsidRPr="003027C5">
          <w:rPr>
            <w:noProof/>
            <w:webHidden/>
          </w:rPr>
          <w:instrText xml:space="preserve"> PAGEREF _Toc219986242 \h </w:instrText>
        </w:r>
        <w:r w:rsidR="00F13E97" w:rsidRPr="003027C5">
          <w:rPr>
            <w:noProof/>
            <w:webHidden/>
          </w:rPr>
        </w:r>
        <w:r w:rsidR="00F13E97" w:rsidRPr="003027C5">
          <w:rPr>
            <w:noProof/>
            <w:webHidden/>
          </w:rPr>
          <w:fldChar w:fldCharType="separate"/>
        </w:r>
        <w:r w:rsidR="00F501B6" w:rsidRPr="003027C5">
          <w:rPr>
            <w:noProof/>
            <w:webHidden/>
          </w:rPr>
          <w:t>10</w:t>
        </w:r>
        <w:r w:rsidR="00F13E97" w:rsidRPr="003027C5">
          <w:rPr>
            <w:noProof/>
            <w:webHidden/>
          </w:rPr>
          <w:fldChar w:fldCharType="end"/>
        </w:r>
      </w:hyperlink>
    </w:p>
    <w:p w:rsidR="00F13E97" w:rsidRPr="003027C5" w:rsidRDefault="0060428C" w:rsidP="00F13E97">
      <w:pPr>
        <w:pStyle w:val="20"/>
        <w:tabs>
          <w:tab w:val="right" w:leader="dot" w:pos="9345"/>
        </w:tabs>
        <w:spacing w:line="360" w:lineRule="auto"/>
        <w:jc w:val="both"/>
        <w:rPr>
          <w:noProof/>
        </w:rPr>
      </w:pPr>
      <w:hyperlink w:anchor="_Toc219986243" w:history="1">
        <w:r w:rsidR="00F13E97" w:rsidRPr="003027C5">
          <w:rPr>
            <w:rStyle w:val="a3"/>
            <w:rFonts w:eastAsia="Times-Roman"/>
            <w:noProof/>
          </w:rPr>
          <w:t xml:space="preserve">5. </w:t>
        </w:r>
        <w:r w:rsidR="00F13E97" w:rsidRPr="003027C5">
          <w:rPr>
            <w:rStyle w:val="a3"/>
            <w:rFonts w:eastAsia="Helvetica-Bold"/>
            <w:noProof/>
          </w:rPr>
          <w:t>Новые тенденции в стратегиях брендинга</w:t>
        </w:r>
        <w:r w:rsidR="00F13E97" w:rsidRPr="003027C5">
          <w:rPr>
            <w:noProof/>
            <w:webHidden/>
          </w:rPr>
          <w:tab/>
        </w:r>
        <w:r w:rsidR="00F13E97" w:rsidRPr="003027C5">
          <w:rPr>
            <w:noProof/>
            <w:webHidden/>
          </w:rPr>
          <w:fldChar w:fldCharType="begin"/>
        </w:r>
        <w:r w:rsidR="00F13E97" w:rsidRPr="003027C5">
          <w:rPr>
            <w:noProof/>
            <w:webHidden/>
          </w:rPr>
          <w:instrText xml:space="preserve"> PAGEREF _Toc219986243 \h </w:instrText>
        </w:r>
        <w:r w:rsidR="00F13E97" w:rsidRPr="003027C5">
          <w:rPr>
            <w:noProof/>
            <w:webHidden/>
          </w:rPr>
        </w:r>
        <w:r w:rsidR="00F13E97" w:rsidRPr="003027C5">
          <w:rPr>
            <w:noProof/>
            <w:webHidden/>
          </w:rPr>
          <w:fldChar w:fldCharType="separate"/>
        </w:r>
        <w:r w:rsidR="00F501B6" w:rsidRPr="003027C5">
          <w:rPr>
            <w:noProof/>
            <w:webHidden/>
          </w:rPr>
          <w:t>11</w:t>
        </w:r>
        <w:r w:rsidR="00F13E97" w:rsidRPr="003027C5">
          <w:rPr>
            <w:noProof/>
            <w:webHidden/>
          </w:rPr>
          <w:fldChar w:fldCharType="end"/>
        </w:r>
      </w:hyperlink>
    </w:p>
    <w:p w:rsidR="00F13E97" w:rsidRPr="003027C5" w:rsidRDefault="0060428C" w:rsidP="00F13E97">
      <w:pPr>
        <w:pStyle w:val="20"/>
        <w:tabs>
          <w:tab w:val="right" w:leader="dot" w:pos="9345"/>
        </w:tabs>
        <w:spacing w:line="360" w:lineRule="auto"/>
        <w:jc w:val="both"/>
        <w:rPr>
          <w:rStyle w:val="a3"/>
          <w:noProof/>
        </w:rPr>
      </w:pPr>
      <w:hyperlink w:anchor="_Toc219986244" w:history="1">
        <w:r w:rsidR="00F13E97" w:rsidRPr="003027C5">
          <w:rPr>
            <w:rStyle w:val="a3"/>
            <w:rFonts w:eastAsia="Helvetica-Bold"/>
            <w:noProof/>
          </w:rPr>
          <w:t>6. Интернационализация архитектуры бренда</w:t>
        </w:r>
        <w:r w:rsidR="00F13E97" w:rsidRPr="003027C5">
          <w:rPr>
            <w:noProof/>
            <w:webHidden/>
          </w:rPr>
          <w:tab/>
        </w:r>
        <w:r w:rsidR="00F13E97" w:rsidRPr="003027C5">
          <w:rPr>
            <w:noProof/>
            <w:webHidden/>
          </w:rPr>
          <w:fldChar w:fldCharType="begin"/>
        </w:r>
        <w:r w:rsidR="00F13E97" w:rsidRPr="003027C5">
          <w:rPr>
            <w:noProof/>
            <w:webHidden/>
          </w:rPr>
          <w:instrText xml:space="preserve"> PAGEREF _Toc219986244 \h </w:instrText>
        </w:r>
        <w:r w:rsidR="00F13E97" w:rsidRPr="003027C5">
          <w:rPr>
            <w:noProof/>
            <w:webHidden/>
          </w:rPr>
        </w:r>
        <w:r w:rsidR="00F13E97" w:rsidRPr="003027C5">
          <w:rPr>
            <w:noProof/>
            <w:webHidden/>
          </w:rPr>
          <w:fldChar w:fldCharType="separate"/>
        </w:r>
        <w:r w:rsidR="00F501B6" w:rsidRPr="003027C5">
          <w:rPr>
            <w:noProof/>
            <w:webHidden/>
          </w:rPr>
          <w:t>14</w:t>
        </w:r>
        <w:r w:rsidR="00F13E97" w:rsidRPr="003027C5">
          <w:rPr>
            <w:noProof/>
            <w:webHidden/>
          </w:rPr>
          <w:fldChar w:fldCharType="end"/>
        </w:r>
      </w:hyperlink>
    </w:p>
    <w:p w:rsidR="00F13E97" w:rsidRPr="003027C5" w:rsidRDefault="0060428C" w:rsidP="00F13E97">
      <w:pPr>
        <w:pStyle w:val="20"/>
        <w:tabs>
          <w:tab w:val="right" w:leader="dot" w:pos="9345"/>
        </w:tabs>
        <w:spacing w:line="360" w:lineRule="auto"/>
        <w:jc w:val="both"/>
        <w:rPr>
          <w:rStyle w:val="a3"/>
          <w:noProof/>
        </w:rPr>
      </w:pPr>
      <w:hyperlink w:anchor="_Toc219986245" w:history="1">
        <w:r w:rsidR="00F13E97" w:rsidRPr="003027C5">
          <w:rPr>
            <w:rStyle w:val="a3"/>
            <w:rFonts w:eastAsia="Times-Roman"/>
            <w:noProof/>
          </w:rPr>
          <w:t>Вывод</w:t>
        </w:r>
        <w:r w:rsidR="00F13E97" w:rsidRPr="003027C5">
          <w:rPr>
            <w:noProof/>
            <w:webHidden/>
          </w:rPr>
          <w:tab/>
        </w:r>
        <w:r w:rsidR="00F13E97" w:rsidRPr="003027C5">
          <w:rPr>
            <w:noProof/>
            <w:webHidden/>
          </w:rPr>
          <w:fldChar w:fldCharType="begin"/>
        </w:r>
        <w:r w:rsidR="00F13E97" w:rsidRPr="003027C5">
          <w:rPr>
            <w:noProof/>
            <w:webHidden/>
          </w:rPr>
          <w:instrText xml:space="preserve"> PAGEREF _Toc219986245 \h </w:instrText>
        </w:r>
        <w:r w:rsidR="00F13E97" w:rsidRPr="003027C5">
          <w:rPr>
            <w:noProof/>
            <w:webHidden/>
          </w:rPr>
        </w:r>
        <w:r w:rsidR="00F13E97" w:rsidRPr="003027C5">
          <w:rPr>
            <w:noProof/>
            <w:webHidden/>
          </w:rPr>
          <w:fldChar w:fldCharType="separate"/>
        </w:r>
        <w:r w:rsidR="00F501B6" w:rsidRPr="003027C5">
          <w:rPr>
            <w:noProof/>
            <w:webHidden/>
          </w:rPr>
          <w:t>17</w:t>
        </w:r>
        <w:r w:rsidR="00F13E97" w:rsidRPr="003027C5">
          <w:rPr>
            <w:noProof/>
            <w:webHidden/>
          </w:rPr>
          <w:fldChar w:fldCharType="end"/>
        </w:r>
      </w:hyperlink>
    </w:p>
    <w:p w:rsidR="00253B14" w:rsidRPr="003027C5" w:rsidRDefault="0060428C" w:rsidP="003027C5">
      <w:pPr>
        <w:pStyle w:val="20"/>
        <w:tabs>
          <w:tab w:val="right" w:leader="dot" w:pos="9345"/>
        </w:tabs>
        <w:spacing w:line="360" w:lineRule="auto"/>
        <w:jc w:val="both"/>
        <w:rPr>
          <w:color w:val="000000"/>
        </w:rPr>
      </w:pPr>
      <w:hyperlink w:anchor="_Toc219986246" w:history="1">
        <w:r w:rsidR="00F13E97" w:rsidRPr="003027C5">
          <w:rPr>
            <w:rStyle w:val="a3"/>
            <w:noProof/>
          </w:rPr>
          <w:t>Список использованной литературы</w:t>
        </w:r>
        <w:r w:rsidR="00F13E97" w:rsidRPr="003027C5">
          <w:rPr>
            <w:noProof/>
            <w:webHidden/>
          </w:rPr>
          <w:tab/>
        </w:r>
        <w:r w:rsidR="00F13E97" w:rsidRPr="003027C5">
          <w:rPr>
            <w:noProof/>
            <w:webHidden/>
          </w:rPr>
          <w:fldChar w:fldCharType="begin"/>
        </w:r>
        <w:r w:rsidR="00F13E97" w:rsidRPr="003027C5">
          <w:rPr>
            <w:noProof/>
            <w:webHidden/>
          </w:rPr>
          <w:instrText xml:space="preserve"> PAGEREF _Toc219986246 \h </w:instrText>
        </w:r>
        <w:r w:rsidR="00F13E97" w:rsidRPr="003027C5">
          <w:rPr>
            <w:noProof/>
            <w:webHidden/>
          </w:rPr>
        </w:r>
        <w:r w:rsidR="00F13E97" w:rsidRPr="003027C5">
          <w:rPr>
            <w:noProof/>
            <w:webHidden/>
          </w:rPr>
          <w:fldChar w:fldCharType="separate"/>
        </w:r>
        <w:r w:rsidR="00F501B6" w:rsidRPr="003027C5">
          <w:rPr>
            <w:noProof/>
            <w:webHidden/>
          </w:rPr>
          <w:t>19</w:t>
        </w:r>
        <w:r w:rsidR="00F13E97" w:rsidRPr="003027C5">
          <w:rPr>
            <w:noProof/>
            <w:webHidden/>
          </w:rPr>
          <w:fldChar w:fldCharType="end"/>
        </w:r>
      </w:hyperlink>
      <w:r w:rsidR="00F13E97" w:rsidRPr="003027C5">
        <w:rPr>
          <w:color w:val="000000"/>
        </w:rPr>
        <w:fldChar w:fldCharType="end"/>
      </w:r>
    </w:p>
    <w:p w:rsidR="003027C5" w:rsidRDefault="003027C5" w:rsidP="00123BF0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0" w:name="_Toc219986238"/>
    </w:p>
    <w:p w:rsidR="00253B14" w:rsidRPr="003027C5" w:rsidRDefault="00C26775" w:rsidP="00123B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027C5">
        <w:rPr>
          <w:rFonts w:ascii="Times New Roman" w:hAnsi="Times New Roman" w:cs="Times New Roman"/>
          <w:i w:val="0"/>
          <w:sz w:val="24"/>
          <w:szCs w:val="24"/>
        </w:rPr>
        <w:t>Введение</w:t>
      </w:r>
      <w:bookmarkEnd w:id="0"/>
    </w:p>
    <w:p w:rsidR="00C26775" w:rsidRPr="003027C5" w:rsidRDefault="00C26775" w:rsidP="00123BF0"/>
    <w:p w:rsidR="00253B14" w:rsidRPr="003027C5" w:rsidRDefault="00253B14" w:rsidP="00123BF0">
      <w:pPr>
        <w:spacing w:line="360" w:lineRule="auto"/>
        <w:ind w:firstLine="720"/>
        <w:jc w:val="both"/>
        <w:rPr>
          <w:color w:val="000000"/>
        </w:rPr>
      </w:pPr>
      <w:r w:rsidRPr="003027C5">
        <w:rPr>
          <w:color w:val="000000"/>
        </w:rPr>
        <w:t>Архитектура бренда организует и структурирует портфель бренда, определяя роли брендов и природу отношений между ними (например, между брендами Citybank и MasterCard) и между разными контекстами товарного рынка (например, между грузовиками и легковыми автомобилями Ford). Хорошо продуманная и упорядоченная архитектура бренда может обеспечить ясность, синергию и продвижения бренда, а вовсе не его "размытость", неопределенное положение на рынке и убытки в процессе создания.</w:t>
      </w:r>
    </w:p>
    <w:p w:rsidR="00FE12B3" w:rsidRPr="003027C5" w:rsidRDefault="00FE12B3" w:rsidP="00AE05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-Roman"/>
        </w:rPr>
      </w:pPr>
      <w:r w:rsidRPr="003027C5">
        <w:rPr>
          <w:rFonts w:eastAsia="Times-Roman"/>
        </w:rPr>
        <w:t>К</w:t>
      </w:r>
      <w:r w:rsidR="00AE05BA" w:rsidRPr="003027C5">
        <w:rPr>
          <w:rFonts w:eastAsia="Times-Roman"/>
        </w:rPr>
        <w:t>аждая архитектура брендинга имеет свои организационные последствия, меняющие роль группы по отношению к ее дочерним и субдочерним компаниям</w:t>
      </w:r>
      <w:r w:rsidRPr="003027C5">
        <w:rPr>
          <w:rFonts w:eastAsia="Times-Roman"/>
        </w:rPr>
        <w:t>:</w:t>
      </w:r>
      <w:r w:rsidR="00AE05BA" w:rsidRPr="003027C5">
        <w:rPr>
          <w:rFonts w:eastAsia="Times-Roman"/>
        </w:rPr>
        <w:t xml:space="preserve"> </w:t>
      </w:r>
    </w:p>
    <w:p w:rsidR="00FE12B3" w:rsidRPr="003027C5" w:rsidRDefault="00AE05BA" w:rsidP="00FE12B3">
      <w:pPr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eastAsia="Times-Roman"/>
        </w:rPr>
      </w:pPr>
      <w:r w:rsidRPr="003027C5">
        <w:rPr>
          <w:rFonts w:eastAsia="Times-Roman"/>
        </w:rPr>
        <w:t xml:space="preserve">Стратегия, при которой группа — исходный бренд, позволяет говорить о роли дирижера оркестра или руководителя ансамбля. </w:t>
      </w:r>
    </w:p>
    <w:p w:rsidR="00FE12B3" w:rsidRPr="003027C5" w:rsidRDefault="00AE05BA" w:rsidP="00FE12B3">
      <w:pPr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eastAsia="Times-Roman"/>
        </w:rPr>
      </w:pPr>
      <w:r w:rsidRPr="003027C5">
        <w:rPr>
          <w:rFonts w:eastAsia="Times-Roman"/>
        </w:rPr>
        <w:t xml:space="preserve">Стратегия, при которой группа — зонтичный бренд, делает ее объединителем. </w:t>
      </w:r>
    </w:p>
    <w:p w:rsidR="00AE05BA" w:rsidRPr="003027C5" w:rsidRDefault="00AE05BA" w:rsidP="00FE12B3">
      <w:pPr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</w:rPr>
      </w:pPr>
      <w:r w:rsidRPr="003027C5">
        <w:rPr>
          <w:rFonts w:eastAsia="Times-Roman"/>
        </w:rPr>
        <w:t>Стратегия, при которой группа становится поддерживающим брендом, делает ее координатором. Очевидно, что решения, связанные с брендингом, не могут определять стиль управления определенной группой, это было бы обратной сменой ролей, но они должны объяснять выбор этого стиля и те критерии, на которых он основывается.</w:t>
      </w:r>
    </w:p>
    <w:p w:rsidR="00C26775" w:rsidRPr="003027C5" w:rsidRDefault="00C26775" w:rsidP="00123BF0">
      <w:pPr>
        <w:spacing w:line="360" w:lineRule="auto"/>
        <w:ind w:firstLine="720"/>
        <w:jc w:val="both"/>
      </w:pPr>
      <w:r w:rsidRPr="003027C5">
        <w:t>Предметом исследования в работе является архитектура бренда.</w:t>
      </w:r>
    </w:p>
    <w:p w:rsidR="00C26775" w:rsidRPr="003027C5" w:rsidRDefault="00C26775" w:rsidP="00123BF0">
      <w:pPr>
        <w:spacing w:line="360" w:lineRule="auto"/>
        <w:ind w:firstLine="720"/>
        <w:jc w:val="both"/>
        <w:rPr>
          <w:color w:val="000000"/>
        </w:rPr>
      </w:pPr>
      <w:r w:rsidRPr="003027C5">
        <w:rPr>
          <w:color w:val="000000"/>
        </w:rPr>
        <w:t xml:space="preserve">Целью данной работы является </w:t>
      </w:r>
      <w:r w:rsidR="00891CD2" w:rsidRPr="003027C5">
        <w:rPr>
          <w:color w:val="000000"/>
        </w:rPr>
        <w:t>изучение теоретических и методологических аспектов архитектуры бренда.</w:t>
      </w:r>
    </w:p>
    <w:p w:rsidR="00AE05BA" w:rsidRPr="003027C5" w:rsidRDefault="00C26775" w:rsidP="00AE05BA">
      <w:pPr>
        <w:spacing w:line="360" w:lineRule="auto"/>
        <w:ind w:firstLine="720"/>
        <w:jc w:val="both"/>
        <w:rPr>
          <w:color w:val="000000"/>
        </w:rPr>
      </w:pPr>
      <w:r w:rsidRPr="003027C5">
        <w:rPr>
          <w:color w:val="000000"/>
        </w:rPr>
        <w:t>Достижение этой цели предпо</w:t>
      </w:r>
      <w:r w:rsidR="00891CD2" w:rsidRPr="003027C5">
        <w:rPr>
          <w:color w:val="000000"/>
        </w:rPr>
        <w:t>лагает решение следующих задач: теоретический обзор и изучение создания архитектуры бренда;</w:t>
      </w:r>
      <w:r w:rsidR="00AE05BA" w:rsidRPr="003027C5">
        <w:rPr>
          <w:color w:val="000000"/>
        </w:rPr>
        <w:t xml:space="preserve"> моделей архитектуры брендов; </w:t>
      </w:r>
      <w:r w:rsidR="00891CD2" w:rsidRPr="003027C5">
        <w:rPr>
          <w:color w:val="000000"/>
        </w:rPr>
        <w:t xml:space="preserve">анализ отношений между брендами - ключевого блока построения архитектуры бренда - и роль, которую играют в определении этих отношений поддерживающие бренды и суббренды. </w:t>
      </w:r>
    </w:p>
    <w:p w:rsidR="005C21FD" w:rsidRDefault="005C21FD" w:rsidP="005C21FD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219986246"/>
      <w:r w:rsidRPr="003027C5">
        <w:rPr>
          <w:rFonts w:ascii="Times New Roman" w:hAnsi="Times New Roman" w:cs="Times New Roman"/>
          <w:i w:val="0"/>
          <w:sz w:val="24"/>
          <w:szCs w:val="24"/>
        </w:rPr>
        <w:t>Список использованной литературы</w:t>
      </w:r>
      <w:bookmarkEnd w:id="1"/>
    </w:p>
    <w:p w:rsidR="003027C5" w:rsidRPr="003027C5" w:rsidRDefault="003027C5" w:rsidP="003027C5"/>
    <w:p w:rsidR="001D6ED4" w:rsidRPr="003027C5" w:rsidRDefault="001D6ED4" w:rsidP="001D6ED4">
      <w:pPr>
        <w:numPr>
          <w:ilvl w:val="0"/>
          <w:numId w:val="7"/>
        </w:numPr>
        <w:spacing w:line="360" w:lineRule="auto"/>
        <w:jc w:val="both"/>
      </w:pPr>
      <w:r w:rsidRPr="003027C5">
        <w:t>Дирлав Дез, Избранные концепции бизнеса. Теории, которые изменили мир: М., «Олимп-Бизнес», -2007 г., -с.52.</w:t>
      </w:r>
    </w:p>
    <w:p w:rsidR="001D6ED4" w:rsidRPr="003027C5" w:rsidRDefault="001D6ED4" w:rsidP="001D6ED4">
      <w:pPr>
        <w:numPr>
          <w:ilvl w:val="0"/>
          <w:numId w:val="7"/>
        </w:numPr>
        <w:spacing w:line="360" w:lineRule="auto"/>
        <w:jc w:val="both"/>
        <w:rPr>
          <w:rFonts w:eastAsia="Times-Roman"/>
        </w:rPr>
      </w:pPr>
      <w:r w:rsidRPr="003027C5">
        <w:rPr>
          <w:rFonts w:eastAsia="Times-Bold"/>
          <w:bCs/>
        </w:rPr>
        <w:t>Капферер, Жан-Ноэль.</w:t>
      </w:r>
      <w:r w:rsidRPr="003027C5">
        <w:rPr>
          <w:rFonts w:eastAsia="Times-Roman"/>
        </w:rPr>
        <w:t>Бренд навсегда: создание, развитие, поддержка ценности бренда; пер. с англ. Е. В. Виноградовой; под. общ. ред. В. Н. Домнина. — М.: Вершина, -2007. -с.271, 285.</w:t>
      </w:r>
    </w:p>
    <w:p w:rsidR="001D6ED4" w:rsidRPr="003027C5" w:rsidRDefault="001D6ED4" w:rsidP="001D6ED4">
      <w:pPr>
        <w:numPr>
          <w:ilvl w:val="0"/>
          <w:numId w:val="7"/>
        </w:numPr>
        <w:spacing w:line="360" w:lineRule="auto"/>
        <w:jc w:val="both"/>
      </w:pPr>
      <w:r w:rsidRPr="003027C5">
        <w:rPr>
          <w:bCs/>
        </w:rPr>
        <w:t xml:space="preserve">Котлер Филип, Пферч Вальдемар. </w:t>
      </w:r>
      <w:r w:rsidRPr="003027C5">
        <w:rPr>
          <w:rStyle w:val="a8"/>
          <w:b w:val="0"/>
          <w:color w:val="000000"/>
        </w:rPr>
        <w:t>Бренд-менеджмент в B2B-сфере.</w:t>
      </w:r>
      <w:r w:rsidRPr="003027C5">
        <w:rPr>
          <w:rFonts w:eastAsia="Times-Roman"/>
        </w:rPr>
        <w:t xml:space="preserve"> - М.: Вершина, -2007.</w:t>
      </w:r>
    </w:p>
    <w:p w:rsidR="001D6ED4" w:rsidRPr="003027C5" w:rsidRDefault="001D6ED4" w:rsidP="001D6ED4">
      <w:pPr>
        <w:numPr>
          <w:ilvl w:val="0"/>
          <w:numId w:val="7"/>
        </w:numPr>
        <w:spacing w:line="360" w:lineRule="auto"/>
        <w:jc w:val="both"/>
        <w:rPr>
          <w:iCs/>
        </w:rPr>
      </w:pPr>
      <w:r w:rsidRPr="003027C5">
        <w:rPr>
          <w:iCs/>
        </w:rPr>
        <w:t>Матанцев А.Н. 600 способов продвижения торговой марки.-М, -2003.</w:t>
      </w:r>
    </w:p>
    <w:p w:rsidR="001D6ED4" w:rsidRPr="003027C5" w:rsidRDefault="001D6ED4" w:rsidP="001D6ED4">
      <w:pPr>
        <w:numPr>
          <w:ilvl w:val="0"/>
          <w:numId w:val="7"/>
        </w:numPr>
        <w:spacing w:line="360" w:lineRule="auto"/>
        <w:jc w:val="both"/>
        <w:rPr>
          <w:rFonts w:eastAsia="Times-Roman"/>
        </w:rPr>
      </w:pPr>
      <w:r w:rsidRPr="003027C5">
        <w:rPr>
          <w:rStyle w:val="a8"/>
          <w:b w:val="0"/>
          <w:color w:val="000000"/>
        </w:rPr>
        <w:t>Мельников Алексей.</w:t>
      </w:r>
      <w:r w:rsidRPr="003027C5">
        <w:t xml:space="preserve"> </w:t>
      </w:r>
      <w:r w:rsidRPr="003027C5">
        <w:rPr>
          <w:rStyle w:val="a8"/>
          <w:b w:val="0"/>
          <w:color w:val="000000"/>
        </w:rPr>
        <w:t>Особенности национального бренд-менеджмента</w:t>
      </w:r>
      <w:r w:rsidRPr="003027C5">
        <w:rPr>
          <w:rFonts w:eastAsia="Times-Roman"/>
        </w:rPr>
        <w:t>— М.: Вершина, -2006.</w:t>
      </w:r>
    </w:p>
    <w:p w:rsidR="001D6ED4" w:rsidRPr="003027C5" w:rsidRDefault="001D6ED4" w:rsidP="001D6ED4">
      <w:pPr>
        <w:numPr>
          <w:ilvl w:val="0"/>
          <w:numId w:val="7"/>
        </w:numPr>
        <w:spacing w:line="360" w:lineRule="auto"/>
        <w:jc w:val="both"/>
        <w:rPr>
          <w:iCs/>
        </w:rPr>
      </w:pPr>
      <w:r w:rsidRPr="003027C5">
        <w:rPr>
          <w:iCs/>
        </w:rPr>
        <w:t>Российский торгово-экономический словарь / Под ред. С.Н. Бабурина.-М., -2005.</w:t>
      </w:r>
    </w:p>
    <w:p w:rsidR="001D6ED4" w:rsidRPr="003027C5" w:rsidRDefault="001D6ED4" w:rsidP="001D6ED4">
      <w:pPr>
        <w:numPr>
          <w:ilvl w:val="0"/>
          <w:numId w:val="7"/>
        </w:numPr>
        <w:spacing w:line="360" w:lineRule="auto"/>
        <w:jc w:val="both"/>
      </w:pPr>
      <w:r w:rsidRPr="003027C5">
        <w:t xml:space="preserve">Создание архитектуры бренда // </w:t>
      </w:r>
      <w:r w:rsidRPr="003027C5">
        <w:rPr>
          <w:lang w:val="en-US"/>
        </w:rPr>
        <w:t>allBranding</w:t>
      </w:r>
      <w:r w:rsidRPr="003027C5">
        <w:t>ю. Технологии брендинга. -http://www.allbranding.ru/architecture.php</w:t>
      </w:r>
    </w:p>
    <w:p w:rsidR="005C21FD" w:rsidRPr="003027C5" w:rsidRDefault="005C21FD" w:rsidP="005C21FD">
      <w:bookmarkStart w:id="2" w:name="_GoBack"/>
      <w:bookmarkEnd w:id="2"/>
    </w:p>
    <w:sectPr w:rsidR="005C21FD" w:rsidRPr="003027C5" w:rsidSect="00123BF0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6C" w:rsidRDefault="00DD3F6C">
      <w:r>
        <w:separator/>
      </w:r>
    </w:p>
  </w:endnote>
  <w:endnote w:type="continuationSeparator" w:id="0">
    <w:p w:rsidR="00DD3F6C" w:rsidRDefault="00DD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D4" w:rsidRDefault="00037AD4" w:rsidP="0059079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7AD4" w:rsidRDefault="00037AD4" w:rsidP="00123BF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D4" w:rsidRDefault="00037AD4" w:rsidP="0059079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59B7">
      <w:rPr>
        <w:rStyle w:val="aa"/>
        <w:noProof/>
      </w:rPr>
      <w:t>2</w:t>
    </w:r>
    <w:r>
      <w:rPr>
        <w:rStyle w:val="aa"/>
      </w:rPr>
      <w:fldChar w:fldCharType="end"/>
    </w:r>
  </w:p>
  <w:p w:rsidR="00037AD4" w:rsidRDefault="00037AD4" w:rsidP="00123BF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6C" w:rsidRDefault="00DD3F6C">
      <w:r>
        <w:separator/>
      </w:r>
    </w:p>
  </w:footnote>
  <w:footnote w:type="continuationSeparator" w:id="0">
    <w:p w:rsidR="00DD3F6C" w:rsidRDefault="00DD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1C8C6868"/>
    <w:multiLevelType w:val="hybridMultilevel"/>
    <w:tmpl w:val="4716AD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3D6B8A"/>
    <w:multiLevelType w:val="hybridMultilevel"/>
    <w:tmpl w:val="D67040F8"/>
    <w:lvl w:ilvl="0" w:tplc="CCFEE7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23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4C9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82C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40B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CCB2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E9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A6A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749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C972E4B"/>
    <w:multiLevelType w:val="hybridMultilevel"/>
    <w:tmpl w:val="5EB486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DE839B1"/>
    <w:multiLevelType w:val="hybridMultilevel"/>
    <w:tmpl w:val="0F244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89D6689"/>
    <w:multiLevelType w:val="hybridMultilevel"/>
    <w:tmpl w:val="A7B44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E0682D"/>
    <w:multiLevelType w:val="hybridMultilevel"/>
    <w:tmpl w:val="9B5EE8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A2C0DD5"/>
    <w:multiLevelType w:val="hybridMultilevel"/>
    <w:tmpl w:val="A448C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C00582F"/>
    <w:multiLevelType w:val="hybridMultilevel"/>
    <w:tmpl w:val="8902B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B14"/>
    <w:rsid w:val="00016FFC"/>
    <w:rsid w:val="00032A5C"/>
    <w:rsid w:val="00037AD4"/>
    <w:rsid w:val="00041334"/>
    <w:rsid w:val="00044298"/>
    <w:rsid w:val="000928EA"/>
    <w:rsid w:val="000A7FBD"/>
    <w:rsid w:val="000B79A8"/>
    <w:rsid w:val="00123BF0"/>
    <w:rsid w:val="00152BED"/>
    <w:rsid w:val="0015540B"/>
    <w:rsid w:val="0018143E"/>
    <w:rsid w:val="001A3254"/>
    <w:rsid w:val="001D6ED4"/>
    <w:rsid w:val="002442D1"/>
    <w:rsid w:val="00253B14"/>
    <w:rsid w:val="00282F0D"/>
    <w:rsid w:val="002C3E5D"/>
    <w:rsid w:val="002D69E9"/>
    <w:rsid w:val="003027C5"/>
    <w:rsid w:val="003139C5"/>
    <w:rsid w:val="003371B9"/>
    <w:rsid w:val="00345687"/>
    <w:rsid w:val="003B5A7A"/>
    <w:rsid w:val="003C2003"/>
    <w:rsid w:val="004301F3"/>
    <w:rsid w:val="00465F6E"/>
    <w:rsid w:val="00482293"/>
    <w:rsid w:val="004B2BAD"/>
    <w:rsid w:val="004E4B67"/>
    <w:rsid w:val="0052146D"/>
    <w:rsid w:val="00573EAA"/>
    <w:rsid w:val="00590796"/>
    <w:rsid w:val="005C21FD"/>
    <w:rsid w:val="0060428C"/>
    <w:rsid w:val="00613C42"/>
    <w:rsid w:val="006875EF"/>
    <w:rsid w:val="006C1AC4"/>
    <w:rsid w:val="00736E2C"/>
    <w:rsid w:val="007739A9"/>
    <w:rsid w:val="007962E4"/>
    <w:rsid w:val="00810C0A"/>
    <w:rsid w:val="0081776D"/>
    <w:rsid w:val="00821D81"/>
    <w:rsid w:val="00891CD2"/>
    <w:rsid w:val="008F649C"/>
    <w:rsid w:val="00965C9F"/>
    <w:rsid w:val="009C4990"/>
    <w:rsid w:val="00A42C05"/>
    <w:rsid w:val="00A660A9"/>
    <w:rsid w:val="00AE05BA"/>
    <w:rsid w:val="00AE48E1"/>
    <w:rsid w:val="00B43299"/>
    <w:rsid w:val="00B759B7"/>
    <w:rsid w:val="00BA1C4F"/>
    <w:rsid w:val="00BC5A88"/>
    <w:rsid w:val="00BF170F"/>
    <w:rsid w:val="00C1348E"/>
    <w:rsid w:val="00C26775"/>
    <w:rsid w:val="00C3598D"/>
    <w:rsid w:val="00D02F49"/>
    <w:rsid w:val="00D1000C"/>
    <w:rsid w:val="00D242F2"/>
    <w:rsid w:val="00D53FA8"/>
    <w:rsid w:val="00DD3F6C"/>
    <w:rsid w:val="00DE3F60"/>
    <w:rsid w:val="00E351C8"/>
    <w:rsid w:val="00EE5A33"/>
    <w:rsid w:val="00F13E97"/>
    <w:rsid w:val="00F4130A"/>
    <w:rsid w:val="00F443B6"/>
    <w:rsid w:val="00F501B6"/>
    <w:rsid w:val="00F63583"/>
    <w:rsid w:val="00F7407B"/>
    <w:rsid w:val="00FC1A2A"/>
    <w:rsid w:val="00FC37DC"/>
    <w:rsid w:val="00FE12B3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23D757-FEAA-4350-B5DC-D3390438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267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22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43B6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rsid w:val="00F443B6"/>
    <w:pPr>
      <w:spacing w:before="100" w:beforeAutospacing="1" w:after="100" w:afterAutospacing="1"/>
    </w:pPr>
  </w:style>
  <w:style w:type="character" w:styleId="a5">
    <w:name w:val="FollowedHyperlink"/>
    <w:basedOn w:val="a0"/>
    <w:rsid w:val="00F443B6"/>
    <w:rPr>
      <w:color w:val="800080"/>
      <w:u w:val="single"/>
    </w:rPr>
  </w:style>
  <w:style w:type="paragraph" w:styleId="a6">
    <w:name w:val="footnote text"/>
    <w:basedOn w:val="a"/>
    <w:semiHidden/>
    <w:rsid w:val="008F649C"/>
    <w:rPr>
      <w:sz w:val="20"/>
      <w:szCs w:val="20"/>
    </w:rPr>
  </w:style>
  <w:style w:type="character" w:styleId="a7">
    <w:name w:val="footnote reference"/>
    <w:basedOn w:val="a0"/>
    <w:semiHidden/>
    <w:rsid w:val="008F649C"/>
    <w:rPr>
      <w:vertAlign w:val="superscript"/>
    </w:rPr>
  </w:style>
  <w:style w:type="character" w:styleId="a8">
    <w:name w:val="Emphasis"/>
    <w:basedOn w:val="a0"/>
    <w:qFormat/>
    <w:rsid w:val="006875EF"/>
    <w:rPr>
      <w:b/>
      <w:bCs/>
      <w:i w:val="0"/>
      <w:iCs w:val="0"/>
    </w:rPr>
  </w:style>
  <w:style w:type="paragraph" w:styleId="a9">
    <w:name w:val="footer"/>
    <w:basedOn w:val="a"/>
    <w:rsid w:val="00123BF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23BF0"/>
  </w:style>
  <w:style w:type="paragraph" w:styleId="20">
    <w:name w:val="toc 2"/>
    <w:basedOn w:val="a"/>
    <w:next w:val="a"/>
    <w:autoRedefine/>
    <w:semiHidden/>
    <w:rsid w:val="00FE4DFE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1223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885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7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214">
          <w:marLeft w:val="0"/>
          <w:marRight w:val="0"/>
          <w:marTop w:val="0"/>
          <w:marBottom w:val="0"/>
          <w:divBdr>
            <w:top w:val="single" w:sz="6" w:space="0" w:color="FEF5D5"/>
            <w:left w:val="single" w:sz="2" w:space="8" w:color="FEF5D5"/>
            <w:bottom w:val="single" w:sz="6" w:space="3" w:color="FEF5D5"/>
            <w:right w:val="single" w:sz="2" w:space="8" w:color="FEF5D5"/>
          </w:divBdr>
          <w:divsChild>
            <w:div w:id="15043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Архитектура бренда организует и структурирует портфель бренда, определяя роли брендов и природу отношений между ними (например, между брендами Citybank и MasterCard) и между разными контекстами товарного рынка (например, между грузовиками и легковыми авт</vt:lpstr>
    </vt:vector>
  </TitlesOfParts>
  <Company>MoBIL GROUP</Company>
  <LinksUpToDate>false</LinksUpToDate>
  <CharactersWithSpaces>3566</CharactersWithSpaces>
  <SharedDoc>false</SharedDoc>
  <HLinks>
    <vt:vector size="54" baseType="variant"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_Toc219986246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_Toc219986245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_Toc219986244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_Toc219986243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_Toc219986242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_Toc219986241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_Toc219986240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_Toc219986239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_Toc219986238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Архитектура бренда организует и структурирует портфель бренда, определяя роли брендов и природу отношений между ними (например, между брендами Citybank и MasterCard) и между разными контекстами товарного рынка (например, между грузовиками и легковыми авт</dc:title>
  <dc:subject/>
  <dc:creator>Admin</dc:creator>
  <cp:keywords/>
  <dc:description/>
  <cp:lastModifiedBy>Irina</cp:lastModifiedBy>
  <cp:revision>2</cp:revision>
  <dcterms:created xsi:type="dcterms:W3CDTF">2014-07-19T20:15:00Z</dcterms:created>
  <dcterms:modified xsi:type="dcterms:W3CDTF">2014-07-19T20:15:00Z</dcterms:modified>
</cp:coreProperties>
</file>