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25" w:rsidRDefault="00C86A25" w:rsidP="00B42E58">
      <w:pPr>
        <w:tabs>
          <w:tab w:val="left" w:pos="2925"/>
        </w:tabs>
        <w:spacing w:line="360" w:lineRule="auto"/>
        <w:ind w:firstLine="709"/>
        <w:jc w:val="center"/>
        <w:rPr>
          <w:bCs/>
          <w:sz w:val="28"/>
        </w:rPr>
      </w:pPr>
    </w:p>
    <w:p w:rsidR="00B42E58" w:rsidRDefault="00B42E58" w:rsidP="00B42E58">
      <w:pPr>
        <w:tabs>
          <w:tab w:val="left" w:pos="2925"/>
        </w:tabs>
        <w:spacing w:line="360" w:lineRule="auto"/>
        <w:ind w:firstLine="709"/>
        <w:jc w:val="center"/>
        <w:rPr>
          <w:bCs/>
          <w:sz w:val="28"/>
        </w:rPr>
      </w:pPr>
      <w:r>
        <w:rPr>
          <w:bCs/>
          <w:sz w:val="28"/>
        </w:rPr>
        <w:t>Формирование финансового плана предприятия</w:t>
      </w:r>
    </w:p>
    <w:p w:rsidR="00B42E58" w:rsidRDefault="00B42E58" w:rsidP="00B42E58">
      <w:pPr>
        <w:tabs>
          <w:tab w:val="left" w:pos="2925"/>
        </w:tabs>
        <w:spacing w:line="360" w:lineRule="auto"/>
        <w:ind w:firstLine="709"/>
        <w:jc w:val="center"/>
        <w:rPr>
          <w:bCs/>
          <w:sz w:val="28"/>
        </w:rPr>
      </w:pPr>
    </w:p>
    <w:p w:rsidR="00B42E58" w:rsidRPr="00C67B11" w:rsidRDefault="00B42E58" w:rsidP="00B42E58">
      <w:pPr>
        <w:ind w:firstLine="709"/>
        <w:jc w:val="both"/>
        <w:rPr>
          <w:bCs/>
        </w:rPr>
      </w:pPr>
      <w:r>
        <w:rPr>
          <w:bCs/>
          <w:sz w:val="28"/>
        </w:rPr>
        <w:t>2.1.Расчет суммы амортизационных отчислений на плановый период</w:t>
      </w:r>
      <w:r>
        <w:rPr>
          <w:bCs/>
        </w:rPr>
        <w:t xml:space="preserve"> </w:t>
      </w:r>
    </w:p>
    <w:p w:rsidR="00B42E58" w:rsidRPr="00C67B11" w:rsidRDefault="00B42E58" w:rsidP="00B42E58">
      <w:pPr>
        <w:ind w:firstLine="709"/>
        <w:jc w:val="both"/>
        <w:rPr>
          <w:bCs/>
        </w:rPr>
      </w:pPr>
    </w:p>
    <w:p w:rsidR="00B42E58" w:rsidRDefault="00B42E58" w:rsidP="00B42E58">
      <w:pPr>
        <w:ind w:firstLine="720"/>
        <w:jc w:val="both"/>
      </w:pPr>
    </w:p>
    <w:p w:rsidR="00B42E58" w:rsidRDefault="00B42E58" w:rsidP="00B42E58">
      <w:pPr>
        <w:pStyle w:val="a4"/>
        <w:rPr>
          <w:szCs w:val="28"/>
        </w:rPr>
      </w:pPr>
      <w:r>
        <w:rPr>
          <w:szCs w:val="28"/>
        </w:rPr>
        <w:t>Балансовая стоимость основных фондов – это оценка основных фондов в денежном выражении в бухгалтерском балансе. Для отдельного объекта основных фондов балансовая стоимость определяют по формуле:</w:t>
      </w:r>
    </w:p>
    <w:p w:rsidR="00B42E58" w:rsidRDefault="00B42E58" w:rsidP="00B42E58">
      <w:pPr>
        <w:spacing w:line="360" w:lineRule="auto"/>
        <w:ind w:firstLine="709"/>
        <w:jc w:val="center"/>
      </w:pPr>
      <w:r>
        <w:rPr>
          <w:position w:val="-14"/>
        </w:rPr>
        <w:object w:dxaOrig="27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22.5pt" o:ole="">
            <v:imagedata r:id="rId5" o:title=""/>
          </v:shape>
          <o:OLEObject Type="Embed" ProgID="Equation.3" ShapeID="_x0000_i1025" DrawAspect="Content" ObjectID="_1462689553" r:id="rId6"/>
        </w:objec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об</w:t>
      </w:r>
      <w:r>
        <w:rPr>
          <w:sz w:val="28"/>
          <w:szCs w:val="28"/>
        </w:rPr>
        <w:t xml:space="preserve"> –  стоимость приобретенного оборудования; </w: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мр</w:t>
      </w:r>
      <w:r>
        <w:rPr>
          <w:sz w:val="28"/>
          <w:szCs w:val="28"/>
        </w:rPr>
        <w:t xml:space="preserve"> – стоимость монтажных работ; </w: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З</w:t>
      </w:r>
      <w:r>
        <w:rPr>
          <w:i/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– затраты на транспортировку;  </w: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З</w:t>
      </w:r>
      <w:r>
        <w:rPr>
          <w:i/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– прочие затраты.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согласно условиям задачи балансовая стоимость приобретенного оборудования составит: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>
        <w:rPr>
          <w:i/>
          <w:sz w:val="28"/>
          <w:szCs w:val="28"/>
          <w:vertAlign w:val="subscript"/>
        </w:rPr>
        <w:t>перв</w:t>
      </w:r>
      <w:r>
        <w:rPr>
          <w:sz w:val="28"/>
          <w:szCs w:val="28"/>
        </w:rPr>
        <w:t xml:space="preserve"> = 248,6 + 70,0 + 30,0 = 348,6 тыс. руб. 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стоимость вводимых в действие основных фондов определяется по формуле:</w:t>
      </w:r>
    </w:p>
    <w:p w:rsidR="00B42E58" w:rsidRDefault="00B42E58" w:rsidP="00B42E5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380" w:dyaOrig="620">
          <v:shape id="_x0000_i1026" type="#_x0000_t75" style="width:73.5pt;height:33.75pt" o:ole="">
            <v:imagedata r:id="rId7" o:title=""/>
          </v:shape>
          <o:OLEObject Type="Embed" ProgID="Equation.3" ShapeID="_x0000_i1026" DrawAspect="Content" ObjectID="_1462689554" r:id="rId8"/>
        </w:object>
      </w:r>
    </w:p>
    <w:p w:rsidR="00B42E58" w:rsidRDefault="00B42E58" w:rsidP="00B42E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380" w:dyaOrig="380">
          <v:shape id="_x0000_i1027" type="#_x0000_t75" style="width:19.5pt;height:19.5pt" o:ole="">
            <v:imagedata r:id="rId9" o:title=""/>
          </v:shape>
          <o:OLEObject Type="Embed" ProgID="Equation.3" ShapeID="_x0000_i1027" DrawAspect="Content" ObjectID="_1462689555" r:id="rId10"/>
        </w:object>
      </w:r>
      <w:r>
        <w:rPr>
          <w:sz w:val="28"/>
          <w:szCs w:val="28"/>
        </w:rPr>
        <w:t>– среднегодовая стоимость вводимых основных фондов;</w:t>
      </w:r>
    </w:p>
    <w:p w:rsidR="00B42E58" w:rsidRDefault="00B42E58" w:rsidP="00B42E58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Ф</w:t>
      </w:r>
      <w:r>
        <w:rPr>
          <w:i/>
          <w:sz w:val="28"/>
          <w:szCs w:val="28"/>
          <w:vertAlign w:val="subscript"/>
        </w:rPr>
        <w:t>вв</w:t>
      </w:r>
      <w:r>
        <w:rPr>
          <w:sz w:val="28"/>
          <w:szCs w:val="28"/>
        </w:rPr>
        <w:t xml:space="preserve"> – стоимость вводимых основных фондов;</w:t>
      </w:r>
    </w:p>
    <w:p w:rsidR="00B42E58" w:rsidRDefault="00B42E58" w:rsidP="00B42E58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число месяцев, в течение которых будут эксплуатироваться вводимые в эксплуатацию основные фонды.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согласно условиям задачи среднегодовая стоимость вводимого металлорежущего станка класса Н составит: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3400" w:dyaOrig="620">
          <v:shape id="_x0000_i1028" type="#_x0000_t75" style="width:183pt;height:33.75pt" o:ole="">
            <v:imagedata r:id="rId11" o:title=""/>
          </v:shape>
          <o:OLEObject Type="Embed" ProgID="Equation.3" ShapeID="_x0000_i1028" DrawAspect="Content" ObjectID="_1462689556" r:id="rId12"/>
        </w:objec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стоимость всех введенных ОФ дана в условиях задачи и составляет 2293 тыс. руб.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стоимость выбывших основных фондов определяется по формуле:</w:t>
      </w:r>
    </w:p>
    <w:p w:rsidR="00B42E58" w:rsidRDefault="00B42E58" w:rsidP="00B42E5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640" w:dyaOrig="620">
          <v:shape id="_x0000_i1029" type="#_x0000_t75" style="width:87pt;height:33.75pt" o:ole="">
            <v:imagedata r:id="rId13" o:title=""/>
          </v:shape>
          <o:OLEObject Type="Embed" ProgID="Equation.3" ShapeID="_x0000_i1029" DrawAspect="Content" ObjectID="_1462689557" r:id="rId14"/>
        </w:object>
      </w:r>
    </w:p>
    <w:p w:rsidR="00B42E58" w:rsidRDefault="00B42E58" w:rsidP="00B42E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80" w:dyaOrig="380">
          <v:shape id="_x0000_i1030" type="#_x0000_t75" style="width:27.75pt;height:21.75pt" o:ole="">
            <v:imagedata r:id="rId15" o:title=""/>
          </v:shape>
          <o:OLEObject Type="Embed" ProgID="Equation.3" ShapeID="_x0000_i1030" DrawAspect="Content" ObjectID="_1462689558" r:id="rId16"/>
        </w:object>
      </w:r>
      <w:r>
        <w:rPr>
          <w:sz w:val="28"/>
          <w:szCs w:val="28"/>
        </w:rPr>
        <w:t>– среднегодовая стоимость выбывших основных фондов;</w:t>
      </w:r>
    </w:p>
    <w:p w:rsidR="00B42E58" w:rsidRDefault="00B42E58" w:rsidP="00B42E58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Ф</w:t>
      </w:r>
      <w:r>
        <w:rPr>
          <w:i/>
          <w:sz w:val="28"/>
          <w:szCs w:val="28"/>
          <w:vertAlign w:val="subscript"/>
        </w:rPr>
        <w:t>выб</w:t>
      </w:r>
      <w:r>
        <w:rPr>
          <w:sz w:val="28"/>
          <w:szCs w:val="28"/>
        </w:rPr>
        <w:t xml:space="preserve"> – стоимость выбывших основных фондов;</w: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число месяцев, остающихся до конца года со времени намечаемого выбытия основных фондов.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согласно условиям задачи среднегодовая стоимость выбывшего металлорежущего станка класса Н составит: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3560" w:dyaOrig="620">
          <v:shape id="_x0000_i1031" type="#_x0000_t75" style="width:195pt;height:33.75pt" o:ole="">
            <v:imagedata r:id="rId17" o:title=""/>
          </v:shape>
          <o:OLEObject Type="Embed" ProgID="Equation.3" ShapeID="_x0000_i1031" DrawAspect="Content" ObjectID="_1462689559" r:id="rId18"/>
        </w:objec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стоимость всех выбывших ОФ дана в условиях задачи и составляет 913 тыс. руб.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стоимость основных фондов складывается из их стоимости на начало планируемого периода и среднегодовой стоимости вводимых в действие в планируемом за вычетом среднегодовой стоимости выбывших основных фондов или по формуле:</w:t>
      </w:r>
    </w:p>
    <w:p w:rsidR="00B42E58" w:rsidRDefault="00B42E58" w:rsidP="00B42E58">
      <w:pPr>
        <w:pStyle w:val="2"/>
        <w:spacing w:line="360" w:lineRule="auto"/>
        <w:ind w:left="68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2960" w:dyaOrig="620">
          <v:shape id="_x0000_i1032" type="#_x0000_t75" style="width:156.75pt;height:33.75pt" o:ole="">
            <v:imagedata r:id="rId19" o:title=""/>
          </v:shape>
          <o:OLEObject Type="Embed" ProgID="Equation.3" ShapeID="_x0000_i1032" DrawAspect="Content" ObjectID="_1462689560" r:id="rId20"/>
        </w:objec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4"/>
          <w:sz w:val="28"/>
          <w:szCs w:val="28"/>
        </w:rPr>
        <w:object w:dxaOrig="300" w:dyaOrig="300">
          <v:shape id="_x0000_i1033" type="#_x0000_t75" style="width:15pt;height:15pt" o:ole="">
            <v:imagedata r:id="rId21" o:title=""/>
          </v:shape>
          <o:OLEObject Type="Embed" ProgID="Equation.3" ShapeID="_x0000_i1033" DrawAspect="Content" ObjectID="_1462689561" r:id="rId22"/>
        </w:object>
      </w:r>
      <w:r>
        <w:rPr>
          <w:sz w:val="28"/>
          <w:szCs w:val="28"/>
        </w:rPr>
        <w:t xml:space="preserve"> –  среднегодовая стоимость основных фондов;</w: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Ф</w:t>
      </w:r>
      <w:r>
        <w:rPr>
          <w:i/>
          <w:sz w:val="28"/>
          <w:szCs w:val="28"/>
          <w:vertAlign w:val="subscript"/>
        </w:rPr>
        <w:t>нг</w:t>
      </w:r>
      <w:r>
        <w:rPr>
          <w:sz w:val="28"/>
          <w:szCs w:val="28"/>
        </w:rPr>
        <w:t xml:space="preserve"> – стоимость основных фондов на начало года.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согласно условиям задачи среднегодовая стоимость металлорежущих станков класса Н составит: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980" w:dyaOrig="380">
          <v:shape id="_x0000_i1034" type="#_x0000_t75" style="width:264.75pt;height:20.25pt" o:ole="">
            <v:imagedata r:id="rId23" o:title=""/>
          </v:shape>
          <o:OLEObject Type="Embed" ProgID="Equation.3" ShapeID="_x0000_i1034" DrawAspect="Content" ObjectID="_1462689562" r:id="rId24"/>
        </w:objec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стоимость всех основных фондов составит: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4220" w:dyaOrig="360">
          <v:shape id="_x0000_i1035" type="#_x0000_t75" style="width:226.5pt;height:19.5pt" o:ole="">
            <v:imagedata r:id="rId25" o:title=""/>
          </v:shape>
          <o:OLEObject Type="Embed" ProgID="Equation.3" ShapeID="_x0000_i1035" DrawAspect="Content" ObjectID="_1462689563" r:id="rId26"/>
        </w:objec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амортизационных отчислений на планируемый период рассчитывается путем умножения среднегодовой стоимости фондов на соответствующие нормы амортизационных отчислений с учетом поправочных коэффициентов или по формуле:</w:t>
      </w:r>
    </w:p>
    <w:p w:rsidR="00B42E58" w:rsidRDefault="00B42E58" w:rsidP="00B42E5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780" w:dyaOrig="660">
          <v:shape id="_x0000_i1036" type="#_x0000_t75" style="width:92.25pt;height:34.5pt" o:ole="">
            <v:imagedata r:id="rId27" o:title=""/>
          </v:shape>
          <o:OLEObject Type="Embed" ProgID="Equation.3" ShapeID="_x0000_i1036" DrawAspect="Content" ObjectID="_1462689564" r:id="rId28"/>
        </w:objec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АО</w:t>
      </w:r>
      <w:r>
        <w:rPr>
          <w:sz w:val="28"/>
          <w:szCs w:val="28"/>
        </w:rPr>
        <w:t xml:space="preserve"> – сумма амортизационных отчислений;</w: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</w:t>
      </w:r>
      <w:r>
        <w:rPr>
          <w:i/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– норма амортизации;</w: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поправочный коэффициент.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согласно условиям задачи сумма амортизационных отчислений по металлорежущим станкам класса Н на планируемый год составит: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4000" w:dyaOrig="320">
          <v:shape id="_x0000_i1037" type="#_x0000_t75" style="width:228pt;height:17.25pt" o:ole="">
            <v:imagedata r:id="rId29" o:title=""/>
          </v:shape>
          <o:OLEObject Type="Embed" ProgID="Equation.3" ShapeID="_x0000_i1037" DrawAspect="Content" ObjectID="_1462689565" r:id="rId30"/>
        </w:object>
      </w:r>
    </w:p>
    <w:p w:rsidR="00B42E58" w:rsidRDefault="00B42E58" w:rsidP="00B42E58">
      <w:pPr>
        <w:pStyle w:val="1"/>
      </w:pPr>
      <w:r>
        <w:t>Рассчитанные показатели приведены в таблице 1.</w:t>
      </w:r>
    </w:p>
    <w:p w:rsidR="00B42E58" w:rsidRDefault="00B42E58" w:rsidP="00B42E58">
      <w:pPr>
        <w:spacing w:line="360" w:lineRule="auto"/>
        <w:jc w:val="right"/>
      </w:pPr>
      <w:r>
        <w:rPr>
          <w:sz w:val="28"/>
          <w:szCs w:val="28"/>
        </w:rPr>
        <w:t>Таблица 1.</w:t>
      </w:r>
    </w:p>
    <w:p w:rsidR="00B42E58" w:rsidRDefault="00B42E58" w:rsidP="00B42E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Расчет суммы амортизационных отчислений на плановый период</w:t>
      </w:r>
    </w:p>
    <w:p w:rsidR="00B42E58" w:rsidRPr="00C67B11" w:rsidRDefault="00B42E58" w:rsidP="00B42E58">
      <w:pPr>
        <w:spacing w:line="360" w:lineRule="auto"/>
        <w:rPr>
          <w:sz w:val="28"/>
        </w:rPr>
      </w:pPr>
    </w:p>
    <w:tbl>
      <w:tblPr>
        <w:tblpPr w:leftFromText="180" w:rightFromText="180" w:vertAnchor="page" w:horzAnchor="margin" w:tblpY="8335"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1381"/>
        <w:gridCol w:w="1015"/>
        <w:gridCol w:w="1276"/>
        <w:gridCol w:w="1276"/>
        <w:gridCol w:w="1201"/>
        <w:gridCol w:w="900"/>
        <w:gridCol w:w="1080"/>
        <w:gridCol w:w="1494"/>
      </w:tblGrid>
      <w:tr w:rsidR="00B42E58" w:rsidTr="00B42E5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фонды и нематери-альные активы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Балансо-вая стои-мость на начало года,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Среднего-довая стоимость вводимых основных фондов,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Среднего-довая стоимость выбывших основных фондов, тыс. руб.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стоимость основных фондов в плановом году, 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аморти-зации,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Поправоч-ный коэффици-ент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амортизации-онных отчислений, тыс. руб.</w:t>
            </w:r>
          </w:p>
        </w:tc>
      </w:tr>
      <w:tr w:rsidR="00B42E58" w:rsidTr="00B42E5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Металлоре-жущие специализи-рованные станки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819,5</w:t>
            </w:r>
          </w:p>
        </w:tc>
      </w:tr>
      <w:tr w:rsidR="00B42E58" w:rsidTr="00B42E58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основные фонды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8816</w:t>
            </w:r>
          </w:p>
        </w:tc>
      </w:tr>
      <w:tr w:rsidR="00B42E58" w:rsidTr="00B42E58">
        <w:trPr>
          <w:trHeight w:val="70"/>
        </w:trPr>
        <w:tc>
          <w:tcPr>
            <w:tcW w:w="10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58" w:rsidRDefault="00B42E58" w:rsidP="00B42E5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амортизационных отчислений за квартал:                                                                                              2204</w:t>
            </w:r>
          </w:p>
        </w:tc>
      </w:tr>
    </w:tbl>
    <w:p w:rsidR="00B42E58" w:rsidRDefault="00B42E58" w:rsidP="00B42E58">
      <w:pPr>
        <w:numPr>
          <w:ilvl w:val="1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Расчёт суммы отчислений в ремонтный фонд.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суммы отчислений в ремонтный фонд на плановый период производится по формуле:</w:t>
      </w:r>
    </w:p>
    <w:p w:rsidR="00B42E58" w:rsidRDefault="00B42E58" w:rsidP="00B42E5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620" w:dyaOrig="660">
          <v:shape id="_x0000_i1038" type="#_x0000_t75" style="width:83.25pt;height:34.5pt" o:ole="">
            <v:imagedata r:id="rId31" o:title=""/>
          </v:shape>
          <o:OLEObject Type="Embed" ProgID="Equation.3" ShapeID="_x0000_i1038" DrawAspect="Content" ObjectID="_1462689566" r:id="rId32"/>
        </w:objec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РФ</w:t>
      </w:r>
      <w:r>
        <w:rPr>
          <w:sz w:val="28"/>
          <w:szCs w:val="28"/>
        </w:rPr>
        <w:t xml:space="preserve"> – сумма отчислений в ремонтный фонд;</w: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</w:t>
      </w:r>
      <w:r>
        <w:rPr>
          <w:i/>
          <w:sz w:val="28"/>
          <w:szCs w:val="28"/>
          <w:vertAlign w:val="subscript"/>
        </w:rPr>
        <w:t>РФ</w:t>
      </w:r>
      <w:r>
        <w:rPr>
          <w:sz w:val="28"/>
          <w:szCs w:val="28"/>
        </w:rPr>
        <w:t xml:space="preserve"> – норматив отчислений в ремонтный фонд.</w:t>
      </w:r>
    </w:p>
    <w:p w:rsidR="00B42E58" w:rsidRDefault="00B42E58" w:rsidP="00B42E58">
      <w:pPr>
        <w:spacing w:line="360" w:lineRule="auto"/>
        <w:jc w:val="both"/>
      </w:pPr>
    </w:p>
    <w:p w:rsidR="00B42E58" w:rsidRDefault="00B42E58" w:rsidP="00B42E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Отчисления в ремонтный фонд за год= 2%* </w:t>
      </w:r>
      <w:r>
        <w:rPr>
          <w:position w:val="-10"/>
          <w:sz w:val="28"/>
        </w:rPr>
        <w:object w:dxaOrig="4080" w:dyaOrig="380">
          <v:shape id="_x0000_i1039" type="#_x0000_t75" style="width:204pt;height:18.75pt" o:ole="">
            <v:imagedata r:id="rId33" o:title=""/>
          </v:shape>
          <o:OLEObject Type="Embed" ProgID="Equation.3" ShapeID="_x0000_i1039" DrawAspect="Content" ObjectID="_1462689567" r:id="rId34"/>
        </w:object>
      </w:r>
      <w:r>
        <w:rPr>
          <w:sz w:val="28"/>
        </w:rPr>
        <w:t xml:space="preserve"> 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Отчисления в ремонтный фонд за квартал = </w:t>
      </w:r>
      <w:r>
        <w:rPr>
          <w:position w:val="-24"/>
          <w:sz w:val="28"/>
        </w:rPr>
        <w:object w:dxaOrig="2520" w:dyaOrig="620">
          <v:shape id="_x0000_i1040" type="#_x0000_t75" style="width:126pt;height:30.75pt" o:ole="">
            <v:imagedata r:id="rId35" o:title=""/>
          </v:shape>
          <o:OLEObject Type="Embed" ProgID="Equation.3" ShapeID="_x0000_i1040" DrawAspect="Content" ObjectID="_1462689568" r:id="rId36"/>
        </w:object>
      </w:r>
    </w:p>
    <w:p w:rsidR="00B42E58" w:rsidRDefault="00B42E58" w:rsidP="00B42E58">
      <w:pPr>
        <w:pStyle w:val="20"/>
        <w:ind w:firstLine="709"/>
        <w:jc w:val="left"/>
      </w:pPr>
      <w:r>
        <w:t>2.3.Расчёт плановой суммы прибыли.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Прибыль от реализации продукции определяется по формуле:</w:t>
      </w:r>
    </w:p>
    <w:p w:rsidR="00B42E58" w:rsidRDefault="00B42E58" w:rsidP="00B42E58">
      <w:pPr>
        <w:spacing w:line="360" w:lineRule="auto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980" w:dyaOrig="320">
          <v:shape id="_x0000_i1041" type="#_x0000_t75" style="width:109.5pt;height:17.25pt" o:ole="">
            <v:imagedata r:id="rId37" o:title=""/>
          </v:shape>
          <o:OLEObject Type="Embed" ProgID="Equation.3" ShapeID="_x0000_i1041" DrawAspect="Content" ObjectID="_1462689569" r:id="rId38"/>
        </w:objec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>П</w:t>
      </w:r>
      <w:r>
        <w:rPr>
          <w:sz w:val="28"/>
          <w:szCs w:val="28"/>
        </w:rPr>
        <w:t xml:space="preserve"> – прибыль от реализации продукции;</w: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– выручка от реализации продукции;</w: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НДС</w:t>
      </w:r>
      <w:r>
        <w:rPr>
          <w:sz w:val="28"/>
          <w:szCs w:val="28"/>
        </w:rPr>
        <w:t xml:space="preserve"> – налог на добавленную стоимость;</w:t>
      </w:r>
    </w:p>
    <w:p w:rsidR="00B42E58" w:rsidRDefault="00B42E58" w:rsidP="00B42E58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с/с</w:t>
      </w:r>
      <w:r>
        <w:rPr>
          <w:sz w:val="28"/>
          <w:szCs w:val="28"/>
        </w:rPr>
        <w:t xml:space="preserve"> – себестоимость продукции.</w:t>
      </w:r>
    </w:p>
    <w:p w:rsidR="00B42E58" w:rsidRDefault="00B42E58" w:rsidP="00B42E58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Выкрутка НДС= </w:t>
      </w:r>
      <w:r>
        <w:rPr>
          <w:position w:val="-24"/>
          <w:sz w:val="28"/>
        </w:rPr>
        <w:object w:dxaOrig="3540" w:dyaOrig="620">
          <v:shape id="_x0000_i1042" type="#_x0000_t75" style="width:177pt;height:30.75pt" o:ole="">
            <v:imagedata r:id="rId39" o:title=""/>
          </v:shape>
          <o:OLEObject Type="Embed" ProgID="Equation.3" ShapeID="_x0000_i1042" DrawAspect="Content" ObjectID="_1462689570" r:id="rId40"/>
        </w:object>
      </w:r>
      <w:r>
        <w:rPr>
          <w:sz w:val="28"/>
        </w:rPr>
        <w:br w:type="textWrapping" w:clear="all"/>
        <w:t xml:space="preserve">Прибыль = </w:t>
      </w:r>
      <w:r>
        <w:rPr>
          <w:position w:val="-10"/>
          <w:sz w:val="28"/>
        </w:rPr>
        <w:object w:dxaOrig="5400" w:dyaOrig="320">
          <v:shape id="_x0000_i1043" type="#_x0000_t75" style="width:270pt;height:15.75pt" o:ole="">
            <v:imagedata r:id="rId41" o:title=""/>
          </v:shape>
          <o:OLEObject Type="Embed" ProgID="Equation.3" ShapeID="_x0000_i1043" DrawAspect="Content" ObjectID="_1462689571" r:id="rId42"/>
        </w:object>
      </w:r>
      <w:r>
        <w:rPr>
          <w:sz w:val="28"/>
        </w:rPr>
        <w:t xml:space="preserve">  </w:t>
      </w:r>
    </w:p>
    <w:p w:rsidR="00B42E58" w:rsidRDefault="00B42E58" w:rsidP="00B42E58">
      <w:pPr>
        <w:pStyle w:val="a3"/>
        <w:ind w:firstLine="709"/>
      </w:pPr>
      <w:r>
        <w:t>2.4. Расчет необходимого прироста оборотных средств в плановом квартале.</w:t>
      </w:r>
    </w:p>
    <w:p w:rsidR="00B42E58" w:rsidRDefault="00B42E58" w:rsidP="00B42E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потребность в оборотных средствах рассчитывается путем суммирования потребности в оборотных средствах для создания текущего запаса, транспортного запаса, страхового запаса, запаса готовой продукции, потребность в средствах НЗП, в средствах по МБП, в таре, по кассе и расходов будущих периодов.</w:t>
      </w:r>
    </w:p>
    <w:p w:rsidR="00B42E58" w:rsidRDefault="00B42E58" w:rsidP="00B42E58">
      <w:pPr>
        <w:pStyle w:val="a3"/>
        <w:ind w:firstLine="709"/>
        <w:jc w:val="center"/>
        <w:rPr>
          <w:b/>
          <w:bCs/>
        </w:rPr>
      </w:pPr>
      <w:r>
        <w:t>Исходные данные: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6677"/>
        <w:gridCol w:w="1800"/>
      </w:tblGrid>
      <w:tr w:rsidR="00B42E58" w:rsidTr="00B42E58">
        <w:trPr>
          <w:trHeight w:val="174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42E58" w:rsidRDefault="00B42E58" w:rsidP="00B4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</w:tr>
      <w:tr w:rsidR="00B42E58" w:rsidTr="00B42E58">
        <w:trPr>
          <w:trHeight w:val="19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58" w:rsidRDefault="00B42E58" w:rsidP="00B42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Расход сырья и материалов на квартал; тыс.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E58" w:rsidRDefault="00B42E58" w:rsidP="00B42E5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21021</w:t>
            </w:r>
          </w:p>
        </w:tc>
      </w:tr>
      <w:tr w:rsidR="00B42E58" w:rsidTr="00B42E58">
        <w:trPr>
          <w:trHeight w:val="124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58" w:rsidRDefault="00B42E58" w:rsidP="00B42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Норма запаса; дни.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E58" w:rsidRDefault="00B42E58" w:rsidP="00B42E5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B42E58" w:rsidTr="00B42E58">
        <w:trPr>
          <w:trHeight w:val="24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58" w:rsidRDefault="00B42E58" w:rsidP="00B42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Выпуск продукции по себестоимости на квартал; тыс.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E58" w:rsidRDefault="00B42E58" w:rsidP="00B42E5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25608</w:t>
            </w:r>
          </w:p>
        </w:tc>
      </w:tr>
      <w:tr w:rsidR="00B42E58" w:rsidTr="00B42E58">
        <w:trPr>
          <w:trHeight w:val="31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58" w:rsidRDefault="00B42E58" w:rsidP="00B42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 Норма незавершенного производства; дни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E58" w:rsidRDefault="00B42E58" w:rsidP="00B42E5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42E58" w:rsidTr="00B42E58">
        <w:trPr>
          <w:trHeight w:val="349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58" w:rsidRDefault="00B42E58" w:rsidP="00B42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 Норма оборотных средств по готовой продукции; дни.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E58" w:rsidRDefault="00B42E58" w:rsidP="00B42E5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2E58" w:rsidTr="00B42E58">
        <w:trPr>
          <w:trHeight w:val="208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58" w:rsidRDefault="00B42E58" w:rsidP="00B42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 Однодневный оборот товаров по покупным ценам; тыс.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E58" w:rsidRDefault="00B42E58" w:rsidP="00B42E5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B42E58" w:rsidTr="00B42E58">
        <w:trPr>
          <w:trHeight w:val="13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58" w:rsidRDefault="00B42E58" w:rsidP="00B42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 Норма запасов товаров; дни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E58" w:rsidRDefault="00B42E58" w:rsidP="00B42E5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42E58" w:rsidTr="00B42E58">
        <w:trPr>
          <w:trHeight w:val="31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58" w:rsidRDefault="00B42E58" w:rsidP="00B42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 Однодневный товарооборот ; тыс.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E58" w:rsidRDefault="00B42E58" w:rsidP="00B42E5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B42E58" w:rsidTr="00B42E58">
        <w:trPr>
          <w:trHeight w:val="31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58" w:rsidRDefault="00B42E58" w:rsidP="00B42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 Норма запасов денежных средств; дни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E58" w:rsidRDefault="00B42E58" w:rsidP="00B42E5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2E58" w:rsidTr="00B42E58">
        <w:trPr>
          <w:trHeight w:val="31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58" w:rsidRDefault="00B42E58" w:rsidP="00B42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 МБП; тыс.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E58" w:rsidRDefault="00B42E58" w:rsidP="00B42E5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</w:t>
            </w:r>
          </w:p>
        </w:tc>
      </w:tr>
      <w:tr w:rsidR="00B42E58" w:rsidTr="00B42E58">
        <w:trPr>
          <w:trHeight w:val="31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58" w:rsidRDefault="00B42E58" w:rsidP="00B42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 Тара; тыс.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E58" w:rsidRDefault="00B42E58" w:rsidP="00B42E5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B42E58" w:rsidTr="00B42E58">
        <w:trPr>
          <w:trHeight w:val="315"/>
        </w:trPr>
        <w:tc>
          <w:tcPr>
            <w:tcW w:w="6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2E58" w:rsidRDefault="00B42E58" w:rsidP="00B42E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 Расходы будущих периодов; тыс. 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E58" w:rsidRDefault="00B42E58" w:rsidP="00B42E58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</w:tbl>
    <w:p w:rsidR="00251D4A" w:rsidRDefault="00251D4A">
      <w:bookmarkStart w:id="0" w:name="_GoBack"/>
      <w:bookmarkEnd w:id="0"/>
    </w:p>
    <w:sectPr w:rsidR="0025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D1F57"/>
    <w:multiLevelType w:val="hybridMultilevel"/>
    <w:tmpl w:val="E0ACBC8C"/>
    <w:lvl w:ilvl="0" w:tplc="C4E418D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51E41526">
      <w:numFmt w:val="none"/>
      <w:lvlText w:val=""/>
      <w:lvlJc w:val="left"/>
      <w:pPr>
        <w:tabs>
          <w:tab w:val="num" w:pos="360"/>
        </w:tabs>
      </w:pPr>
    </w:lvl>
    <w:lvl w:ilvl="2" w:tplc="D146FB8E">
      <w:numFmt w:val="none"/>
      <w:lvlText w:val=""/>
      <w:lvlJc w:val="left"/>
      <w:pPr>
        <w:tabs>
          <w:tab w:val="num" w:pos="360"/>
        </w:tabs>
      </w:pPr>
    </w:lvl>
    <w:lvl w:ilvl="3" w:tplc="067E5116">
      <w:numFmt w:val="none"/>
      <w:lvlText w:val=""/>
      <w:lvlJc w:val="left"/>
      <w:pPr>
        <w:tabs>
          <w:tab w:val="num" w:pos="360"/>
        </w:tabs>
      </w:pPr>
    </w:lvl>
    <w:lvl w:ilvl="4" w:tplc="526C4846">
      <w:numFmt w:val="none"/>
      <w:lvlText w:val=""/>
      <w:lvlJc w:val="left"/>
      <w:pPr>
        <w:tabs>
          <w:tab w:val="num" w:pos="360"/>
        </w:tabs>
      </w:pPr>
    </w:lvl>
    <w:lvl w:ilvl="5" w:tplc="38880420">
      <w:numFmt w:val="none"/>
      <w:lvlText w:val=""/>
      <w:lvlJc w:val="left"/>
      <w:pPr>
        <w:tabs>
          <w:tab w:val="num" w:pos="360"/>
        </w:tabs>
      </w:pPr>
    </w:lvl>
    <w:lvl w:ilvl="6" w:tplc="814A8FB6">
      <w:numFmt w:val="none"/>
      <w:lvlText w:val=""/>
      <w:lvlJc w:val="left"/>
      <w:pPr>
        <w:tabs>
          <w:tab w:val="num" w:pos="360"/>
        </w:tabs>
      </w:pPr>
    </w:lvl>
    <w:lvl w:ilvl="7" w:tplc="B086BB2A">
      <w:numFmt w:val="none"/>
      <w:lvlText w:val=""/>
      <w:lvlJc w:val="left"/>
      <w:pPr>
        <w:tabs>
          <w:tab w:val="num" w:pos="360"/>
        </w:tabs>
      </w:pPr>
    </w:lvl>
    <w:lvl w:ilvl="8" w:tplc="E3CEEA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E58"/>
    <w:rsid w:val="00251D4A"/>
    <w:rsid w:val="00B178C3"/>
    <w:rsid w:val="00B42E58"/>
    <w:rsid w:val="00B52DFF"/>
    <w:rsid w:val="00C86A25"/>
    <w:rsid w:val="00C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2404C8C6-D377-42BB-9036-24DAE5EC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E58"/>
    <w:rPr>
      <w:sz w:val="24"/>
      <w:szCs w:val="24"/>
    </w:rPr>
  </w:style>
  <w:style w:type="paragraph" w:styleId="1">
    <w:name w:val="heading 1"/>
    <w:basedOn w:val="a"/>
    <w:next w:val="a"/>
    <w:qFormat/>
    <w:rsid w:val="00B42E58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42E58"/>
    <w:pPr>
      <w:spacing w:line="300" w:lineRule="exact"/>
      <w:ind w:firstLine="567"/>
      <w:jc w:val="both"/>
    </w:pPr>
    <w:rPr>
      <w:spacing w:val="12"/>
      <w:sz w:val="27"/>
      <w:szCs w:val="20"/>
    </w:rPr>
  </w:style>
  <w:style w:type="paragraph" w:styleId="a3">
    <w:name w:val="Body Text"/>
    <w:basedOn w:val="a"/>
    <w:rsid w:val="00B42E58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rsid w:val="00B42E58"/>
    <w:pPr>
      <w:spacing w:line="360" w:lineRule="auto"/>
      <w:ind w:firstLine="709"/>
      <w:jc w:val="both"/>
    </w:pPr>
    <w:rPr>
      <w:sz w:val="28"/>
    </w:rPr>
  </w:style>
  <w:style w:type="paragraph" w:styleId="20">
    <w:name w:val="Body Text 2"/>
    <w:basedOn w:val="a"/>
    <w:rsid w:val="00B42E58"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финансового плана предприятия</vt:lpstr>
    </vt:vector>
  </TitlesOfParts>
  <Company>MoBIL GROUP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финансового плана предприятия</dc:title>
  <dc:subject/>
  <dc:creator>Саша</dc:creator>
  <cp:keywords/>
  <dc:description/>
  <cp:lastModifiedBy>admin</cp:lastModifiedBy>
  <cp:revision>2</cp:revision>
  <dcterms:created xsi:type="dcterms:W3CDTF">2014-05-27T06:52:00Z</dcterms:created>
  <dcterms:modified xsi:type="dcterms:W3CDTF">2014-05-27T06:52:00Z</dcterms:modified>
</cp:coreProperties>
</file>