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62" w:rsidRDefault="004A0C62" w:rsidP="008C3895">
      <w:pPr>
        <w:ind w:left="-1418" w:right="-143"/>
        <w:jc w:val="center"/>
        <w:rPr>
          <w:rFonts w:ascii="Times New Roman" w:hAnsi="Times New Roman"/>
          <w:sz w:val="26"/>
          <w:szCs w:val="26"/>
        </w:rPr>
      </w:pPr>
    </w:p>
    <w:p w:rsidR="00CF55AA" w:rsidRDefault="00CF55AA" w:rsidP="008C3895">
      <w:pPr>
        <w:ind w:left="-1418" w:right="-143"/>
        <w:jc w:val="center"/>
        <w:rPr>
          <w:rFonts w:ascii="Times New Roman" w:hAnsi="Times New Roman"/>
          <w:sz w:val="26"/>
          <w:szCs w:val="26"/>
        </w:rPr>
      </w:pPr>
    </w:p>
    <w:p w:rsidR="00CF55AA" w:rsidRPr="007963A5" w:rsidRDefault="00CF55AA" w:rsidP="000967C6">
      <w:pPr>
        <w:ind w:left="-1418"/>
        <w:jc w:val="center"/>
        <w:rPr>
          <w:rFonts w:ascii="Times New Roman" w:hAnsi="Times New Roman"/>
          <w:sz w:val="26"/>
          <w:szCs w:val="26"/>
        </w:rPr>
      </w:pPr>
      <w:r w:rsidRPr="007963A5">
        <w:rPr>
          <w:rFonts w:ascii="Times New Roman" w:hAnsi="Times New Roman"/>
          <w:sz w:val="26"/>
          <w:szCs w:val="26"/>
        </w:rPr>
        <w:t>Федеральное агентство по образованию</w:t>
      </w:r>
    </w:p>
    <w:p w:rsidR="00CF55AA" w:rsidRPr="007963A5" w:rsidRDefault="00CF55AA" w:rsidP="000967C6">
      <w:pPr>
        <w:spacing w:line="360" w:lineRule="auto"/>
        <w:ind w:left="-1276"/>
        <w:jc w:val="center"/>
        <w:outlineLvl w:val="0"/>
        <w:rPr>
          <w:rFonts w:ascii="Times New Roman" w:hAnsi="Times New Roman"/>
          <w:sz w:val="26"/>
          <w:szCs w:val="26"/>
        </w:rPr>
      </w:pPr>
      <w:r w:rsidRPr="007963A5">
        <w:rPr>
          <w:rFonts w:ascii="Times New Roman" w:hAnsi="Times New Roman"/>
          <w:sz w:val="26"/>
          <w:szCs w:val="26"/>
        </w:rPr>
        <w:t>Государственное образовательное учреждение высшего профессионального образования</w:t>
      </w:r>
    </w:p>
    <w:p w:rsidR="00CF55AA" w:rsidRPr="007963A5" w:rsidRDefault="00CF55AA" w:rsidP="000967C6">
      <w:pPr>
        <w:spacing w:line="360" w:lineRule="auto"/>
        <w:ind w:left="-1276"/>
        <w:jc w:val="center"/>
        <w:rPr>
          <w:rFonts w:ascii="Times New Roman" w:hAnsi="Times New Roman"/>
          <w:sz w:val="26"/>
          <w:szCs w:val="26"/>
        </w:rPr>
      </w:pPr>
      <w:r w:rsidRPr="007963A5">
        <w:rPr>
          <w:rFonts w:ascii="Times New Roman" w:hAnsi="Times New Roman"/>
          <w:sz w:val="26"/>
          <w:szCs w:val="26"/>
        </w:rPr>
        <w:t>Московский государственный открытый университет</w:t>
      </w:r>
    </w:p>
    <w:p w:rsidR="00CF55AA" w:rsidRPr="007963A5" w:rsidRDefault="00CF55AA" w:rsidP="000967C6">
      <w:pPr>
        <w:spacing w:line="360" w:lineRule="auto"/>
        <w:ind w:left="-1276"/>
        <w:jc w:val="center"/>
        <w:rPr>
          <w:rFonts w:ascii="Times New Roman" w:hAnsi="Times New Roman"/>
          <w:sz w:val="26"/>
          <w:szCs w:val="26"/>
        </w:rPr>
      </w:pPr>
      <w:r w:rsidRPr="007963A5">
        <w:rPr>
          <w:rFonts w:ascii="Times New Roman" w:hAnsi="Times New Roman"/>
          <w:sz w:val="26"/>
          <w:szCs w:val="26"/>
        </w:rPr>
        <w:t>Факультет международных экономических отношений</w:t>
      </w:r>
    </w:p>
    <w:p w:rsidR="00CF55AA" w:rsidRPr="007963A5" w:rsidRDefault="00CF55AA" w:rsidP="000967C6">
      <w:pPr>
        <w:spacing w:line="360" w:lineRule="auto"/>
        <w:ind w:left="-1276"/>
        <w:jc w:val="center"/>
        <w:rPr>
          <w:rFonts w:ascii="Times New Roman" w:hAnsi="Times New Roman"/>
          <w:sz w:val="26"/>
          <w:szCs w:val="26"/>
        </w:rPr>
      </w:pPr>
      <w:r w:rsidRPr="007963A5">
        <w:rPr>
          <w:rFonts w:ascii="Times New Roman" w:hAnsi="Times New Roman"/>
          <w:sz w:val="26"/>
          <w:szCs w:val="26"/>
        </w:rPr>
        <w:t>Кафедра международных экономических отношений</w:t>
      </w:r>
    </w:p>
    <w:p w:rsidR="00CF55AA" w:rsidRDefault="00CF55AA" w:rsidP="000967C6">
      <w:pPr>
        <w:spacing w:line="360" w:lineRule="auto"/>
        <w:ind w:left="-1276"/>
        <w:jc w:val="center"/>
        <w:rPr>
          <w:rFonts w:ascii="Times New Roman" w:hAnsi="Times New Roman"/>
          <w:sz w:val="28"/>
          <w:szCs w:val="28"/>
        </w:rPr>
      </w:pPr>
    </w:p>
    <w:p w:rsidR="00CF55AA" w:rsidRPr="000967C6" w:rsidRDefault="00CF55AA" w:rsidP="000967C6">
      <w:pPr>
        <w:spacing w:line="360" w:lineRule="auto"/>
        <w:ind w:left="-1276"/>
        <w:jc w:val="center"/>
        <w:rPr>
          <w:rFonts w:ascii="Times New Roman" w:hAnsi="Times New Roman"/>
          <w:sz w:val="28"/>
          <w:szCs w:val="28"/>
        </w:rPr>
      </w:pPr>
    </w:p>
    <w:p w:rsidR="00CF55AA" w:rsidRPr="007963A5" w:rsidRDefault="00CF55AA" w:rsidP="000967C6">
      <w:pPr>
        <w:spacing w:line="360" w:lineRule="auto"/>
        <w:ind w:left="-1276"/>
        <w:jc w:val="center"/>
        <w:rPr>
          <w:rFonts w:ascii="Times New Roman" w:hAnsi="Times New Roman"/>
          <w:sz w:val="26"/>
          <w:szCs w:val="26"/>
        </w:rPr>
      </w:pPr>
      <w:r w:rsidRPr="007963A5">
        <w:rPr>
          <w:rFonts w:ascii="Times New Roman" w:hAnsi="Times New Roman"/>
          <w:sz w:val="26"/>
          <w:szCs w:val="26"/>
        </w:rPr>
        <w:t>Доклад на тему:</w:t>
      </w:r>
    </w:p>
    <w:p w:rsidR="00CF55AA" w:rsidRPr="000967C6" w:rsidRDefault="00CF55AA" w:rsidP="000967C6">
      <w:pPr>
        <w:spacing w:line="360" w:lineRule="auto"/>
        <w:ind w:left="-1276"/>
        <w:jc w:val="center"/>
        <w:rPr>
          <w:rFonts w:ascii="Times New Roman" w:hAnsi="Times New Roman"/>
          <w:b/>
          <w:sz w:val="28"/>
          <w:szCs w:val="28"/>
        </w:rPr>
      </w:pPr>
      <w:r w:rsidRPr="000967C6">
        <w:rPr>
          <w:rFonts w:ascii="Times New Roman" w:hAnsi="Times New Roman"/>
          <w:b/>
          <w:sz w:val="28"/>
          <w:szCs w:val="28"/>
        </w:rPr>
        <w:t>«Социально-экономические воззрения Ибн Хальдуна»</w:t>
      </w:r>
    </w:p>
    <w:p w:rsidR="00CF55AA" w:rsidRPr="000967C6" w:rsidRDefault="00CF55AA" w:rsidP="000967C6">
      <w:pPr>
        <w:spacing w:line="360" w:lineRule="auto"/>
        <w:ind w:left="-1276"/>
        <w:jc w:val="center"/>
        <w:outlineLvl w:val="0"/>
        <w:rPr>
          <w:rFonts w:ascii="Times New Roman" w:hAnsi="Times New Roman"/>
          <w:sz w:val="28"/>
          <w:szCs w:val="28"/>
        </w:rPr>
      </w:pPr>
    </w:p>
    <w:p w:rsidR="00CF55AA" w:rsidRPr="000967C6" w:rsidRDefault="00CF55AA" w:rsidP="000967C6">
      <w:pPr>
        <w:ind w:left="-1418"/>
        <w:jc w:val="center"/>
      </w:pPr>
    </w:p>
    <w:p w:rsidR="00CF55AA" w:rsidRPr="000967C6" w:rsidRDefault="00CF55AA" w:rsidP="000967C6">
      <w:pPr>
        <w:ind w:left="-1134"/>
        <w:jc w:val="center"/>
      </w:pPr>
    </w:p>
    <w:p w:rsidR="00CF55AA" w:rsidRPr="000967C6" w:rsidRDefault="00CF55AA"/>
    <w:p w:rsidR="00CF55AA" w:rsidRPr="000967C6" w:rsidRDefault="00CF55AA"/>
    <w:p w:rsidR="00CF55AA" w:rsidRDefault="00CF55AA"/>
    <w:p w:rsidR="00CF55AA" w:rsidRDefault="00CF55AA"/>
    <w:p w:rsidR="00CF55AA" w:rsidRDefault="00CF55AA"/>
    <w:p w:rsidR="00CF55AA" w:rsidRDefault="00CF55AA"/>
    <w:p w:rsidR="00CF55AA" w:rsidRDefault="00CF55AA"/>
    <w:p w:rsidR="00CF55AA" w:rsidRDefault="00CF55AA"/>
    <w:p w:rsidR="00CF55AA" w:rsidRPr="000967C6" w:rsidRDefault="00CF55AA" w:rsidP="000967C6">
      <w:pPr>
        <w:spacing w:line="240" w:lineRule="auto"/>
        <w:jc w:val="right"/>
        <w:rPr>
          <w:rFonts w:ascii="Times New Roman" w:hAnsi="Times New Roman"/>
          <w:sz w:val="26"/>
          <w:szCs w:val="26"/>
        </w:rPr>
      </w:pPr>
      <w:r w:rsidRPr="000967C6">
        <w:rPr>
          <w:rFonts w:ascii="Times New Roman" w:hAnsi="Times New Roman"/>
          <w:sz w:val="26"/>
          <w:szCs w:val="26"/>
        </w:rPr>
        <w:t>Выполнила</w:t>
      </w:r>
      <w:r>
        <w:rPr>
          <w:rFonts w:ascii="Times New Roman" w:hAnsi="Times New Roman"/>
          <w:sz w:val="26"/>
          <w:szCs w:val="26"/>
        </w:rPr>
        <w:t xml:space="preserve"> студентка 1 курса 3 группы</w:t>
      </w:r>
      <w:r w:rsidRPr="000967C6">
        <w:rPr>
          <w:rFonts w:ascii="Times New Roman" w:hAnsi="Times New Roman"/>
          <w:sz w:val="26"/>
          <w:szCs w:val="26"/>
        </w:rPr>
        <w:t>:</w:t>
      </w:r>
    </w:p>
    <w:p w:rsidR="00CF55AA" w:rsidRPr="000967C6" w:rsidRDefault="00CF55AA" w:rsidP="00995F43">
      <w:pPr>
        <w:spacing w:line="240" w:lineRule="auto"/>
        <w:ind w:left="-1276"/>
        <w:jc w:val="right"/>
        <w:rPr>
          <w:rFonts w:ascii="Times New Roman" w:hAnsi="Times New Roman"/>
          <w:sz w:val="26"/>
          <w:szCs w:val="26"/>
        </w:rPr>
      </w:pPr>
      <w:r w:rsidRPr="000967C6">
        <w:rPr>
          <w:rFonts w:ascii="Times New Roman" w:hAnsi="Times New Roman"/>
          <w:sz w:val="26"/>
          <w:szCs w:val="26"/>
        </w:rPr>
        <w:t>Гуменюк Д</w:t>
      </w:r>
      <w:r>
        <w:rPr>
          <w:rFonts w:ascii="Times New Roman" w:hAnsi="Times New Roman"/>
          <w:sz w:val="26"/>
          <w:szCs w:val="26"/>
        </w:rPr>
        <w:t>.В.</w:t>
      </w:r>
    </w:p>
    <w:p w:rsidR="00CF55AA" w:rsidRPr="000967C6" w:rsidRDefault="00CF55AA" w:rsidP="00995F43">
      <w:pPr>
        <w:spacing w:line="240" w:lineRule="auto"/>
        <w:jc w:val="right"/>
        <w:rPr>
          <w:rFonts w:ascii="Times New Roman" w:hAnsi="Times New Roman"/>
          <w:sz w:val="26"/>
          <w:szCs w:val="26"/>
        </w:rPr>
      </w:pPr>
    </w:p>
    <w:p w:rsidR="00CF55AA" w:rsidRDefault="00CF55AA" w:rsidP="00995F43">
      <w:pPr>
        <w:spacing w:line="240" w:lineRule="auto"/>
        <w:jc w:val="right"/>
        <w:rPr>
          <w:rFonts w:ascii="Times New Roman" w:hAnsi="Times New Roman"/>
          <w:sz w:val="26"/>
          <w:szCs w:val="26"/>
        </w:rPr>
      </w:pPr>
      <w:r w:rsidRPr="000967C6">
        <w:rPr>
          <w:rFonts w:ascii="Times New Roman" w:hAnsi="Times New Roman"/>
          <w:sz w:val="26"/>
          <w:szCs w:val="26"/>
        </w:rPr>
        <w:t>Проверил</w:t>
      </w:r>
      <w:r>
        <w:rPr>
          <w:rFonts w:ascii="Times New Roman" w:hAnsi="Times New Roman"/>
          <w:sz w:val="26"/>
          <w:szCs w:val="26"/>
        </w:rPr>
        <w:t xml:space="preserve"> с</w:t>
      </w:r>
      <w:r w:rsidRPr="000967C6">
        <w:rPr>
          <w:rFonts w:ascii="Times New Roman" w:hAnsi="Times New Roman"/>
          <w:sz w:val="26"/>
          <w:szCs w:val="26"/>
        </w:rPr>
        <w:t xml:space="preserve">тарший </w:t>
      </w:r>
      <w:r>
        <w:rPr>
          <w:rFonts w:ascii="Times New Roman" w:hAnsi="Times New Roman"/>
          <w:sz w:val="26"/>
          <w:szCs w:val="26"/>
        </w:rPr>
        <w:t>преподаватель:</w:t>
      </w:r>
    </w:p>
    <w:p w:rsidR="00CF55AA" w:rsidRPr="000967C6" w:rsidRDefault="00CF55AA" w:rsidP="00DB0A38">
      <w:pPr>
        <w:spacing w:line="240" w:lineRule="auto"/>
        <w:jc w:val="right"/>
        <w:rPr>
          <w:rFonts w:ascii="Times New Roman" w:hAnsi="Times New Roman"/>
          <w:sz w:val="26"/>
          <w:szCs w:val="26"/>
        </w:rPr>
      </w:pPr>
      <w:r w:rsidRPr="000967C6">
        <w:rPr>
          <w:rFonts w:ascii="Times New Roman" w:hAnsi="Times New Roman"/>
          <w:sz w:val="26"/>
          <w:szCs w:val="26"/>
        </w:rPr>
        <w:t xml:space="preserve"> Ковусов А.Б.</w:t>
      </w:r>
    </w:p>
    <w:p w:rsidR="00CF55AA" w:rsidRDefault="00CF55AA" w:rsidP="000967C6">
      <w:pPr>
        <w:ind w:left="-1276"/>
        <w:jc w:val="center"/>
        <w:rPr>
          <w:rFonts w:ascii="Times New Roman" w:hAnsi="Times New Roman"/>
          <w:sz w:val="26"/>
          <w:szCs w:val="26"/>
        </w:rPr>
      </w:pPr>
    </w:p>
    <w:p w:rsidR="00CF55AA" w:rsidRPr="000967C6" w:rsidRDefault="00CF55AA" w:rsidP="000967C6">
      <w:pPr>
        <w:ind w:left="-1276"/>
        <w:jc w:val="center"/>
        <w:rPr>
          <w:rFonts w:ascii="Times New Roman" w:hAnsi="Times New Roman"/>
          <w:sz w:val="26"/>
          <w:szCs w:val="26"/>
        </w:rPr>
      </w:pPr>
    </w:p>
    <w:p w:rsidR="00CF55AA" w:rsidRPr="000967C6" w:rsidRDefault="00CF55AA" w:rsidP="000967C6">
      <w:pPr>
        <w:ind w:left="-1276"/>
        <w:jc w:val="center"/>
        <w:rPr>
          <w:rFonts w:ascii="Times New Roman" w:hAnsi="Times New Roman"/>
          <w:sz w:val="26"/>
          <w:szCs w:val="26"/>
        </w:rPr>
      </w:pPr>
      <w:r w:rsidRPr="000967C6">
        <w:rPr>
          <w:rFonts w:ascii="Times New Roman" w:hAnsi="Times New Roman"/>
          <w:sz w:val="26"/>
          <w:szCs w:val="26"/>
        </w:rPr>
        <w:t>Москва 2010</w:t>
      </w:r>
    </w:p>
    <w:p w:rsidR="00CF55AA" w:rsidRPr="008A1A58"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Арабский мыслитель Ибн Хальдун (Абу Заид ар-Рахман ибн Мухаммед аль-Хадрами) (1332-1406) родился в Тунисе, происходил из знатного рода. В 1382 году он покинул Магриб, уехал в Египет, где в течение 20 лет принимал активное участие в научной и политической жизни, пытался бороться с коррупцией судебного аппарата, но безуспешно.</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 xml:space="preserve">Значение трудов Ибн Хаьдуна заключается в том, что основу исторического процесса, по его мнению, составляет не деятельность пророков и царей, а развитие человеческого общества. Речь должна идти «о дикости, о цивилизованном состояние», «о том, что приобретают люди своими трудами и стараниями», «о различных видах превосходства, которого одни люди достигают над другими». Общественную жизнь Ибн Хальдун рассматривал прежде всего как совместную производительную деятельность. Основной направляющей силой в истории он считал материальную необходимость. Признаки, отделившие людей от животных, по мнению Ибн Хальдуна, заключаются в общественной жизни, основой которой является склонность людей к объединению и совместное удовлетворение своих потребностей. Ибн Хальдун считал, что « человек отделился от остальных животных благодаря своим особенностям, среди которых науки и ремесла». </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Ибн Хальдун выдвинул свою периодизацию истории. По его мнению, человеческое общество в своём развитии прошло три «состояния»: 1) дикость; 2) жизнь в сельской местности, «ибо она предшествует всему остальному»; 3) стадия, начавшаяся с возникновения городов. Формирование городов Ибн Хальдун ставил в прямую связь с развитием производства, когда люди стали добывать жизненных благ больше, чем им необходимо, и до высшей степени совершенствовать ремесла и искусства. Основным критерием он считал присутствие в нём различных ремесел, которые удовлетворяют растущие потребности людей, в том числе и в предметах роскоши. Жизнеспособность городов Ибн Хальдун тесно связывал с наличием вблизи них сельского населения и переселением его в города.</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По мнению Ибн Хальдуна, «различия в образе жизни людей зависят только от различия способа добывания ими жизненных средств», а «нравы складываются под влиянием тех условий, кои окружают человека». Ссылаясь на известное изречение Аристотеля «человек по природе есть существо общественное», Ибн Хальдун обосновывал свой тезис о необходимости объединения людей, выводя её из производственных нужд в добывании средств к жизни. Вся общественная жизнь им рассматривается прежде всего как совместная  производительная деятельность людей. Значение объединённого труда не ограничивается простой взаимопомощью, он даёт большую массу совместного продукта. В учении Ибн Хальдуна имеется мысль о разграничении необходимого и прибавочного продукта, необходимого и прибавочного труда. По его мнению, «если жители какого-то города или области распределяют весь свой труд соразмерно своим насущным потребностям, то им достаточно небольшой части этого труда; остальная часть труда является избыточной…Благодаря этому они достигают известного богатства».</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Ибн Хальдун строго различал предметы потребления и достояния. Главным источником доходов и богатства он считал человеческий труд, ибо «всякий доход равноценен стоимости затраченного человеческого труда». Особое внимание Ибн Хальдун уделил сложному труду, связанного с операциями различных видов, подчёркивая, что, «если не было бы труда, не было бы и предмета». Развитие ремесел, искусств и науки он непосредственно связывал с ростом производительности труда. Однако, «когда труд жителей города превышает (по количеству) труд, необходимый для произведения средств к жизни, они, эти жители, обращают свой взор на то, что, выходит за пределы забот о средствах к жизни и что присуще исключительно человеку, а это   - науки и искусства».</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Ибн Хальдун близко подошёл к проблеме эксплуатации, когда писал, что знатные и богатые пользуются плодами чужого труда. Ведь знатному человеку  люди помогают «своим трудом во всём, в чём он нуждается», а «стоимость всех произведений труда составляет его доход, ибо труд, который обычно оплачивается, люди исполняют для него, не получая взамен чего-либо равноценного этому труду».</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Ибн Хальдуну было известно простое товарное производство, и он оставил интересные мысли о товаре, роли рынка, ценообразовании и т.д. Он придавал большое значение демографическому фактору в жизни городов, в росте производительности труда, в совершенствовании ремесел и, в частности, ценообразовании. Ибн Хальдун высказывал чрезвычайно интересную мысль о зависимости цены на съестные припасы от массы товара, вынесенной на рынок, утверждая, что «если бы люди их не заготовляли впрок, опасаясь бедствий, кои могут наступить, то они продавались бы ниже своей цены и обменивались бы неравномерно…». Ибн Хальдун указывает, что «иногда в цену средств питания включается ещё стоимость налогов и поборов, кои взыскиваются в пользу правителя на рынках и у городских ворот или взыскиваются сборщиками налогов». Всякого рода «незаконные поборы также способствуют дороговизне, ибо все торговцы включают в цену своих товаров все, что  они расходуют, в том числе и расходы на средства своего существования, так что поборы входят в стоимость и цену товаров».</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Колебания цен на любой товар, по мысли Ибн Хальдуна, зависели от спроса и предложения. От низких цен терпят убыток те, кто занимается продажей дешевых товаров. Однако «из всех товаров хлеб есть тот товар, на который желательна низкая цена, ибо потребность в нём всеобщая». Такая цена на хлеб «везде способствует улучшению жизни». Развитие и совершенствование ремесла Ибн Хальдун ставил в зависимость от спроса на ремесленные изделия. Рынок у него выступает как стимулятор производительности труда и совершенствования ремесленного производства, ремесло он уподобляет товару, «который имеет сбыт на рынке и предлагается для купли».</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Во всех своих высказываниях Ибн Хальдун высоко ценил труд и целенаправленную деятельность человека. Общество для него в первую очередь было коллективом производителей материальных ценностей. Все потребительные стоимости, по мнению Ибн Хальдуна, создаются человеческим трудом. Это представляло значительный шаг вперёд в развитии экономической мысли. Для того времени его трактовка потребительной стоимости имела большое значение. Ибн Хальдун спорил с другими мыслителями, которые в экономические проблемы, в понимание потребительной стоимости привносили этические мотивы.</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Важное значение имеют мысли Ибн Хальдуна о стоимости товара. В основе торговли, акта купли-продажи, должен лежать принцип равноценного обмена, когда приравниваются равновеликие количества затраченного труда.</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Большая историческая заслуга Ибн Хальдуна заключается в том, что он выдвинул понятие стоимости, опередив всех мыслителей древности и своего времени. Для него все «большая часть того, что человек накопляет и из чего извлекает непосредственную пользу, равноценно стоимости человеческого труда». Всё, что человек «приобретает в виде богатства – если это изделия ремесла,- равноценно стоимости вложенного в него труда», а «стоимость дохода определяется затраченным трудом, местом, которое занимает данное изделие среди других видов изделий, и необходимостью его для людей». В данном случае для Ибн Хальдуна приравнивание товаров выступало как форма приравнивания труда. Однако он не установил разницу между стоимостью и ценой. В стоимость товара включалась также стоимость сырого материала, средств труда, стоимость труда производителей промежуточных товаров. Как писал Ибн Хальдун, некоторые ремесла «включают в себя труд других ремесел; так, плотничество использует изделия из дерева, ткачество – пряжу, и, таким образом, труда в обоих этих ремеслах больше, и его стоимость выше. Если предметы создаются не ремесленным трудом, то в их стоимость необходимо включать стоимость труда, благодаря затрате которого они были изготовлены, ибо, если не было бы труда, не было бы и предмета». Однако Ибн Хальдун не смог раскрыть механизма одновременного создания новой стоимости и включения в неё уже существующей стоимости, созданной трудом других людей.</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Наряду с земледелием и ремеслом Ибн Хальдун считал торговлю естественным способом добывания средств к жизни. «Товарами могут быть рабы, хлеб, животные, орудия или ткани. Прибыли человек добивается или накопляя товары и ожидая повышения цен на них, или перевозя их в другую страну, где эти товары в большом спросе, чем в той стране, где он их купил». Мыслитель выступает против спекулятивной торговли, особенно гневно осуждая спекуляцию хлебом, так как на положение нуждающихся высокие хлебные цены оказывают пагубное влияние.</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В работах Ибн Хальдуна проблема денег занимает важное место. Он подчёркивает, что деньги являются основой доходов, накоплений и сокровищ, выступают и как мера стоимости. Ибн Хальдун ратует за обращение в государстве полноценных денег и обличает алхимиков, которые пытались искусственным путём получить золото. Он обличал не только фальшивомонетчиков, но выступал и против правителей, которые неоднократно официально снижали содержание золота и серебра в монетах.</w:t>
      </w:r>
    </w:p>
    <w:p w:rsidR="00CF55AA" w:rsidRDefault="00CF55AA" w:rsidP="008C3895">
      <w:pPr>
        <w:spacing w:after="0"/>
        <w:ind w:left="-1134" w:firstLine="1134"/>
        <w:jc w:val="both"/>
        <w:rPr>
          <w:rFonts w:ascii="Times New Roman" w:hAnsi="Times New Roman"/>
          <w:sz w:val="28"/>
          <w:szCs w:val="28"/>
        </w:rPr>
      </w:pPr>
      <w:r>
        <w:rPr>
          <w:rFonts w:ascii="Times New Roman" w:hAnsi="Times New Roman"/>
          <w:sz w:val="28"/>
          <w:szCs w:val="28"/>
        </w:rPr>
        <w:t>Таким образом, Ибн Хальдун высказал много догадок и интересных мыслей, имеющих значение для политической экономии. Ибн Хальдун по праву занимает почётное место в мировой истории экономических идей.</w:t>
      </w:r>
    </w:p>
    <w:p w:rsidR="00CF55AA" w:rsidRDefault="00CF55AA" w:rsidP="008C3895">
      <w:pPr>
        <w:ind w:left="-1134"/>
        <w:jc w:val="both"/>
        <w:rPr>
          <w:rFonts w:ascii="Times New Roman" w:hAnsi="Times New Roman"/>
          <w:sz w:val="28"/>
          <w:szCs w:val="28"/>
        </w:rPr>
      </w:pPr>
    </w:p>
    <w:p w:rsidR="00CF55AA" w:rsidRDefault="00CF55AA" w:rsidP="00E74559">
      <w:pPr>
        <w:ind w:left="-1134"/>
        <w:rPr>
          <w:rFonts w:ascii="Times New Roman" w:hAnsi="Times New Roman"/>
          <w:sz w:val="28"/>
          <w:szCs w:val="28"/>
        </w:rPr>
      </w:pPr>
    </w:p>
    <w:p w:rsidR="00CF55AA" w:rsidRDefault="00CF55AA" w:rsidP="00E74559">
      <w:pPr>
        <w:ind w:left="-1134"/>
        <w:rPr>
          <w:rFonts w:ascii="Times New Roman" w:hAnsi="Times New Roman"/>
          <w:sz w:val="28"/>
          <w:szCs w:val="28"/>
        </w:rPr>
      </w:pPr>
    </w:p>
    <w:p w:rsidR="00CF55AA" w:rsidRDefault="00CF55AA" w:rsidP="00B6049F">
      <w:pPr>
        <w:ind w:left="-774"/>
        <w:jc w:val="center"/>
        <w:rPr>
          <w:rFonts w:ascii="Times New Roman" w:hAnsi="Times New Roman"/>
          <w:sz w:val="28"/>
          <w:szCs w:val="28"/>
        </w:rPr>
      </w:pPr>
    </w:p>
    <w:p w:rsidR="00CF55AA" w:rsidRDefault="00CF55AA" w:rsidP="00B6049F">
      <w:pPr>
        <w:ind w:left="-774"/>
        <w:jc w:val="center"/>
        <w:rPr>
          <w:rFonts w:ascii="Times New Roman" w:hAnsi="Times New Roman"/>
          <w:sz w:val="28"/>
          <w:szCs w:val="28"/>
        </w:rPr>
      </w:pPr>
    </w:p>
    <w:p w:rsidR="00CF55AA" w:rsidRDefault="00CF55AA" w:rsidP="00B6049F">
      <w:pPr>
        <w:ind w:left="-774"/>
        <w:jc w:val="center"/>
        <w:rPr>
          <w:rFonts w:ascii="Times New Roman" w:hAnsi="Times New Roman"/>
          <w:sz w:val="28"/>
          <w:szCs w:val="28"/>
        </w:rPr>
      </w:pPr>
    </w:p>
    <w:p w:rsidR="00CF55AA" w:rsidRDefault="00CF55AA" w:rsidP="00011530">
      <w:pPr>
        <w:spacing w:line="240" w:lineRule="auto"/>
        <w:ind w:left="-851" w:firstLine="77"/>
        <w:jc w:val="center"/>
        <w:rPr>
          <w:rFonts w:ascii="Times New Roman" w:hAnsi="Times New Roman"/>
          <w:sz w:val="28"/>
          <w:szCs w:val="28"/>
        </w:rPr>
      </w:pPr>
      <w:r w:rsidRPr="00B6049F">
        <w:rPr>
          <w:rFonts w:ascii="Times New Roman" w:hAnsi="Times New Roman"/>
          <w:sz w:val="28"/>
          <w:szCs w:val="28"/>
        </w:rPr>
        <w:t>Список используемой литературы:</w:t>
      </w:r>
    </w:p>
    <w:p w:rsidR="00CF55AA" w:rsidRDefault="00CF55AA" w:rsidP="00011530">
      <w:pPr>
        <w:spacing w:line="240" w:lineRule="auto"/>
        <w:ind w:left="-774"/>
        <w:jc w:val="center"/>
        <w:rPr>
          <w:rFonts w:ascii="Times New Roman" w:hAnsi="Times New Roman"/>
          <w:sz w:val="28"/>
          <w:szCs w:val="28"/>
        </w:rPr>
      </w:pPr>
    </w:p>
    <w:p w:rsidR="00CF55AA" w:rsidRDefault="00CF55AA" w:rsidP="00011530">
      <w:pPr>
        <w:pStyle w:val="1"/>
        <w:numPr>
          <w:ilvl w:val="0"/>
          <w:numId w:val="2"/>
        </w:numPr>
        <w:spacing w:line="240" w:lineRule="auto"/>
        <w:rPr>
          <w:rFonts w:ascii="Times New Roman" w:hAnsi="Times New Roman"/>
          <w:sz w:val="28"/>
          <w:szCs w:val="28"/>
        </w:rPr>
      </w:pPr>
      <w:r>
        <w:rPr>
          <w:rFonts w:ascii="Times New Roman" w:hAnsi="Times New Roman"/>
          <w:sz w:val="28"/>
          <w:szCs w:val="28"/>
        </w:rPr>
        <w:t>И.П.Фаминский, Р.М.Нуреев, Д.Н. Платонов, Л.Н. Сперанская «Всемирная история экономической мысли», Москва «Мысль» 1987</w:t>
      </w:r>
    </w:p>
    <w:p w:rsidR="00CF55AA" w:rsidRDefault="00CF55AA" w:rsidP="00B6049F">
      <w:pPr>
        <w:pStyle w:val="1"/>
        <w:numPr>
          <w:ilvl w:val="0"/>
          <w:numId w:val="2"/>
        </w:numPr>
        <w:rPr>
          <w:rFonts w:ascii="Times New Roman" w:hAnsi="Times New Roman"/>
          <w:sz w:val="28"/>
          <w:szCs w:val="28"/>
        </w:rPr>
      </w:pPr>
      <w:r w:rsidRPr="0028777A">
        <w:rPr>
          <w:rFonts w:ascii="Times New Roman" w:hAnsi="Times New Roman"/>
          <w:sz w:val="28"/>
          <w:szCs w:val="28"/>
        </w:rPr>
        <w:t xml:space="preserve">  </w:t>
      </w:r>
      <w:r>
        <w:rPr>
          <w:rFonts w:ascii="Times New Roman" w:hAnsi="Times New Roman"/>
          <w:sz w:val="28"/>
          <w:szCs w:val="28"/>
        </w:rPr>
        <w:t>Я.С.</w:t>
      </w:r>
      <w:r w:rsidRPr="0028777A">
        <w:rPr>
          <w:rFonts w:ascii="Times New Roman" w:hAnsi="Times New Roman"/>
          <w:sz w:val="28"/>
          <w:szCs w:val="28"/>
        </w:rPr>
        <w:t xml:space="preserve"> Ядгаров </w:t>
      </w:r>
      <w:r>
        <w:rPr>
          <w:rFonts w:ascii="Times New Roman" w:hAnsi="Times New Roman"/>
          <w:sz w:val="28"/>
          <w:szCs w:val="28"/>
        </w:rPr>
        <w:t>«История экономических учений», Москва «</w:t>
      </w:r>
      <w:r w:rsidRPr="0028777A">
        <w:rPr>
          <w:rFonts w:ascii="Times New Roman" w:hAnsi="Times New Roman"/>
          <w:sz w:val="28"/>
          <w:szCs w:val="28"/>
        </w:rPr>
        <w:t>ИНФРА-М</w:t>
      </w:r>
      <w:r>
        <w:rPr>
          <w:rFonts w:ascii="Times New Roman" w:hAnsi="Times New Roman"/>
          <w:sz w:val="28"/>
          <w:szCs w:val="28"/>
        </w:rPr>
        <w:t>» 2009</w:t>
      </w:r>
    </w:p>
    <w:p w:rsidR="00CF55AA" w:rsidRDefault="007C75C3" w:rsidP="008C3895">
      <w:pPr>
        <w:pStyle w:val="1"/>
        <w:numPr>
          <w:ilvl w:val="0"/>
          <w:numId w:val="2"/>
        </w:numPr>
        <w:ind w:right="-284"/>
        <w:rPr>
          <w:rFonts w:ascii="Times New Roman" w:hAnsi="Times New Roman"/>
          <w:sz w:val="28"/>
          <w:szCs w:val="28"/>
        </w:rPr>
      </w:pPr>
      <w:hyperlink r:id="rId5" w:history="1">
        <w:r w:rsidR="00CF55AA" w:rsidRPr="0078248A">
          <w:rPr>
            <w:rStyle w:val="a3"/>
            <w:rFonts w:ascii="Times New Roman" w:hAnsi="Times New Roman"/>
            <w:sz w:val="28"/>
            <w:szCs w:val="28"/>
          </w:rPr>
          <w:t>http://ecouniver.com/economik-rasdel/istekuz/87-yekonomicheskaya-mysl-musulmanskogo-srednevekovya.html</w:t>
        </w:r>
      </w:hyperlink>
      <w:r w:rsidR="00CF55AA">
        <w:rPr>
          <w:rFonts w:ascii="Times New Roman" w:hAnsi="Times New Roman"/>
          <w:sz w:val="28"/>
          <w:szCs w:val="28"/>
        </w:rPr>
        <w:t xml:space="preserve"> ,статья: «</w:t>
      </w:r>
      <w:r w:rsidR="00CF55AA" w:rsidRPr="00995F43">
        <w:rPr>
          <w:rFonts w:ascii="Times New Roman" w:hAnsi="Times New Roman"/>
          <w:sz w:val="28"/>
          <w:szCs w:val="28"/>
        </w:rPr>
        <w:t>Экономическая мысль мусульманского средневековья</w:t>
      </w:r>
      <w:r w:rsidR="00CF55AA">
        <w:rPr>
          <w:rFonts w:ascii="Times New Roman" w:hAnsi="Times New Roman"/>
          <w:sz w:val="28"/>
          <w:szCs w:val="28"/>
        </w:rPr>
        <w:t>»</w:t>
      </w:r>
    </w:p>
    <w:p w:rsidR="00CF55AA" w:rsidRDefault="00CF55AA" w:rsidP="009D6F7E">
      <w:pPr>
        <w:pStyle w:val="1"/>
        <w:ind w:left="-54"/>
        <w:rPr>
          <w:rFonts w:ascii="Times New Roman" w:hAnsi="Times New Roman"/>
          <w:sz w:val="28"/>
          <w:szCs w:val="28"/>
        </w:rPr>
      </w:pPr>
    </w:p>
    <w:p w:rsidR="00CF55AA" w:rsidRPr="00B6049F" w:rsidRDefault="00CF55AA" w:rsidP="00B6049F">
      <w:pPr>
        <w:ind w:left="-414"/>
        <w:rPr>
          <w:rFonts w:ascii="Times New Roman" w:hAnsi="Times New Roman"/>
          <w:sz w:val="28"/>
          <w:szCs w:val="28"/>
        </w:rPr>
      </w:pPr>
    </w:p>
    <w:p w:rsidR="00CF55AA" w:rsidRPr="00E74559" w:rsidRDefault="00CF55AA" w:rsidP="00B6049F">
      <w:pPr>
        <w:ind w:left="-1134"/>
        <w:jc w:val="center"/>
        <w:rPr>
          <w:rFonts w:ascii="Times New Roman" w:hAnsi="Times New Roman"/>
          <w:sz w:val="28"/>
          <w:szCs w:val="28"/>
        </w:rPr>
      </w:pPr>
      <w:bookmarkStart w:id="0" w:name="_GoBack"/>
      <w:bookmarkEnd w:id="0"/>
    </w:p>
    <w:sectPr w:rsidR="00CF55AA" w:rsidRPr="00E74559" w:rsidSect="00011530">
      <w:pgSz w:w="11906" w:h="16838"/>
      <w:pgMar w:top="142" w:right="707"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608C7"/>
    <w:multiLevelType w:val="hybridMultilevel"/>
    <w:tmpl w:val="FAA42B64"/>
    <w:lvl w:ilvl="0" w:tplc="0419000B">
      <w:start w:val="1"/>
      <w:numFmt w:val="bullet"/>
      <w:lvlText w:val=""/>
      <w:lvlJc w:val="left"/>
      <w:pPr>
        <w:ind w:left="-54" w:hanging="360"/>
      </w:pPr>
      <w:rPr>
        <w:rFonts w:ascii="Wingdings" w:hAnsi="Wingdings" w:hint="default"/>
      </w:rPr>
    </w:lvl>
    <w:lvl w:ilvl="1" w:tplc="04190003" w:tentative="1">
      <w:start w:val="1"/>
      <w:numFmt w:val="bullet"/>
      <w:lvlText w:val="o"/>
      <w:lvlJc w:val="left"/>
      <w:pPr>
        <w:ind w:left="666" w:hanging="360"/>
      </w:pPr>
      <w:rPr>
        <w:rFonts w:ascii="Courier New" w:hAnsi="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1">
    <w:nsid w:val="49BE4C18"/>
    <w:multiLevelType w:val="hybridMultilevel"/>
    <w:tmpl w:val="07D60600"/>
    <w:lvl w:ilvl="0" w:tplc="0419000B">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559"/>
    <w:rsid w:val="00011530"/>
    <w:rsid w:val="000967C6"/>
    <w:rsid w:val="001638DA"/>
    <w:rsid w:val="001950B8"/>
    <w:rsid w:val="0028777A"/>
    <w:rsid w:val="004147C9"/>
    <w:rsid w:val="004218D5"/>
    <w:rsid w:val="00443135"/>
    <w:rsid w:val="004A0C62"/>
    <w:rsid w:val="00597DEF"/>
    <w:rsid w:val="0078248A"/>
    <w:rsid w:val="007963A5"/>
    <w:rsid w:val="007C75C3"/>
    <w:rsid w:val="008952C0"/>
    <w:rsid w:val="008A1A58"/>
    <w:rsid w:val="008A1BB1"/>
    <w:rsid w:val="008C3895"/>
    <w:rsid w:val="009203B2"/>
    <w:rsid w:val="00921770"/>
    <w:rsid w:val="00956E2D"/>
    <w:rsid w:val="00995F43"/>
    <w:rsid w:val="009D6F7E"/>
    <w:rsid w:val="009E16D0"/>
    <w:rsid w:val="00B03B17"/>
    <w:rsid w:val="00B6049F"/>
    <w:rsid w:val="00C4688F"/>
    <w:rsid w:val="00C46A3A"/>
    <w:rsid w:val="00CB40B3"/>
    <w:rsid w:val="00CF55AA"/>
    <w:rsid w:val="00D11F1A"/>
    <w:rsid w:val="00DB0A38"/>
    <w:rsid w:val="00E74559"/>
    <w:rsid w:val="00EC1833"/>
    <w:rsid w:val="00F97730"/>
    <w:rsid w:val="00FC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544B1-660F-43F8-860C-5E2746CD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55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049F"/>
    <w:pPr>
      <w:ind w:left="720"/>
      <w:contextualSpacing/>
    </w:pPr>
  </w:style>
  <w:style w:type="character" w:styleId="a3">
    <w:name w:val="Hyperlink"/>
    <w:basedOn w:val="a0"/>
    <w:rsid w:val="00995F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niver.com/economik-rasdel/istekuz/87-yekonomicheskaya-mysl-musulmanskogo-srednevekov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10122</CharactersWithSpaces>
  <SharedDoc>false</SharedDoc>
  <HLinks>
    <vt:vector size="6" baseType="variant">
      <vt:variant>
        <vt:i4>2359404</vt:i4>
      </vt:variant>
      <vt:variant>
        <vt:i4>0</vt:i4>
      </vt:variant>
      <vt:variant>
        <vt:i4>0</vt:i4>
      </vt:variant>
      <vt:variant>
        <vt:i4>5</vt:i4>
      </vt:variant>
      <vt:variant>
        <vt:lpwstr>http://ecouniver.com/economik-rasdel/istekuz/87-yekonomicheskaya-mysl-musulmanskogo-srednevekovya.html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2010-02-15T18:17:00Z</cp:lastPrinted>
  <dcterms:created xsi:type="dcterms:W3CDTF">2014-05-11T12:54:00Z</dcterms:created>
  <dcterms:modified xsi:type="dcterms:W3CDTF">2014-05-11T12:54:00Z</dcterms:modified>
</cp:coreProperties>
</file>