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E63" w:rsidRDefault="00635EBA">
      <w:pPr>
        <w:pStyle w:val="31"/>
        <w:numPr>
          <w:ilvl w:val="0"/>
          <w:numId w:val="0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Аргентина </w:t>
      </w:r>
    </w:p>
    <w:p w:rsidR="00F02E63" w:rsidRDefault="00635EBA">
      <w:pPr>
        <w:pStyle w:val="a3"/>
        <w:rPr>
          <w:rFonts w:ascii="Verdana" w:hAnsi="Verdana" w:cs="Verdana"/>
        </w:rPr>
      </w:pPr>
      <w:r>
        <w:rPr>
          <w:rFonts w:ascii="Verdana" w:hAnsi="Verdana" w:cs="Verdana"/>
        </w:rPr>
        <w:t xml:space="preserve">Аргентина испытывала слабый экономический рост начиная с 1940года. С середины 1970-х произошел сравнительно заметный рост экономики: но начиная с последней половины 1980-х страна испытывала самый тяжелый за век период стагнации в экономической жизни. Инвестиции и сбережение падали начиная с середины 70-х и вплоть до 1989 года. Сами аргентинцы, в ответ на макроэкономическую нестабильность, увеличили перевод своих сбережений и инвестиций за границу. За этот период произошло падение производительности труда и увеличилось число безработных.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Основной чертой национальной экономики в то время стал дефицит гос. бюджета. В конце 70-х дефицит увеличился и составил 14% от объема ВВП, а в начале 80-х превысил 15% уровень. После возвращения к конституционной демократии в 1983, требования о контроле за инфляцией привели к созданию четырех проектов программ по стабилизации экономики. Все они окончились безуспешно и привели только к усилению инфляции. Основная причина по которой они провалились - это неспособность руководителей быстро урезать бюджетные расходы.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Дефицит бюджета вырос из пост-военной структуры организации экономики. Экономическая политика в начале 1940-х была направлена на создание благоприятных условий для бизнеса. Нестабильность мирового курса валют, а также значительные финансовые вливания со стороны мирового капитала позволили правительству в конце 70-х существовать с относительно небольшой инфляцией при довольно большом дефиците федерального бюджета. Рост мировой кредитной ставки в начале 80-х и прекращение субсидирования экономики со стороны мирового рынка резко ухудшили экономическое положение Аргентины, чему еще способствовала начавшаяся война на Мальвинах. Потеря внешних финансов и истощение собственных финансовых запасов привело к тому, что государство вынуждено было прибегнуть к увеличению денежной массы. Частный сектор, в свою очередь, уменьшил кап. вложения в нац. экономику, что вместе с результатами инфляции сделал экономику Аргентины еще больше неустойчивой. К началу 1980-х расходы на социальные нужды достигли уровня 40% от уровня ВВП. Законодательным образом были строго урегулированы правила увольнения и приема на работу, что вкупе с высокой заработной платой, создавали практически полную занятость. В промышленности преобладало гос. субсидирование, многочисленные налоговые льготы и, вдобавок, высокие импортные пошлины для защиты внутреннего рынка. Домашние хозяйства получали дополнительную выгоду от трансфертных платежей и льготных кредитов, предоставленных Банком Хаузхолдов. Были введены специальные протекционистские пошлины для производителей табака, сахара и др. групп нац. производителей.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Для правительств провинций были предоставлены благоприятные условия для получения кредитов по линии гос. финансирования. Для военных целей выделялись огромные суммы из бюджета и особого размаха это достигнуто было в 1976-1982 годах. В результате к 1989 году сумма всех трансфертов, налоговых льгот, льготных банковских кредитов составило по самым грубым оценкам где-то 8% от ВВП или 8 миллиардов долл. США.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Но даже уменьшение дефицита гос. бюджета с 20% от ВВП в начале 80-х до 10% к 1987-1989 гг. не смогло убедить частный сектор хранить деньги в нац. валюте, т.к. инфляция раскручивалась еще быстрей, а это и есть главное препятствие на пути восстановления частных инвестиций. Конец десятилетия был отмечен двумя эпизодами гиперинфляции в 1989 году.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(См. приложение #1)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СТРУКТУРНЫЕ РЕФОРМЫ ПОСЛЕ 1989 ГОДА.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Теперешняя администрация заняла свой пост в июле 1989 года во время огромной гиперинфляции - только за июль она составила больше 200%. Новое правительство унаследовало множество гос. учреждений, привыкших к большому расходованию бюджета и к низкому уровню налогов. Кроме того запросы на гос. расходы были гораздо больше, чем можно было изыскать - в целом, государство было абсолютно неплатежеспособно. В 1989-1990-х годах правительство приняло ряд программ по стабилизации положения. Ни одна из этих программ не принесла успеха, в основном из-за дефицита бюджета. Первая закончилась новым витком гиперинфляции в конце 1989 начале 1990г., а вторая продолжалась с марта по декабрь 1990 г. и единственным ее результатом можно считать то, что инфляция не переросла в гиперинфляцию. Благодаря новым налогам правительству к февралю 1991 г. удалось сбалансировать бюджет, а 1 апреля 1991 года был введен указ о введении фиксированного обменного курса местной валюты к иностранным валютам. Этот указ урегулировал монетарную политику государства и закрыл ему возможность сбалансирования бюджета через увеличение денежной массы. Введенный закон резко уменьшил риск инфляции для иностранных инвестиций и инвестиций национальных вкладчиков.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Благодаря принятым мерам в феврале 1991 года правительству удалось сбалансировать бюджет, т. к структурные реформы правительства прогрессивно улучшили основы гос. финансов.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Государство провело ряд реформ в отношении государственных предприятиях, федерального правительства, в области фискальной политики, и в отношении как национальных так и иностранных инвесторах. Другие реформы были направлены на регулирования внешнеэкономической деятельности государства, денационализации ряда гос. предприятий.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ФЕДЕРАЛЬНОЕ ПРАВИТЕЛЬСТВО.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Правительство приняло решение улучшить доходную часть бюджета через введение в феврале 1991 г. НДС на ряд товаров, список которых затем был продолжен в ноябре этого же года.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Правительство также приняло ряд постановлений об улучшении работы налоговой инспекции и усилило контроль за выплатой налогов крупными налогоплательщиками. Закон о санкциях за уклонение от уплаты налогов, принятый Конгрессом в 1990 г., также способствовал дисциплинизации налоговых поступлений.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Налоговые законы февраля 1991 г. уменьшили ставку налога на экспорт, налога на финансовые сделки, уничтожили ряд мелких налогов. В декабре 1992 г. были сильно урезаны дотации предприятиям и заменен метод исчисления ими суммы налогов от режима самоисчисления на режим исчисления налогов налоговой инспекции по результатам проверки. Эти усилия привели к тому, что уже с третьего квартала 1991 г. были резко повышены доходы бюджета от налоговых поступлений. Увеличение поступлений от НДС, позволили правительству сократить ряд неэффективных налогов (таких как налог на топливо и гербовый сбор) в ноябре 1992 г., и уничтожить ряд других налогов в мае 1993-го.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Количество занятых на гос. службе сократилась с 671 тыс. человек до 284 тыс., из них 103 тыс. работников промышленных предприятий и 284 тыс. преподавателей и работников сферы здравоохранения, которые были переданы в ведение провинций. Это мероприятие было основано на реорганизации ряда министерств, цель которой была улучшение структуры оплаты труда работников гос. сферы и повышение производительности их труда. После этого правительству стало возможно увеличить среднее жалованье своим работникам, и частично восстановить его дифференцированность.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Правительство также приняло ряд мер, чтобы увеличить поступления в бюджет и усилить контроль за их использованием. Были проведены ряд реформ по отделению Центробанка от нефинансового общественного сектора и закрепить это положение. Устранение внутренних краткосрочных облигаций ЦБ посредством их преобразования во внешние казначейские обязательства в январе 1990 г. было первым шагом к упрочению основного капитала ЦБ.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Закон о Конвертации установил режим увеличения денежной массы ЦБанком, который эффективно ограничивал денежную политику государства и уровень финансирования ЦБ дефицита гос. бюджета. С начала 1991 г. ЦБ начал публиковать свой ежегодный баланс, а с апреля 1991 г. начал еженедельно публиковать статьи своих расходов, так чтобы общественность могла контролировать выполнение закона о Конвертации.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В сентябре 1992 г. новый закон усилил автономию ЦБ, и далее ограничил способность расширять кредит правительству и банковской системе. Эта мера укрепляет Закон о Конвертации и прокладывает путь для становления денежно-кредитной независимости ЦБ.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ГОСУДАРСТВЕННЫЕ ПРЕДПРИЯТИЯ Правительство Аргентины выполнило наиболее внушительную по размаху программу приватизации, когда-либо осуществлявшуюся в Западном полушарии. Цель состояла в том, чтобы уменьшить бремя гос. предприятий на бюджет, путем их приватизации, тем самым делая их более конкурентноспособными и повышая общую эффективность инвестиций.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Программа приватизации началась в начале 1990 г. с продажи национального телевидения. Данная программа приватизации удалило политический фактор из области формирования цен на гос. предприятиях. Институциональная перестройка этих секторов способствовала сокращению искусственно раздутых кадров, упрочнение притока инвестиций в данные отрасли. Программа также улучшила государственные финансы: 9 миллиардов долл. США были направлены на покрытие внутренних расходов, а внешний долг страны был уменьшен на 12 миллиардов долл. США. Приватизация включала в себя также приватизацию государственной телефонной компании, национальных государственных авиалиний, предприятия нефте-газового комплекса. В частный сектор были переданы железные дороги, компании по перевозки грузов на дальние расстояния, и др. мелкие и крупные компании. Правительство в свою программу включило также приватизацию некоторых гос. предприятий, включая ВПК, порты и морской транспорт, страховые компании и др. В будущем планируется приватизация системы аэропортов.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ФИНАНСОВЫЕ ОТНОШЕНИЯ С ПРОВИНЦИЯМИ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Правительство также стремилось перестроить свои финансовые отношения с правительствами провинций. Закон о Сотрудничестве 1988 г. устанавливал, что 58% федеральных доходов будут передаваться провинциям. В августе 1992 г. была установлена новая система расчета - перед вычислением распределения дохода по провинциям следовали отчисления на социальные нужды. В то же время ресурсы, доступные правительствам провинций, были ограничены прогрессивными нововведениями в ЦБ, а со стороны правительства были урезаны трансфертные платежи провинциям.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РЕСТРУКТУРИРОВАНИЕ ГОС. ДОЛГА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Конечным шагом по пути устранения гос. неплатежеспособности было реструктурирование гос. обязательств. Правительство финансировало дефицит через увеличение денежной массы, приостановки выплаты долга внешнем кредиторам, накоплением внутренней задолжности пенсионерам и гос. поставщикам.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В конце декабря 1989 г., стоя перед лицом кризиса неплатежей и нового витка гиперинфляции, правительство решается на смелый шаг - преобразовать внутренние краткосрочные (в основном семидневные) облигации ЦБ в размере 3,5 миллиарда долл. США в десятилетние долгосрочные долларовые обязательства. Этот шаг фактически уменьшил сверх-дефицит ЦБ и устранил необходимость выпуска новых денег - однако это еще больше подорвало и без того слабое доверие к нац. финансовой системе.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В апреле 1988 г. правительство приостановило выплату внешнего долга. К 1992 г., т.е. к концу заемного года, это позволило правительству накопить 8 миллиардов долл. США как часть 32 миллиардного долга. Это был только долг иностранным коммерческим заемщикам, а общий внешний долг был 61 миллиард долл. США.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Преобразования гос. фин. фонда в 1990/91 гг. позволил правительству начать переговоры с иностранными коммерческими кредиторами об уменьшении фин. задолжности государства. В результате подписанного 7 апреля 1993 г. соглашения, гос. коммерческий долг был уменьшен на 37%. Считалось, что это поможет Аргентине улучшить свою кредитоспособность.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К последней декаде государство выплатило только половину своей задолжности пенсионерам. Задолжность государства не была отражена в СНС и по предварительным расчетам она составляет от 7 до 10 миллиардов долларов. Чтобы уменьшить свою задолжность государство приняло решение о перераспределении доходной части бюджета в пользу выплат пенсионерам в августе 1992 г. Однако, еще остается задолжность государства гос. поставщикам и медицинским фондам. Наконец, правительство, в части реформы подоходного налога, признало, что части коммерческим структурам наносится серьезный ущерб и, чтобы компенсировать это, Конгресс постановил выпустить облигации. В силу всего этого обслуживание внешнего долга отложено до 1997 г.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РЕФОРМА СОЦИАЛЬНОЙ СИСТЕМЫ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Правительство отошло от существовавшей прежде системы гос. пенсий. В середине 1992 г. правительство представило на рассмотрение Конгресса новый вариант пенсионного обеспечения объединенную гос/частную систему: государство распоряжается размерами и формой платежа, а частный сектор представляет финансы. Все лица, попадающие под положение пенсионеров, в обязательном порядке переходят на эту систему. Конгресс принял этот закон - со значительными изменениями - в мае 1993.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Правительство надеется, что законодательный процесс закончится перед концом года, что позволит принять эту систему в середине 1994 г.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РАЗРЕГУЛИРОВАНИЕ ТОРГОВЛИ И ФИНАНСОВЫЕ РЕФОРМЫ В 1991 г.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правительство в значительной степени усилило процесс либерализации, который начался еще в 1986 г., и который был временно приостановлен в 1989. Фактически все экспортные пошлины и количественные ограничения были устранены, за исключением автомобилей. НДС был уменьшен со 135% до 35%.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Ухудшения в торговом балансе, вызванные притоком иностранного капитала, заставили правительство использовать такую коммерческую политику, чтобы достигнуть действенной девальвации нац. валюты в пределах режима твердого валютного курса.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Правительство ввело новый единообразный тарифный дополнительный налог, названный статистическим налогом, в размере 10%. Он был введен на временной основе. Это также способствовало дополнительному обесцениванию нац. валюты на 5%. В мае 1993 г.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правительство устранило ряд тарифов, в том числе и статистический, на импортируемые товары, и в июле оно осуществило ряд протекционистских мер по защите нац. производителей бумаги и текстиля, путем введения количественных ограничений и налогов на импорт такого типа товаров.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Декрет октября 1991 г. закончил ряд преобразований внутреннего рынка - распустил несколько регулирующих органов, и объединил платежи в фонд соц. страхования и пенсионный фонд в единый фонд, чтобы создать трудности для уклонения от налогов; значительно были уменьшены денежные субсидии пров. Огненная Земля и урезана программа содействию развития нац. промышленности. Все эти преобразования были закончены к ноябрю 1992 г.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Преобразования также затронули банковскую систему. В частности, были закрыты ряд банков - в том числе Банк Национального Развития и Национальный Хаузхолдовский Банк, а и у ряда других гос. банков штат был урезан на 75%.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За последние шесть месяцев власти Аргентины приняли ряд мер по уменьшению ставки банковского процента и стимулированию инвестиций. В октябре 1992 г. правительство выпустило указ, согласно которому верхний предел по процентам, взимаемых за предоставление кредита равен 2%, а также согласилось платить субсидии тем банкам, которые эту ставку еще снизят. В мае 1993 г. этот предел был еще снижен до 1,6 % - 1,8 % для BANCO DE LA NACION - главного гос. банка. Руководство же банка провозгласило, что в области предоставления кредитов политика Банка будет ориентирована на экспортно-ориентированные области народного хозяйства.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ТЕКУЩИЕ МАКРОЭКОНОМИЧЕСКИЕ ПОКАЗАТЕЛИ В 1992 г. власти опубликовали данные по экономическому росту за истекший период. ВВП вырос на 8.7% и пром. производство выросло на 12% по сравнению с предыдущем годом. Количество занятых увеличилось на 10%, а инвестиции возросли с 12.5% до 14.5% от уровня ВВП. Рост инвестиций определялся как и привлечением иностранного капитала, так и нац. инвестициями, которые составили приблизительно 9.3% от ВВП. Общие сбережения увеличились на 2% от ВВП, в то время как частные сбережения упали.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В 1992 г. было впервые за десятилетия положительное сальдо бюджета с превышением доходной части на 2.0% от ВВП. Налоговые поступления увеличились с 13.5% от ВВП в 1989 г. до 24% к 1992 г. За этот же период расходы на соц. нужды упали на 1% от ВВП.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Рост инфляции сокращался. Годовой рост инфляции за последнюю четверть 1992 г. составил 9% (для сравнения - 20% за тот же самый период в 1991 г.) . Однако, уровень инфляции все еще превышает международные стандарты, что является необходимым для выдержки режима твердого валютного курса.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Рост притока иностранного капитала привел к тому, что уровень импорта вырос на 84%, а уровень экспорта только на 1%. В результате, дефицит текущего счета в 1992 г. достиг 5.2% от ВВП, по сравнению с 2% год назад.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После признаков снижения экономической активности в январе-феврале 1993 г., индустриальный рост восстановился в марте-апреле. Все это вкупе с уровнем инфляции равном 0.7% в месяц позволяет говорить о том, что экономика стабилизировалась и идет процесс оживления деловой активности.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ПЕРСПЕКТИВЫ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Правительство считает, что экономический рост к 1995 г.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достигнет 6.5% в год. Дальнейшая программа развития предусматривает сохранение положительного сальдо бюджета для выкупа облигаций гос. займа и исчезновения инфляции. Это предусматривает увеличение положительного сальдо с уровня 3.3 миллиардов долл. США в 1991 г. до 4.1 миллиарда долл. США к 1995 г. Успех этой программы будет зависеть от улучшения структуры гос. финансов, социального законодательства, реформ в области занятости и развития финансовых отношений с провинциями, а также дальнейшим увеличением децентрализации власти и обязанностей центра от провинций. В течении последних лет Аргентина перенесла мощные структурные реформы, прошедшие с широкой поддержкой населением этих реформ. Воспоминания о гиперинфляции 1989/1990 гг., создают прочный политический тыл теперешнему правительству.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Все это - мощный политический балласт, который будет хранить судно структурного регулирования, возглавляемого теперешним руководством, даже в сильном финансовом шторме. </w:t>
      </w:r>
    </w:p>
    <w:p w:rsidR="00F02E63" w:rsidRDefault="00635EB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Приложение 1 </w:t>
      </w:r>
    </w:p>
    <w:tbl>
      <w:tblPr>
        <w:tblW w:w="0" w:type="auto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3"/>
        <w:gridCol w:w="1388"/>
        <w:gridCol w:w="1388"/>
        <w:gridCol w:w="1222"/>
        <w:gridCol w:w="166"/>
        <w:gridCol w:w="1388"/>
        <w:gridCol w:w="97"/>
        <w:gridCol w:w="1291"/>
        <w:gridCol w:w="360"/>
        <w:gridCol w:w="528"/>
        <w:gridCol w:w="888"/>
        <w:gridCol w:w="940"/>
      </w:tblGrid>
      <w:tr w:rsidR="00F02E63">
        <w:tc>
          <w:tcPr>
            <w:tcW w:w="2633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Распределение ВВП по секторам (в % от ВВП) </w:t>
            </w:r>
          </w:p>
        </w:tc>
        <w:tc>
          <w:tcPr>
            <w:tcW w:w="138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  <w:tc>
          <w:tcPr>
            <w:tcW w:w="138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  <w:tc>
          <w:tcPr>
            <w:tcW w:w="1388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  <w:tc>
          <w:tcPr>
            <w:tcW w:w="138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  <w:tc>
          <w:tcPr>
            <w:tcW w:w="1388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  <w:tc>
          <w:tcPr>
            <w:tcW w:w="888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  <w:tc>
          <w:tcPr>
            <w:tcW w:w="88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  <w:tc>
          <w:tcPr>
            <w:tcW w:w="94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</w:tr>
      <w:tr w:rsidR="00F02E63">
        <w:tc>
          <w:tcPr>
            <w:tcW w:w="2633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  <w:tc>
          <w:tcPr>
            <w:tcW w:w="1388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  <w:tc>
          <w:tcPr>
            <w:tcW w:w="1388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  <w:tc>
          <w:tcPr>
            <w:tcW w:w="1388" w:type="dxa"/>
            <w:gridSpan w:val="2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  <w:tc>
          <w:tcPr>
            <w:tcW w:w="1388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  <w:tc>
          <w:tcPr>
            <w:tcW w:w="1388" w:type="dxa"/>
            <w:gridSpan w:val="2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  <w:tc>
          <w:tcPr>
            <w:tcW w:w="888" w:type="dxa"/>
            <w:gridSpan w:val="2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  <w:tc>
          <w:tcPr>
            <w:tcW w:w="888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  <w:tc>
          <w:tcPr>
            <w:tcW w:w="94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</w:tr>
      <w:tr w:rsidR="00F02E63">
        <w:tc>
          <w:tcPr>
            <w:tcW w:w="2633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  <w:tc>
          <w:tcPr>
            <w:tcW w:w="1388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1980 </w:t>
            </w:r>
          </w:p>
        </w:tc>
        <w:tc>
          <w:tcPr>
            <w:tcW w:w="1388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1985 </w:t>
            </w:r>
          </w:p>
        </w:tc>
        <w:tc>
          <w:tcPr>
            <w:tcW w:w="1388" w:type="dxa"/>
            <w:gridSpan w:val="2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1990 </w:t>
            </w:r>
          </w:p>
        </w:tc>
        <w:tc>
          <w:tcPr>
            <w:tcW w:w="1388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1991 </w:t>
            </w:r>
          </w:p>
        </w:tc>
        <w:tc>
          <w:tcPr>
            <w:tcW w:w="1388" w:type="dxa"/>
            <w:gridSpan w:val="2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1992 </w:t>
            </w:r>
          </w:p>
        </w:tc>
        <w:tc>
          <w:tcPr>
            <w:tcW w:w="888" w:type="dxa"/>
            <w:gridSpan w:val="2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  <w:tc>
          <w:tcPr>
            <w:tcW w:w="888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  <w:tc>
          <w:tcPr>
            <w:tcW w:w="94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</w:tr>
      <w:tr w:rsidR="00F02E63">
        <w:tc>
          <w:tcPr>
            <w:tcW w:w="2633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С/Х </w:t>
            </w:r>
          </w:p>
        </w:tc>
        <w:tc>
          <w:tcPr>
            <w:tcW w:w="1388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6,4 </w:t>
            </w:r>
          </w:p>
        </w:tc>
        <w:tc>
          <w:tcPr>
            <w:tcW w:w="1388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7,6 </w:t>
            </w:r>
          </w:p>
        </w:tc>
        <w:tc>
          <w:tcPr>
            <w:tcW w:w="1388" w:type="dxa"/>
            <w:gridSpan w:val="2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8,1 </w:t>
            </w:r>
          </w:p>
        </w:tc>
        <w:tc>
          <w:tcPr>
            <w:tcW w:w="1388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6,7 </w:t>
            </w:r>
          </w:p>
        </w:tc>
        <w:tc>
          <w:tcPr>
            <w:tcW w:w="1388" w:type="dxa"/>
            <w:gridSpan w:val="2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6 </w:t>
            </w:r>
          </w:p>
        </w:tc>
        <w:tc>
          <w:tcPr>
            <w:tcW w:w="888" w:type="dxa"/>
            <w:gridSpan w:val="2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  <w:tc>
          <w:tcPr>
            <w:tcW w:w="888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  <w:tc>
          <w:tcPr>
            <w:tcW w:w="94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</w:tr>
      <w:tr w:rsidR="00F02E63">
        <w:tc>
          <w:tcPr>
            <w:tcW w:w="2633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Промыш. </w:t>
            </w:r>
          </w:p>
        </w:tc>
        <w:tc>
          <w:tcPr>
            <w:tcW w:w="1388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41,2 </w:t>
            </w:r>
          </w:p>
        </w:tc>
        <w:tc>
          <w:tcPr>
            <w:tcW w:w="1388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39 </w:t>
            </w:r>
          </w:p>
        </w:tc>
        <w:tc>
          <w:tcPr>
            <w:tcW w:w="1388" w:type="dxa"/>
            <w:gridSpan w:val="2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36 </w:t>
            </w:r>
          </w:p>
        </w:tc>
        <w:tc>
          <w:tcPr>
            <w:tcW w:w="1388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32,7 </w:t>
            </w:r>
          </w:p>
        </w:tc>
        <w:tc>
          <w:tcPr>
            <w:tcW w:w="1388" w:type="dxa"/>
            <w:gridSpan w:val="2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30,7 </w:t>
            </w:r>
          </w:p>
        </w:tc>
        <w:tc>
          <w:tcPr>
            <w:tcW w:w="888" w:type="dxa"/>
            <w:gridSpan w:val="2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  <w:tc>
          <w:tcPr>
            <w:tcW w:w="888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  <w:tc>
          <w:tcPr>
            <w:tcW w:w="94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</w:tr>
      <w:tr w:rsidR="00F02E63">
        <w:tc>
          <w:tcPr>
            <w:tcW w:w="2633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Услуги </w:t>
            </w:r>
          </w:p>
        </w:tc>
        <w:tc>
          <w:tcPr>
            <w:tcW w:w="1388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52,4 </w:t>
            </w:r>
          </w:p>
        </w:tc>
        <w:tc>
          <w:tcPr>
            <w:tcW w:w="1388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53,4 </w:t>
            </w:r>
          </w:p>
        </w:tc>
        <w:tc>
          <w:tcPr>
            <w:tcW w:w="1388" w:type="dxa"/>
            <w:gridSpan w:val="2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55,9 </w:t>
            </w:r>
          </w:p>
        </w:tc>
        <w:tc>
          <w:tcPr>
            <w:tcW w:w="1388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60,6 </w:t>
            </w:r>
          </w:p>
        </w:tc>
        <w:tc>
          <w:tcPr>
            <w:tcW w:w="1388" w:type="dxa"/>
            <w:gridSpan w:val="2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63,3 </w:t>
            </w:r>
          </w:p>
        </w:tc>
        <w:tc>
          <w:tcPr>
            <w:tcW w:w="888" w:type="dxa"/>
            <w:gridSpan w:val="2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  <w:tc>
          <w:tcPr>
            <w:tcW w:w="888" w:type="dxa"/>
            <w:tcBorders>
              <w:left w:val="double" w:sz="1" w:space="0" w:color="808080"/>
              <w:bottom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  <w:tc>
          <w:tcPr>
            <w:tcW w:w="94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</w:tr>
      <w:tr w:rsidR="00F02E63">
        <w:tc>
          <w:tcPr>
            <w:tcW w:w="12289" w:type="dxa"/>
            <w:gridSpan w:val="1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АРГЕНТИНСКИЙ ИМПОРТ МАШИН И ОБОРУДОВАНИЯ (В МЛН. ДОЛЛ.)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  <w:tc>
          <w:tcPr>
            <w:tcW w:w="3302" w:type="dxa"/>
            <w:gridSpan w:val="5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приложение 2 </w:t>
            </w:r>
          </w:p>
        </w:tc>
        <w:tc>
          <w:tcPr>
            <w:tcW w:w="2356" w:type="dxa"/>
            <w:gridSpan w:val="3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12289" w:type="dxa"/>
            <w:gridSpan w:val="12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'С Т А Т Ь И И М П О Р Т А </w:t>
            </w:r>
          </w:p>
        </w:tc>
        <w:tc>
          <w:tcPr>
            <w:tcW w:w="1651" w:type="dxa"/>
            <w:gridSpan w:val="3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1980 </w:t>
            </w:r>
          </w:p>
        </w:tc>
        <w:tc>
          <w:tcPr>
            <w:tcW w:w="1651" w:type="dxa"/>
            <w:gridSpan w:val="2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1985 </w:t>
            </w:r>
          </w:p>
        </w:tc>
        <w:tc>
          <w:tcPr>
            <w:tcW w:w="2356" w:type="dxa"/>
            <w:gridSpan w:val="3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В с е г о </w:t>
            </w:r>
          </w:p>
        </w:tc>
        <w:tc>
          <w:tcPr>
            <w:tcW w:w="1651" w:type="dxa"/>
            <w:gridSpan w:val="3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4305,4 </w:t>
            </w:r>
          </w:p>
        </w:tc>
        <w:tc>
          <w:tcPr>
            <w:tcW w:w="1651" w:type="dxa"/>
            <w:gridSpan w:val="2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1206,2 </w:t>
            </w:r>
          </w:p>
        </w:tc>
        <w:tc>
          <w:tcPr>
            <w:tcW w:w="2356" w:type="dxa"/>
            <w:gridSpan w:val="3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в том числе: </w:t>
            </w:r>
          </w:p>
        </w:tc>
        <w:tc>
          <w:tcPr>
            <w:tcW w:w="565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Энергосиловое оборудование </w:t>
            </w:r>
          </w:p>
        </w:tc>
        <w:tc>
          <w:tcPr>
            <w:tcW w:w="1651" w:type="dxa"/>
            <w:gridSpan w:val="3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378,2 </w:t>
            </w:r>
          </w:p>
        </w:tc>
        <w:tc>
          <w:tcPr>
            <w:tcW w:w="1651" w:type="dxa"/>
            <w:gridSpan w:val="2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109 </w:t>
            </w:r>
          </w:p>
        </w:tc>
        <w:tc>
          <w:tcPr>
            <w:tcW w:w="2356" w:type="dxa"/>
            <w:gridSpan w:val="3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поршневые двигатели </w:t>
            </w:r>
          </w:p>
        </w:tc>
        <w:tc>
          <w:tcPr>
            <w:tcW w:w="1651" w:type="dxa"/>
            <w:gridSpan w:val="3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119,4 </w:t>
            </w:r>
          </w:p>
        </w:tc>
        <w:tc>
          <w:tcPr>
            <w:tcW w:w="1651" w:type="dxa"/>
            <w:gridSpan w:val="2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36,8 </w:t>
            </w:r>
          </w:p>
        </w:tc>
        <w:tc>
          <w:tcPr>
            <w:tcW w:w="2356" w:type="dxa"/>
            <w:gridSpan w:val="3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двигатели и моторы (неэлектрические) </w:t>
            </w:r>
          </w:p>
        </w:tc>
        <w:tc>
          <w:tcPr>
            <w:tcW w:w="1651" w:type="dxa"/>
            <w:gridSpan w:val="3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86,4 </w:t>
            </w:r>
          </w:p>
        </w:tc>
        <w:tc>
          <w:tcPr>
            <w:tcW w:w="1651" w:type="dxa"/>
            <w:gridSpan w:val="2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32,6 </w:t>
            </w:r>
          </w:p>
        </w:tc>
        <w:tc>
          <w:tcPr>
            <w:tcW w:w="2356" w:type="dxa"/>
            <w:gridSpan w:val="3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Машины и оборудование для отдельных отраслей пром. </w:t>
            </w:r>
          </w:p>
        </w:tc>
        <w:tc>
          <w:tcPr>
            <w:tcW w:w="565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с - х машины и оборудование (кроме тракторов) </w:t>
            </w:r>
          </w:p>
        </w:tc>
        <w:tc>
          <w:tcPr>
            <w:tcW w:w="1651" w:type="dxa"/>
            <w:gridSpan w:val="3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713,1 </w:t>
            </w:r>
          </w:p>
        </w:tc>
        <w:tc>
          <w:tcPr>
            <w:tcW w:w="1651" w:type="dxa"/>
            <w:gridSpan w:val="2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180,4 </w:t>
            </w:r>
          </w:p>
        </w:tc>
        <w:tc>
          <w:tcPr>
            <w:tcW w:w="2356" w:type="dxa"/>
            <w:gridSpan w:val="3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тракторы </w:t>
            </w:r>
          </w:p>
        </w:tc>
        <w:tc>
          <w:tcPr>
            <w:tcW w:w="1651" w:type="dxa"/>
            <w:gridSpan w:val="3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38,1 </w:t>
            </w:r>
          </w:p>
        </w:tc>
        <w:tc>
          <w:tcPr>
            <w:tcW w:w="1651" w:type="dxa"/>
            <w:gridSpan w:val="2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3,1 </w:t>
            </w:r>
          </w:p>
        </w:tc>
        <w:tc>
          <w:tcPr>
            <w:tcW w:w="2356" w:type="dxa"/>
            <w:gridSpan w:val="3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строительные машины и оборудование </w:t>
            </w:r>
          </w:p>
        </w:tc>
        <w:tc>
          <w:tcPr>
            <w:tcW w:w="1651" w:type="dxa"/>
            <w:gridSpan w:val="3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49,2 </w:t>
            </w:r>
          </w:p>
        </w:tc>
        <w:tc>
          <w:tcPr>
            <w:tcW w:w="1651" w:type="dxa"/>
            <w:gridSpan w:val="2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5,5 </w:t>
            </w:r>
          </w:p>
        </w:tc>
        <w:tc>
          <w:tcPr>
            <w:tcW w:w="2356" w:type="dxa"/>
            <w:gridSpan w:val="3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оборудование для текстиль. и кожев. - обувной пром. </w:t>
            </w:r>
          </w:p>
        </w:tc>
        <w:tc>
          <w:tcPr>
            <w:tcW w:w="1651" w:type="dxa"/>
            <w:gridSpan w:val="3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180,3 </w:t>
            </w:r>
          </w:p>
        </w:tc>
        <w:tc>
          <w:tcPr>
            <w:tcW w:w="1651" w:type="dxa"/>
            <w:gridSpan w:val="2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39,3 </w:t>
            </w:r>
          </w:p>
        </w:tc>
        <w:tc>
          <w:tcPr>
            <w:tcW w:w="2356" w:type="dxa"/>
            <w:gridSpan w:val="3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оборудование для целлюлозно-бумажной пром. </w:t>
            </w:r>
          </w:p>
        </w:tc>
        <w:tc>
          <w:tcPr>
            <w:tcW w:w="1651" w:type="dxa"/>
            <w:gridSpan w:val="3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131,5 </w:t>
            </w:r>
          </w:p>
        </w:tc>
        <w:tc>
          <w:tcPr>
            <w:tcW w:w="1651" w:type="dxa"/>
            <w:gridSpan w:val="2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58.9 </w:t>
            </w:r>
          </w:p>
        </w:tc>
        <w:tc>
          <w:tcPr>
            <w:tcW w:w="2356" w:type="dxa"/>
            <w:gridSpan w:val="3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печатное и переплетное оборудование </w:t>
            </w:r>
          </w:p>
        </w:tc>
        <w:tc>
          <w:tcPr>
            <w:tcW w:w="1651" w:type="dxa"/>
            <w:gridSpan w:val="3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32,3 </w:t>
            </w:r>
          </w:p>
        </w:tc>
        <w:tc>
          <w:tcPr>
            <w:tcW w:w="1651" w:type="dxa"/>
            <w:gridSpan w:val="2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8,1 </w:t>
            </w:r>
          </w:p>
        </w:tc>
        <w:tc>
          <w:tcPr>
            <w:tcW w:w="2356" w:type="dxa"/>
            <w:gridSpan w:val="3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оборудование для пищевой пром. </w:t>
            </w:r>
          </w:p>
        </w:tc>
        <w:tc>
          <w:tcPr>
            <w:tcW w:w="1651" w:type="dxa"/>
            <w:gridSpan w:val="3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57,5 </w:t>
            </w:r>
          </w:p>
        </w:tc>
        <w:tc>
          <w:tcPr>
            <w:tcW w:w="1651" w:type="dxa"/>
            <w:gridSpan w:val="2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9,1 </w:t>
            </w:r>
          </w:p>
        </w:tc>
        <w:tc>
          <w:tcPr>
            <w:tcW w:w="2356" w:type="dxa"/>
            <w:gridSpan w:val="3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Металлообрабатывающее оборудование </w:t>
            </w:r>
          </w:p>
        </w:tc>
        <w:tc>
          <w:tcPr>
            <w:tcW w:w="1651" w:type="dxa"/>
            <w:gridSpan w:val="3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  <w:tc>
          <w:tcPr>
            <w:tcW w:w="4007" w:type="dxa"/>
            <w:gridSpan w:val="5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станки для обработки металлов </w:t>
            </w:r>
          </w:p>
        </w:tc>
        <w:tc>
          <w:tcPr>
            <w:tcW w:w="1651" w:type="dxa"/>
            <w:gridSpan w:val="3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139,6 </w:t>
            </w:r>
          </w:p>
        </w:tc>
        <w:tc>
          <w:tcPr>
            <w:tcW w:w="1651" w:type="dxa"/>
            <w:gridSpan w:val="2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39,6 </w:t>
            </w:r>
          </w:p>
        </w:tc>
        <w:tc>
          <w:tcPr>
            <w:tcW w:w="2356" w:type="dxa"/>
            <w:gridSpan w:val="3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Машины и оборудование общего назначения </w:t>
            </w:r>
          </w:p>
        </w:tc>
        <w:tc>
          <w:tcPr>
            <w:tcW w:w="565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подъемно-транспортное оборудование </w:t>
            </w:r>
          </w:p>
        </w:tc>
        <w:tc>
          <w:tcPr>
            <w:tcW w:w="1651" w:type="dxa"/>
            <w:gridSpan w:val="3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518,1 </w:t>
            </w:r>
          </w:p>
        </w:tc>
        <w:tc>
          <w:tcPr>
            <w:tcW w:w="1651" w:type="dxa"/>
            <w:gridSpan w:val="2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180,5 </w:t>
            </w:r>
          </w:p>
        </w:tc>
        <w:tc>
          <w:tcPr>
            <w:tcW w:w="2356" w:type="dxa"/>
            <w:gridSpan w:val="3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нагревательное и холодильное оборудование </w:t>
            </w:r>
          </w:p>
        </w:tc>
        <w:tc>
          <w:tcPr>
            <w:tcW w:w="1651" w:type="dxa"/>
            <w:gridSpan w:val="3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156,3 </w:t>
            </w:r>
          </w:p>
        </w:tc>
        <w:tc>
          <w:tcPr>
            <w:tcW w:w="1651" w:type="dxa"/>
            <w:gridSpan w:val="2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30,9 </w:t>
            </w:r>
          </w:p>
        </w:tc>
        <w:tc>
          <w:tcPr>
            <w:tcW w:w="2356" w:type="dxa"/>
            <w:gridSpan w:val="3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Канцелярские машины и оборудование для обработки </w:t>
            </w:r>
          </w:p>
        </w:tc>
        <w:tc>
          <w:tcPr>
            <w:tcW w:w="1651" w:type="dxa"/>
            <w:gridSpan w:val="3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97,6 </w:t>
            </w:r>
          </w:p>
        </w:tc>
        <w:tc>
          <w:tcPr>
            <w:tcW w:w="1651" w:type="dxa"/>
            <w:gridSpan w:val="2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27,5 </w:t>
            </w:r>
          </w:p>
        </w:tc>
        <w:tc>
          <w:tcPr>
            <w:tcW w:w="2356" w:type="dxa"/>
            <w:gridSpan w:val="3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информации </w:t>
            </w:r>
          </w:p>
        </w:tc>
        <w:tc>
          <w:tcPr>
            <w:tcW w:w="565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Оборудование и устройства для дистанционной связи, </w:t>
            </w:r>
          </w:p>
        </w:tc>
        <w:tc>
          <w:tcPr>
            <w:tcW w:w="1651" w:type="dxa"/>
            <w:gridSpan w:val="3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631,8 </w:t>
            </w:r>
          </w:p>
        </w:tc>
        <w:tc>
          <w:tcPr>
            <w:tcW w:w="1651" w:type="dxa"/>
            <w:gridSpan w:val="2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149,9 </w:t>
            </w:r>
          </w:p>
        </w:tc>
        <w:tc>
          <w:tcPr>
            <w:tcW w:w="2356" w:type="dxa"/>
            <w:gridSpan w:val="3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звуковая аппаратура и проч. </w:t>
            </w:r>
          </w:p>
        </w:tc>
        <w:tc>
          <w:tcPr>
            <w:tcW w:w="5658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Электрические машины., аппараты и приспособления </w:t>
            </w:r>
          </w:p>
        </w:tc>
        <w:tc>
          <w:tcPr>
            <w:tcW w:w="1651" w:type="dxa"/>
            <w:gridSpan w:val="3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426,4 </w:t>
            </w:r>
          </w:p>
        </w:tc>
        <w:tc>
          <w:tcPr>
            <w:tcW w:w="1651" w:type="dxa"/>
            <w:gridSpan w:val="2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136,4 </w:t>
            </w:r>
          </w:p>
        </w:tc>
        <w:tc>
          <w:tcPr>
            <w:tcW w:w="2356" w:type="dxa"/>
            <w:gridSpan w:val="3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для мед. целей </w:t>
            </w:r>
          </w:p>
        </w:tc>
        <w:tc>
          <w:tcPr>
            <w:tcW w:w="1651" w:type="dxa"/>
            <w:gridSpan w:val="3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52,5 </w:t>
            </w:r>
          </w:p>
        </w:tc>
        <w:tc>
          <w:tcPr>
            <w:tcW w:w="1651" w:type="dxa"/>
            <w:gridSpan w:val="2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10,5 </w:t>
            </w:r>
          </w:p>
        </w:tc>
        <w:tc>
          <w:tcPr>
            <w:tcW w:w="2356" w:type="dxa"/>
            <w:gridSpan w:val="3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бытового назначения </w:t>
            </w:r>
          </w:p>
        </w:tc>
        <w:tc>
          <w:tcPr>
            <w:tcW w:w="1651" w:type="dxa"/>
            <w:gridSpan w:val="3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58,1 </w:t>
            </w:r>
          </w:p>
        </w:tc>
        <w:tc>
          <w:tcPr>
            <w:tcW w:w="1651" w:type="dxa"/>
            <w:gridSpan w:val="2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5,7 </w:t>
            </w:r>
          </w:p>
        </w:tc>
        <w:tc>
          <w:tcPr>
            <w:tcW w:w="2356" w:type="dxa"/>
            <w:gridSpan w:val="3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Средства дорожного транспорта </w:t>
            </w:r>
          </w:p>
        </w:tc>
        <w:tc>
          <w:tcPr>
            <w:tcW w:w="1651" w:type="dxa"/>
            <w:gridSpan w:val="3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783,7 </w:t>
            </w:r>
          </w:p>
        </w:tc>
        <w:tc>
          <w:tcPr>
            <w:tcW w:w="1651" w:type="dxa"/>
            <w:gridSpan w:val="2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166,1 </w:t>
            </w:r>
          </w:p>
        </w:tc>
        <w:tc>
          <w:tcPr>
            <w:tcW w:w="2356" w:type="dxa"/>
            <w:gridSpan w:val="3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легковые автомобили </w:t>
            </w:r>
          </w:p>
        </w:tc>
        <w:tc>
          <w:tcPr>
            <w:tcW w:w="1651" w:type="dxa"/>
            <w:gridSpan w:val="3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272,7 </w:t>
            </w:r>
          </w:p>
        </w:tc>
        <w:tc>
          <w:tcPr>
            <w:tcW w:w="1651" w:type="dxa"/>
            <w:gridSpan w:val="2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13,2 </w:t>
            </w:r>
          </w:p>
        </w:tc>
        <w:tc>
          <w:tcPr>
            <w:tcW w:w="2356" w:type="dxa"/>
            <w:gridSpan w:val="3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6631" w:type="dxa"/>
            <w:gridSpan w:val="4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автомобили грузовые и спец запчасти </w:t>
            </w:r>
          </w:p>
        </w:tc>
        <w:tc>
          <w:tcPr>
            <w:tcW w:w="1651" w:type="dxa"/>
            <w:gridSpan w:val="3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218,5 </w:t>
            </w:r>
          </w:p>
        </w:tc>
        <w:tc>
          <w:tcPr>
            <w:tcW w:w="1651" w:type="dxa"/>
            <w:gridSpan w:val="2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3,4 </w:t>
            </w:r>
          </w:p>
        </w:tc>
        <w:tc>
          <w:tcPr>
            <w:tcW w:w="2356" w:type="dxa"/>
            <w:gridSpan w:val="3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</w:pPr>
            <w:r>
              <w:t xml:space="preserve">  </w:t>
            </w:r>
          </w:p>
        </w:tc>
      </w:tr>
      <w:tr w:rsidR="00F02E63">
        <w:tc>
          <w:tcPr>
            <w:tcW w:w="12289" w:type="dxa"/>
            <w:gridSpan w:val="12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  </w:t>
            </w:r>
          </w:p>
        </w:tc>
      </w:tr>
      <w:tr w:rsidR="00F02E63">
        <w:tc>
          <w:tcPr>
            <w:tcW w:w="12289" w:type="dxa"/>
            <w:gridSpan w:val="12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02E63" w:rsidRDefault="00635EBA">
            <w:pPr>
              <w:pStyle w:val="TableContents"/>
              <w:rPr>
                <w:rFonts w:ascii="Verdana" w:eastAsia="Liberation Serif" w:hAnsi="Verdana"/>
              </w:rPr>
            </w:pPr>
            <w:r>
              <w:rPr>
                <w:rFonts w:ascii="Verdana" w:eastAsia="Liberation Serif" w:hAnsi="Verdana"/>
              </w:rPr>
              <w:t xml:space="preserve">Источник: Рынок машин и оборудования стран Лат. Ам. БИКИ, Приложение №6., 1982 г., стр. 12-13 </w:t>
            </w:r>
          </w:p>
        </w:tc>
      </w:tr>
    </w:tbl>
    <w:p w:rsidR="00F02E63" w:rsidRDefault="00F02E63">
      <w:pPr>
        <w:pStyle w:val="a3"/>
      </w:pPr>
      <w:bookmarkStart w:id="0" w:name="_GoBack"/>
      <w:bookmarkEnd w:id="0"/>
    </w:p>
    <w:sectPr w:rsidR="00F02E6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EBA"/>
    <w:rsid w:val="00635EBA"/>
    <w:rsid w:val="00B57CB1"/>
    <w:rsid w:val="00F0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2B975-A0FA-41B2-8C32-7928BBD6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Liberation Serif" w:eastAsia="DejaVu Sans" w:hAnsi="Liberation Seri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  <w:ind w:firstLine="720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</w:rPr>
  </w:style>
  <w:style w:type="paragraph" w:customStyle="1" w:styleId="31">
    <w:name w:val="Заголовок 31"/>
    <w:basedOn w:val="Heading"/>
    <w:next w:val="a3"/>
    <w:pPr>
      <w:numPr>
        <w:ilvl w:val="2"/>
        <w:numId w:val="1"/>
      </w:numPr>
      <w:outlineLvl w:val="2"/>
    </w:pPr>
    <w:rPr>
      <w:rFonts w:ascii="Liberation Serif" w:eastAsia="DejaVu Sans" w:hAnsi="Liberation Serif" w:cs="Liberation Serif"/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2915</Words>
  <Characters>16620</Characters>
  <Application>Microsoft Office Word</Application>
  <DocSecurity>0</DocSecurity>
  <Lines>138</Lines>
  <Paragraphs>38</Paragraphs>
  <ScaleCrop>false</ScaleCrop>
  <Company/>
  <LinksUpToDate>false</LinksUpToDate>
  <CharactersWithSpaces>19497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2014-04-08T17:53:00Z</dcterms:created>
  <dcterms:modified xsi:type="dcterms:W3CDTF">2014-04-08T17:53:00Z</dcterms:modified>
</cp:coreProperties>
</file>