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4F" w:rsidRDefault="007C454F">
      <w:pPr>
        <w:pStyle w:val="a3"/>
        <w:pBdr>
          <w:bottom w:val="single" w:sz="4" w:space="1" w:color="auto"/>
        </w:pBdr>
      </w:pPr>
      <w:r>
        <w:t>Министерство образования Российской Федерации</w:t>
      </w:r>
    </w:p>
    <w:p w:rsidR="007C454F" w:rsidRDefault="007C454F">
      <w:pPr>
        <w:pStyle w:val="FR3"/>
        <w:spacing w:before="120" w:line="221" w:lineRule="auto"/>
        <w:ind w:left="0" w:firstLine="0"/>
        <w:jc w:val="center"/>
        <w:rPr>
          <w:sz w:val="24"/>
        </w:rPr>
      </w:pPr>
      <w:r>
        <w:rPr>
          <w:sz w:val="24"/>
        </w:rPr>
        <w:t>Кафедра "Радиоэлектронные и телекоммуникационные устройства и системы"</w:t>
      </w:r>
    </w:p>
    <w:p w:rsidR="007C454F" w:rsidRDefault="007C454F">
      <w:pPr>
        <w:pStyle w:val="FR3"/>
        <w:spacing w:before="460" w:line="220" w:lineRule="auto"/>
        <w:ind w:left="0" w:firstLine="0"/>
        <w:jc w:val="left"/>
        <w:rPr>
          <w:sz w:val="24"/>
        </w:rPr>
      </w:pPr>
    </w:p>
    <w:p w:rsidR="007C454F" w:rsidRDefault="007C454F">
      <w:pPr>
        <w:pStyle w:val="FR3"/>
        <w:spacing w:before="460" w:line="220" w:lineRule="auto"/>
        <w:ind w:left="0" w:firstLine="0"/>
        <w:jc w:val="left"/>
        <w:rPr>
          <w:sz w:val="24"/>
        </w:rPr>
      </w:pPr>
    </w:p>
    <w:p w:rsidR="007C454F" w:rsidRDefault="007C454F">
      <w:pPr>
        <w:pStyle w:val="FR3"/>
        <w:tabs>
          <w:tab w:val="center" w:pos="7293"/>
        </w:tabs>
        <w:ind w:left="0" w:firstLine="0"/>
        <w:jc w:val="left"/>
        <w:rPr>
          <w:smallCaps/>
          <w:sz w:val="24"/>
        </w:rPr>
      </w:pPr>
      <w:r>
        <w:rPr>
          <w:smallCaps/>
          <w:sz w:val="24"/>
        </w:rPr>
        <w:tab/>
        <w:t>Утверждаю</w:t>
      </w:r>
    </w:p>
    <w:p w:rsidR="007C454F" w:rsidRDefault="007C454F">
      <w:pPr>
        <w:pStyle w:val="FR3"/>
        <w:tabs>
          <w:tab w:val="center" w:pos="7293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ab/>
        <w:t>Зав. кафедрой РТУиС</w:t>
      </w:r>
    </w:p>
    <w:p w:rsidR="007C454F" w:rsidRDefault="007C454F">
      <w:pPr>
        <w:pStyle w:val="FR3"/>
        <w:tabs>
          <w:tab w:val="center" w:pos="7293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ab/>
        <w:t>проф. ____________Л. Н. Кечиев</w:t>
      </w:r>
    </w:p>
    <w:p w:rsidR="007C454F" w:rsidRDefault="007C454F">
      <w:pPr>
        <w:pStyle w:val="FR3"/>
        <w:spacing w:before="460" w:line="220" w:lineRule="auto"/>
        <w:ind w:left="0" w:firstLine="0"/>
        <w:jc w:val="left"/>
        <w:rPr>
          <w:sz w:val="24"/>
        </w:rPr>
      </w:pPr>
    </w:p>
    <w:p w:rsidR="007C454F" w:rsidRDefault="007C454F">
      <w:pPr>
        <w:pStyle w:val="FR3"/>
        <w:spacing w:before="460" w:line="220" w:lineRule="auto"/>
        <w:ind w:left="0" w:firstLine="0"/>
        <w:jc w:val="left"/>
        <w:rPr>
          <w:sz w:val="24"/>
        </w:rPr>
      </w:pPr>
    </w:p>
    <w:p w:rsidR="007C454F" w:rsidRDefault="007C454F">
      <w:pPr>
        <w:pStyle w:val="1"/>
        <w:jc w:val="center"/>
      </w:pPr>
      <w:r>
        <w:t>Методические указания</w:t>
      </w:r>
    </w:p>
    <w:p w:rsidR="007C454F" w:rsidRDefault="007C454F">
      <w:pPr>
        <w:pStyle w:val="FR3"/>
        <w:ind w:left="0" w:firstLine="0"/>
        <w:jc w:val="center"/>
        <w:rPr>
          <w:sz w:val="28"/>
        </w:rPr>
      </w:pPr>
      <w:r>
        <w:rPr>
          <w:sz w:val="28"/>
        </w:rPr>
        <w:t xml:space="preserve">по подготовке к государственному экзамену по </w:t>
      </w:r>
      <w:r w:rsidR="00FF67E1">
        <w:rPr>
          <w:sz w:val="28"/>
        </w:rPr>
        <w:t>направлению</w:t>
      </w:r>
      <w:r>
        <w:rPr>
          <w:sz w:val="28"/>
        </w:rPr>
        <w:t xml:space="preserve"> </w:t>
      </w:r>
      <w:r>
        <w:rPr>
          <w:sz w:val="28"/>
        </w:rPr>
        <w:br/>
        <w:t>"Проектирование и технология электронных средств"</w:t>
      </w: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</w:p>
    <w:p w:rsidR="007C454F" w:rsidRDefault="007C454F">
      <w:pPr>
        <w:jc w:val="center"/>
        <w:rPr>
          <w:szCs w:val="18"/>
        </w:rPr>
      </w:pPr>
      <w:r>
        <w:rPr>
          <w:szCs w:val="18"/>
        </w:rPr>
        <w:t>Москва 20</w:t>
      </w:r>
      <w:r w:rsidR="00FF67E1">
        <w:rPr>
          <w:szCs w:val="18"/>
        </w:rPr>
        <w:t>1</w:t>
      </w:r>
      <w:r>
        <w:rPr>
          <w:szCs w:val="18"/>
        </w:rPr>
        <w:t>0</w:t>
      </w:r>
    </w:p>
    <w:p w:rsidR="007C454F" w:rsidRDefault="007C454F">
      <w:pPr>
        <w:spacing w:before="3880"/>
      </w:pPr>
      <w:r>
        <w:rPr>
          <w:szCs w:val="18"/>
        </w:rPr>
        <w:br w:type="page"/>
      </w:r>
    </w:p>
    <w:p w:rsidR="007C454F" w:rsidRDefault="007C454F">
      <w:pPr>
        <w:rPr>
          <w:b/>
          <w:bCs/>
          <w:szCs w:val="18"/>
        </w:rPr>
      </w:pPr>
      <w:r>
        <w:rPr>
          <w:b/>
          <w:bCs/>
          <w:szCs w:val="18"/>
        </w:rPr>
        <w:t xml:space="preserve">Составители: д. т. н., профессор Кечиев Л. Н., ст. преп. </w:t>
      </w:r>
      <w:r w:rsidR="00FF67E1">
        <w:rPr>
          <w:b/>
          <w:bCs/>
          <w:szCs w:val="18"/>
        </w:rPr>
        <w:t>Крючков Н.М.</w:t>
      </w:r>
    </w:p>
    <w:p w:rsidR="007C454F" w:rsidRDefault="007C454F"/>
    <w:p w:rsidR="007C454F" w:rsidRDefault="007C454F">
      <w:pPr>
        <w:pStyle w:val="FR3"/>
        <w:spacing w:before="280"/>
        <w:ind w:left="0" w:firstLine="480"/>
        <w:rPr>
          <w:sz w:val="24"/>
        </w:rPr>
      </w:pPr>
      <w:r>
        <w:rPr>
          <w:sz w:val="24"/>
        </w:rPr>
        <w:t xml:space="preserve">Методические указания по подготовке к Государственному экзамену по </w:t>
      </w:r>
      <w:r w:rsidR="00FF67E1">
        <w:rPr>
          <w:sz w:val="24"/>
        </w:rPr>
        <w:t>направлению «Проектирование и технология электронных средств»</w:t>
      </w:r>
      <w:r>
        <w:rPr>
          <w:sz w:val="24"/>
        </w:rPr>
        <w:t xml:space="preserve"> содержат основные требования и перечень вопросов, выносимых на экзамен, которые формируются на основе темы дипломного проекта или дипломной работы и соответствуют квалификационной характеристике специалиста.</w:t>
      </w:r>
    </w:p>
    <w:p w:rsidR="007C454F" w:rsidRDefault="007C454F">
      <w:pPr>
        <w:ind w:firstLine="397"/>
        <w:jc w:val="both"/>
      </w:pPr>
      <w:r>
        <w:br w:type="page"/>
        <w:t xml:space="preserve">Широкое применение радиоэлектроники во всех отраслях народного хозяйства является средством повышения общественного производства и обеспечения научно-технического прогресса в стране. В этой связи особое приоритетное значение приобретает подготовка высококвалифицированных специалистов по </w:t>
      </w:r>
      <w:r w:rsidR="00FF67E1">
        <w:t>направлению</w:t>
      </w:r>
      <w:r>
        <w:t xml:space="preserve"> «Проектирование и технология электронных средств». </w:t>
      </w:r>
      <w:r w:rsidR="00FF67E1">
        <w:t>И</w:t>
      </w:r>
      <w:r>
        <w:t>нженер должен быть подготовлен к активной творческой профессиональной и социальной деятельности, обеспечивающей ему возможность успешно работать в следующих основных направлениях разработки и эксплуатации радиоэлектронных средств:</w:t>
      </w:r>
    </w:p>
    <w:p w:rsidR="007C454F" w:rsidRDefault="007C454F" w:rsidP="00FF67E1">
      <w:pPr>
        <w:numPr>
          <w:ilvl w:val="0"/>
          <w:numId w:val="12"/>
        </w:numPr>
        <w:jc w:val="both"/>
      </w:pPr>
      <w:r>
        <w:t>проектно-конструкторское;</w:t>
      </w:r>
    </w:p>
    <w:p w:rsidR="007C454F" w:rsidRDefault="007C454F" w:rsidP="00FF67E1">
      <w:pPr>
        <w:numPr>
          <w:ilvl w:val="0"/>
          <w:numId w:val="12"/>
        </w:numPr>
        <w:jc w:val="both"/>
      </w:pPr>
      <w:r>
        <w:t>научно-исследовательское;</w:t>
      </w:r>
    </w:p>
    <w:p w:rsidR="007C454F" w:rsidRDefault="007C454F" w:rsidP="00FF67E1">
      <w:pPr>
        <w:numPr>
          <w:ilvl w:val="0"/>
          <w:numId w:val="12"/>
        </w:numPr>
        <w:jc w:val="both"/>
      </w:pPr>
      <w:r>
        <w:t>производственно-технологическое;</w:t>
      </w:r>
    </w:p>
    <w:p w:rsidR="007C454F" w:rsidRDefault="007C454F" w:rsidP="00FF67E1">
      <w:pPr>
        <w:numPr>
          <w:ilvl w:val="0"/>
          <w:numId w:val="12"/>
        </w:numPr>
        <w:jc w:val="both"/>
      </w:pPr>
      <w:r>
        <w:t>организационно-управленческое.</w:t>
      </w:r>
    </w:p>
    <w:p w:rsidR="007C454F" w:rsidRDefault="007C454F">
      <w:pPr>
        <w:ind w:firstLine="397"/>
        <w:jc w:val="both"/>
      </w:pPr>
      <w:r>
        <w:t>Специалист должен уметь оценивать исторические и современные процессы и проблемы общественной жизни страны, место и роль в ней своей профессиональной деятельности, мыслить, аргументировано отстаивать свою точку зрения. Он должен иметь навыки профессиональной коллективной и социальной деятельности, организаторской и воспитательной работы с людьми, уметь применять профессиональные решения с учетом их социальных последствий и требований этики.</w:t>
      </w:r>
    </w:p>
    <w:p w:rsidR="007C454F" w:rsidRDefault="007C454F">
      <w:pPr>
        <w:ind w:firstLine="397"/>
        <w:jc w:val="both"/>
      </w:pPr>
      <w:r>
        <w:t>Он должен обладать развитым экологическим мышлением, предвидеть и исключать вредные для окружающей среды последствия принимаемых профессиональных решений. Он должен использовать иностранный язык в своей профессиональной деятельности, знать основы отечественной и мировой культуры, а также иметь потребность в постоянном профессиональном, духовном и физическом совершенствовании.</w:t>
      </w:r>
    </w:p>
    <w:p w:rsidR="0067278B" w:rsidRDefault="007C454F">
      <w:pPr>
        <w:ind w:firstLine="397"/>
        <w:jc w:val="both"/>
      </w:pPr>
      <w:r>
        <w:t>Государственный экзамен по специальности ставит целью выявление соответствия подготовки выпускников требованиям квалификационной характеристики, оговоренной в Государственном образовательном стандарте</w:t>
      </w:r>
      <w:r w:rsidR="0067278B">
        <w:t xml:space="preserve"> </w:t>
      </w:r>
    </w:p>
    <w:p w:rsidR="007C454F" w:rsidRDefault="0067278B">
      <w:pPr>
        <w:ind w:firstLine="397"/>
        <w:jc w:val="both"/>
      </w:pPr>
      <w:r>
        <w:t xml:space="preserve">(см. сайт ФИТ </w:t>
      </w:r>
      <w:r w:rsidRPr="0067278B">
        <w:t>http://fit.miem.edu.ru/cgi-bin/index.pl?page=docs&amp;did=2</w:t>
      </w:r>
      <w:r>
        <w:t>)</w:t>
      </w:r>
      <w:r w:rsidR="007C454F">
        <w:t>.</w:t>
      </w:r>
    </w:p>
    <w:p w:rsidR="007C454F" w:rsidRDefault="007C454F">
      <w:pPr>
        <w:ind w:firstLine="397"/>
        <w:jc w:val="both"/>
      </w:pPr>
      <w:r>
        <w:t>В соответствии с требованиями квалификационной характеристики по специальности специалист должен уметь проектировать с использованием ЭВМ и систем автоматизированного проектирования современные и перспективные радиоэлектронные средства (РЭС), их компоненты и разрабатывать технологию РЭС, реализуя на основе достижений физики и микроэлектроники, теории радиотехнических систем и устройств прогрессивные способы формирования и обработки сигналов, а также осуществлять технологическую подготовку производства, проведение испытаний, направленных на повышение эффективности производства и качества радиоэлектронных средств общего и специального назначения.</w:t>
      </w:r>
    </w:p>
    <w:p w:rsidR="007C454F" w:rsidRDefault="007C454F">
      <w:pPr>
        <w:ind w:firstLine="397"/>
        <w:jc w:val="both"/>
      </w:pPr>
      <w:r>
        <w:t>При этом специалист должен уметь компетентно и ответственно решать совокупность характерных комплексных задач по следующим видам его деятельности:</w:t>
      </w:r>
    </w:p>
    <w:p w:rsidR="007C454F" w:rsidRDefault="007C454F">
      <w:pPr>
        <w:ind w:firstLine="397"/>
        <w:jc w:val="both"/>
      </w:pPr>
      <w:r>
        <w:t>- выполнять проектно-конструкторские и расчетные работы с применением ЭВМ в области создания радиоэлектронных средств и устройств с учетом технологии их производства, оценивать экономическую эффективность полученных решений, разрабатывать и внедрять новые технологические процессы автоматизированного производства РЭС, предусматривая при этом мероприятия по защите окружающей среды, контролировать и принимать меры по повышению качества изделий;</w:t>
      </w:r>
    </w:p>
    <w:p w:rsidR="007C454F" w:rsidRDefault="007C454F">
      <w:pPr>
        <w:ind w:firstLine="397"/>
        <w:jc w:val="both"/>
      </w:pPr>
      <w:r>
        <w:t>- самостоятельно принимать производственные и технические решения, разрабатывать и вести техническую документацию, способствовать развитию и внедрению научно-технического прогресса;</w:t>
      </w:r>
    </w:p>
    <w:p w:rsidR="007C454F" w:rsidRDefault="007C454F">
      <w:pPr>
        <w:ind w:firstLine="397"/>
        <w:jc w:val="both"/>
      </w:pPr>
      <w:r>
        <w:t>- знать направление и состояние развития конструкций и технологических процессов в связи с общим прогрессом радиоэлектронных средств, а именно: создание перспективных технологических конструкций и эффективных технологических процессов на основе новых физических принципов и явлений с целью совершенствования технических характеристик радиоэлектронных устройств и систем.</w:t>
      </w:r>
    </w:p>
    <w:p w:rsidR="007C454F" w:rsidRDefault="007C454F">
      <w:pPr>
        <w:ind w:firstLine="397"/>
        <w:jc w:val="both"/>
      </w:pPr>
      <w:r>
        <w:t xml:space="preserve">Важной задачей Государственного экзамена по специальности является улучшение качества подготовки выпускников МИЭМ путем повышения роли и качества дипломного проектирования, ставящего целью систематизацию, закрепление и расширение теоретических и практических знаний в выбранном направлении проектирования и производства РЭС. В этой связи перечень основных вопросов, выносимых на Государственный экзамен по </w:t>
      </w:r>
      <w:r w:rsidR="0067278B">
        <w:t>направлению</w:t>
      </w:r>
      <w:r>
        <w:t>, формируется на основе темы дипломного проекта или работы и имеет специфику, зависящую от их профиля: конструкторского, технологического или исследовательского.</w:t>
      </w:r>
    </w:p>
    <w:p w:rsidR="007C454F" w:rsidRDefault="007C454F">
      <w:pPr>
        <w:ind w:firstLine="397"/>
        <w:jc w:val="both"/>
      </w:pPr>
    </w:p>
    <w:p w:rsidR="007C454F" w:rsidRDefault="007C454F">
      <w:pPr>
        <w:pStyle w:val="4"/>
      </w:pPr>
      <w:r>
        <w:t>Конструкторские проекты</w:t>
      </w:r>
    </w:p>
    <w:p w:rsidR="007C454F" w:rsidRDefault="007C454F">
      <w:pPr>
        <w:ind w:firstLine="397"/>
        <w:jc w:val="both"/>
      </w:pPr>
      <w:r>
        <w:t>1. Актуальность темы проекта, назначение проектируемого устройства, основные тактико-технические характеристики, показатели качества и технико-экономические требования. Сравнительный анализ с отечественными и зарубежными аналогами. Анализ технического задания на электрические характеристики и параметры, требования к конструкции, условиям эксплуатации, показателям качества, помехозащищенности и обеспечению электромагнитной совместимости.</w:t>
      </w:r>
    </w:p>
    <w:p w:rsidR="007C454F" w:rsidRDefault="007C454F">
      <w:pPr>
        <w:ind w:firstLine="397"/>
        <w:jc w:val="both"/>
      </w:pPr>
      <w:r>
        <w:t>2. Анализ структурной или функциональной электрической схемы устройства. Обеспечение принципа работы, выбора частот, вида модуляции, полос частот, временных диаграмм. Основные требования к параметрам сигналов и помех, быстродействию и связанные с этим особенности конструктивной реализации устройства.</w:t>
      </w:r>
    </w:p>
    <w:p w:rsidR="007C454F" w:rsidRDefault="007C454F">
      <w:pPr>
        <w:ind w:firstLine="397"/>
        <w:jc w:val="both"/>
      </w:pPr>
      <w:r>
        <w:t>3. Обоснование выбора элементной базы:</w:t>
      </w:r>
    </w:p>
    <w:p w:rsidR="007C454F" w:rsidRDefault="007C454F">
      <w:pPr>
        <w:numPr>
          <w:ilvl w:val="0"/>
          <w:numId w:val="6"/>
        </w:numPr>
        <w:jc w:val="both"/>
      </w:pPr>
      <w:r>
        <w:t>выбор активных элементов (полупроводниковых приборов, аналоговых и цифровых интегральных схем различной степени интеграции);</w:t>
      </w:r>
    </w:p>
    <w:p w:rsidR="007C454F" w:rsidRDefault="007C454F">
      <w:pPr>
        <w:numPr>
          <w:ilvl w:val="0"/>
          <w:numId w:val="6"/>
        </w:numPr>
        <w:jc w:val="both"/>
      </w:pPr>
      <w:r>
        <w:t>выбор пассивных элементов для сигнальных цепей, цепей питания, управления, синхронизации и т.д. Схемы замещения элементной базы и их применение при анализе функционирования электрической схемы проектируемого устройства.</w:t>
      </w:r>
    </w:p>
    <w:p w:rsidR="007C454F" w:rsidRDefault="007C454F">
      <w:pPr>
        <w:ind w:firstLine="397"/>
        <w:jc w:val="both"/>
      </w:pPr>
      <w:r>
        <w:t>4. Анализ возможности применения ЭВМ и САПР на различных этапах проектирования устройства.</w:t>
      </w:r>
    </w:p>
    <w:p w:rsidR="0067278B" w:rsidRDefault="0067278B">
      <w:pPr>
        <w:ind w:firstLine="397"/>
        <w:jc w:val="both"/>
      </w:pPr>
      <w:r>
        <w:t>5. Анализ методов и средств обеспечения электромагнитной совместимости.</w:t>
      </w:r>
    </w:p>
    <w:p w:rsidR="007C454F" w:rsidRDefault="0067278B">
      <w:pPr>
        <w:ind w:firstLine="397"/>
        <w:jc w:val="both"/>
      </w:pPr>
      <w:r>
        <w:t>6</w:t>
      </w:r>
      <w:r w:rsidR="007C454F">
        <w:t>. Обоснование предложенных способов компоновки и монтажа устройства, исходя из его назначения, требований к электрическим характеристикам и параметрам, условиям эксплуатации:</w:t>
      </w:r>
    </w:p>
    <w:p w:rsidR="007C454F" w:rsidRDefault="007C454F">
      <w:pPr>
        <w:numPr>
          <w:ilvl w:val="0"/>
          <w:numId w:val="2"/>
        </w:numPr>
        <w:jc w:val="both"/>
      </w:pPr>
      <w:r>
        <w:t>обеспечение комплексной миниатюризации, стандартизации, совместимости с объектом эксплуатации и оператором, высоких показателей эксплуатационной надежности, ремонтопригодности, технологичности,</w:t>
      </w:r>
    </w:p>
    <w:p w:rsidR="007C454F" w:rsidRDefault="007C454F">
      <w:pPr>
        <w:numPr>
          <w:ilvl w:val="0"/>
          <w:numId w:val="2"/>
        </w:numPr>
        <w:jc w:val="both"/>
      </w:pPr>
      <w:r>
        <w:t>обеспечение нормального теплового режима, защиты от механических воздействий, обеспечение электрической прочности,</w:t>
      </w:r>
    </w:p>
    <w:p w:rsidR="007C454F" w:rsidRDefault="007C454F">
      <w:pPr>
        <w:numPr>
          <w:ilvl w:val="0"/>
          <w:numId w:val="2"/>
        </w:numPr>
        <w:jc w:val="both"/>
      </w:pPr>
      <w:r>
        <w:t>обеспечение требований техники безопасности проектируемого устройства,</w:t>
      </w:r>
    </w:p>
    <w:p w:rsidR="007C454F" w:rsidRDefault="007C454F">
      <w:pPr>
        <w:numPr>
          <w:ilvl w:val="0"/>
          <w:numId w:val="2"/>
        </w:numPr>
        <w:jc w:val="both"/>
      </w:pPr>
      <w:r>
        <w:t>применение мер по повышению помехозащищенности и обеспечению электромагнитной совместимости.</w:t>
      </w:r>
    </w:p>
    <w:p w:rsidR="007C454F" w:rsidRDefault="0067278B">
      <w:pPr>
        <w:ind w:firstLine="397"/>
        <w:jc w:val="both"/>
      </w:pPr>
      <w:r>
        <w:t>7</w:t>
      </w:r>
      <w:r w:rsidR="007C454F">
        <w:t>. Обоснование выбора материалов и покрытий. Обеспечение защиты от влияния факторов внешней среды: влаги, пониженного атмосферного давления, фоновых излучений, пыли, песка, биологической среды.</w:t>
      </w:r>
    </w:p>
    <w:p w:rsidR="007C454F" w:rsidRDefault="0067278B">
      <w:pPr>
        <w:ind w:firstLine="397"/>
        <w:jc w:val="both"/>
      </w:pPr>
      <w:r>
        <w:t>8</w:t>
      </w:r>
      <w:r w:rsidR="007C454F">
        <w:t>. Обеспечение точности и стабильности электрических параметров устройства. Анализ надежности устройства.</w:t>
      </w:r>
    </w:p>
    <w:p w:rsidR="007C454F" w:rsidRDefault="0067278B">
      <w:pPr>
        <w:ind w:firstLine="397"/>
        <w:jc w:val="both"/>
      </w:pPr>
      <w:r>
        <w:t>9</w:t>
      </w:r>
      <w:r w:rsidR="007C454F">
        <w:t>. Обеспечение требований эргономики проектируемого устройства.</w:t>
      </w:r>
    </w:p>
    <w:p w:rsidR="007C454F" w:rsidRDefault="0067278B">
      <w:pPr>
        <w:ind w:firstLine="397"/>
        <w:jc w:val="both"/>
      </w:pPr>
      <w:r>
        <w:t>10</w:t>
      </w:r>
      <w:r w:rsidR="007C454F">
        <w:t>. Обоснование выбора технологических процессов изготовления и сборки устройства. Применение гибких автоматизированных систем. Оценка технологичности конструкции устройства.</w:t>
      </w:r>
    </w:p>
    <w:p w:rsidR="007C454F" w:rsidRDefault="007C454F">
      <w:pPr>
        <w:ind w:firstLine="397"/>
        <w:jc w:val="both"/>
      </w:pPr>
      <w:r>
        <w:t>1</w:t>
      </w:r>
      <w:r w:rsidR="0067278B">
        <w:t>1</w:t>
      </w:r>
      <w:r>
        <w:t>. Обоснование выбора методик настройки и контроля устройства. Методика испытаний устройства на соответствие требованиям технического задания на проектирование.</w:t>
      </w:r>
    </w:p>
    <w:p w:rsidR="007C454F" w:rsidRDefault="007C454F">
      <w:pPr>
        <w:ind w:firstLine="397"/>
        <w:jc w:val="both"/>
      </w:pPr>
    </w:p>
    <w:p w:rsidR="007C454F" w:rsidRDefault="007C454F">
      <w:pPr>
        <w:pStyle w:val="4"/>
      </w:pPr>
      <w:r>
        <w:t>Технологические проекты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Актуальность темы проекта. Назначение проектируемого технологического процесса или специального технологического оборудования. Сравнительный анализ технико-экономических параметров с отечественными и зарубежными аналогами. Анализ технического задания на характеристики проектируемого процесса или оборудования.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Обоснование принципа построения проектируемого технологического процесса или специального технологического оборудования. Применение теории построения технологических процессов изготовления, сборки, монтажа, регулировки, контроля аппаратуры применительно к конкретной задаче разработки прогрессивной технологии в дипломном проекте.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Обоснованность выбора вариантов маршрутной сборки, монтажа, регулировки, контроля аппаратуры и анализ возможности механизации, автоматизации и применения средств гибкого автоматизированного производства.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Применение мер по обеспечению требований техники безопасности и защиты окружающей среды.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Анализ возможностей применения ЭВМ и САПР на различных этапах проектирования разрабатываемого технологического процесса или специального технологического оборудования.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Обеспечение точности и стабильности характеристик и параметров разрабатываемого технологического процесса или специального технологического оборудования.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Обоснование предложений на изменение конструкции радиоэлектронного средства или его функциональных узлов, направленных на повышение технологичности.</w:t>
      </w:r>
    </w:p>
    <w:p w:rsidR="007C454F" w:rsidRDefault="007C454F">
      <w:pPr>
        <w:numPr>
          <w:ilvl w:val="0"/>
          <w:numId w:val="8"/>
        </w:numPr>
        <w:tabs>
          <w:tab w:val="clear" w:pos="780"/>
          <w:tab w:val="num" w:pos="374"/>
        </w:tabs>
        <w:ind w:left="374" w:hanging="374"/>
        <w:jc w:val="both"/>
      </w:pPr>
      <w:r>
        <w:t>Методика испытаний разрабатываемого технологического процесса или специального технологического оборудования.</w:t>
      </w:r>
    </w:p>
    <w:p w:rsidR="007C454F" w:rsidRDefault="007C454F">
      <w:pPr>
        <w:ind w:firstLine="397"/>
        <w:jc w:val="both"/>
      </w:pPr>
    </w:p>
    <w:p w:rsidR="0067278B" w:rsidRDefault="007C454F" w:rsidP="0067278B">
      <w:pPr>
        <w:pStyle w:val="4"/>
      </w:pPr>
      <w:r>
        <w:t>Исследовательские проекты</w:t>
      </w:r>
      <w:r w:rsidR="0067278B">
        <w:t xml:space="preserve"> и дипломные работы</w:t>
      </w:r>
    </w:p>
    <w:p w:rsidR="007C454F" w:rsidRDefault="007C454F">
      <w:pPr>
        <w:pStyle w:val="a6"/>
      </w:pPr>
      <w:r>
        <w:t xml:space="preserve">Исследовательские </w:t>
      </w:r>
      <w:r w:rsidR="0067278B">
        <w:t xml:space="preserve">дипломные </w:t>
      </w:r>
      <w:r>
        <w:t xml:space="preserve">проекты </w:t>
      </w:r>
      <w:r w:rsidR="0067278B">
        <w:t xml:space="preserve">и дипломные работы </w:t>
      </w:r>
      <w:r>
        <w:t>выполняются, как правило, в виде работ</w:t>
      </w:r>
      <w:r w:rsidR="0067278B">
        <w:t xml:space="preserve"> с произвольной структурой по направлению подготовки. Дипломные работы</w:t>
      </w:r>
      <w:r>
        <w:t xml:space="preserve"> разрешены для студентов с высокой успеваемостью (средний бал 4 и выше). Темы формируются на основе научной работы студента на кафедре </w:t>
      </w:r>
      <w:r w:rsidR="0067278B">
        <w:t xml:space="preserve">под руководством преподавателя кафедры </w:t>
      </w:r>
      <w:r>
        <w:t xml:space="preserve">в течение определенного времени. В большинстве случаев дипломная работа является итогом </w:t>
      </w:r>
      <w:r w:rsidR="004239CD">
        <w:t>учебы</w:t>
      </w:r>
      <w:r>
        <w:t xml:space="preserve"> по индивидуальному учебному плану, в результате чего формируется определенный научный задел будущей работы.</w:t>
      </w:r>
    </w:p>
    <w:p w:rsidR="007C454F" w:rsidRDefault="007C454F">
      <w:pPr>
        <w:ind w:firstLine="561"/>
        <w:jc w:val="both"/>
      </w:pPr>
      <w:r>
        <w:t>Тематика дипломных работ</w:t>
      </w:r>
      <w:r w:rsidR="004239CD">
        <w:t xml:space="preserve"> и исследовательских проектов </w:t>
      </w:r>
      <w:r>
        <w:t xml:space="preserve">может быть весьма разнообразной, и </w:t>
      </w:r>
      <w:r w:rsidR="004239CD">
        <w:t xml:space="preserve">она </w:t>
      </w:r>
      <w:r>
        <w:t>направлена на решения определенной научной задачи, создания математического и методического обеспечения компьютерного проектирования РЭС, создания информационно-справочных баз в области проектирования РЭС, разработки инженерных методик расчета элементов, узлов и параметров аппаратуры и т.п. Ниже приведен примерный перечень вопросов</w:t>
      </w:r>
      <w:r w:rsidR="004239CD">
        <w:t>,</w:t>
      </w:r>
      <w:r>
        <w:t xml:space="preserve"> которые могут быть вынесены на Государственный экзамен.</w:t>
      </w:r>
    </w:p>
    <w:p w:rsidR="007C454F" w:rsidRDefault="007C454F">
      <w:pPr>
        <w:numPr>
          <w:ilvl w:val="0"/>
          <w:numId w:val="11"/>
        </w:numPr>
        <w:tabs>
          <w:tab w:val="clear" w:pos="780"/>
          <w:tab w:val="num" w:pos="374"/>
        </w:tabs>
        <w:ind w:left="374" w:hanging="374"/>
        <w:jc w:val="both"/>
      </w:pPr>
      <w:r>
        <w:t>Актуальность темы проекта. Анализ состояния вопроса исследования по отечественным и зарубежным материалам.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Формирование и обоснование основных задач исследования. Анализ технического задания.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Методика проведения теоретического исследования, выводы основных закономерностей и соотношений, разработка алгоритмов и программного обеспечения.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Методический план проведения экспериментальных исследований. Обоснование выбора необходимого оснащения. Автоматизация процесса измерений.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Математическая обработка экспериментальных данных, их обобщение и сопоставление с теоретическими и расчетными зависимостями.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Конструкторско-технологические или схемные рекомендации по применению результатов исследования при конструировании, технологии и эксплуатации РЭС.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Методы расчета параметров аппаратуры.</w:t>
      </w:r>
    </w:p>
    <w:p w:rsidR="007C454F" w:rsidRDefault="007C454F">
      <w:pPr>
        <w:numPr>
          <w:ilvl w:val="0"/>
          <w:numId w:val="11"/>
        </w:numPr>
        <w:tabs>
          <w:tab w:val="num" w:pos="374"/>
        </w:tabs>
        <w:ind w:left="374" w:hanging="374"/>
        <w:jc w:val="both"/>
      </w:pPr>
      <w:r>
        <w:t>Инструментальные средства проектирования РЭС.</w:t>
      </w:r>
    </w:p>
    <w:p w:rsidR="007C454F" w:rsidRDefault="007C454F">
      <w:pPr>
        <w:jc w:val="both"/>
      </w:pPr>
    </w:p>
    <w:p w:rsidR="007C454F" w:rsidRDefault="007C454F">
      <w:pPr>
        <w:pStyle w:val="5"/>
      </w:pPr>
      <w:r>
        <w:t>Процедура Государственного экзамена</w:t>
      </w:r>
    </w:p>
    <w:p w:rsidR="007C454F" w:rsidRDefault="007C454F">
      <w:pPr>
        <w:pStyle w:val="20"/>
      </w:pPr>
      <w:r>
        <w:t>Экзамен проводится на кафедре РТУиС в сроки, установленные графиком учебного процесса, по завершении преддипломной практики. До экзамена допускаются студенты, завершившие весь курс обучения, не имеющие задолженностей, сдавшие зачет по преддипломной практике.</w:t>
      </w:r>
    </w:p>
    <w:p w:rsidR="007C454F" w:rsidRDefault="007C454F">
      <w:pPr>
        <w:ind w:firstLine="709"/>
        <w:jc w:val="both"/>
      </w:pPr>
      <w:r>
        <w:t>Экзамен принимает Государственная экзаменационная комиссия в утвержденном составе.</w:t>
      </w:r>
    </w:p>
    <w:p w:rsidR="007C454F" w:rsidRDefault="007C454F">
      <w:pPr>
        <w:ind w:firstLine="709"/>
        <w:jc w:val="both"/>
      </w:pPr>
      <w:r>
        <w:t xml:space="preserve">На экзамене студент должен представить заполненный и подписанный консультантом, руководителем и самим студентом бланк задания и материалы по дипломному проектированию. </w:t>
      </w:r>
    </w:p>
    <w:p w:rsidR="004239CD" w:rsidRDefault="004239CD">
      <w:pPr>
        <w:ind w:firstLine="709"/>
        <w:jc w:val="both"/>
      </w:pPr>
      <w:r>
        <w:t xml:space="preserve">Экзамен состоит из двух частей. В первой части студенты отвечают на </w:t>
      </w:r>
      <w:r w:rsidR="0034012E">
        <w:t xml:space="preserve">базовые </w:t>
      </w:r>
      <w:r>
        <w:t>вопросы по основным специальным и общеобразовательным дисциплинам, имеющим непосредственное отношение к направлению подготовки. Возможно применение компьютерного тестирования</w:t>
      </w:r>
      <w:r w:rsidR="0034012E">
        <w:t>.</w:t>
      </w:r>
    </w:p>
    <w:p w:rsidR="0034012E" w:rsidRDefault="0034012E">
      <w:pPr>
        <w:ind w:firstLine="709"/>
        <w:jc w:val="both"/>
      </w:pPr>
      <w:r>
        <w:t>Во второй части студенты отвечают на вопросы, рассмотренные в данных указаниях, по содержанию выпускной работы.</w:t>
      </w:r>
    </w:p>
    <w:p w:rsidR="007C454F" w:rsidRDefault="007C454F">
      <w:pPr>
        <w:ind w:firstLine="709"/>
        <w:jc w:val="both"/>
      </w:pPr>
      <w:r>
        <w:t xml:space="preserve">Экзамен завершается оценкой, которая проставляется в зачетную книжку </w:t>
      </w:r>
      <w:r w:rsidR="0034012E">
        <w:t xml:space="preserve">и </w:t>
      </w:r>
      <w:r>
        <w:t>идет в приложение к диплому.</w:t>
      </w:r>
      <w:r w:rsidR="0034012E">
        <w:t xml:space="preserve"> После экзамена зачетная книжка остается на кафедре.</w:t>
      </w:r>
    </w:p>
    <w:p w:rsidR="0034012E" w:rsidRPr="0034012E" w:rsidRDefault="0034012E">
      <w:pPr>
        <w:ind w:firstLine="709"/>
        <w:jc w:val="both"/>
        <w:rPr>
          <w:b/>
        </w:rPr>
      </w:pPr>
      <w:r w:rsidRPr="0034012E">
        <w:rPr>
          <w:b/>
        </w:rPr>
        <w:t>Государственный экзамен сдается строго в назначенное время. Пересдача и дополнительная сдача экзамена не допускается.</w:t>
      </w:r>
      <w:bookmarkStart w:id="0" w:name="_GoBack"/>
      <w:bookmarkEnd w:id="0"/>
    </w:p>
    <w:sectPr w:rsidR="0034012E" w:rsidRPr="0034012E">
      <w:footerReference w:type="even" r:id="rId7"/>
      <w:footerReference w:type="default" r:id="rId8"/>
      <w:pgSz w:w="11900" w:h="16820"/>
      <w:pgMar w:top="1134" w:right="1134" w:bottom="1134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4F" w:rsidRDefault="007C454F">
      <w:r>
        <w:separator/>
      </w:r>
    </w:p>
  </w:endnote>
  <w:endnote w:type="continuationSeparator" w:id="0">
    <w:p w:rsidR="007C454F" w:rsidRDefault="007C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42" w:rsidRDefault="003D00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0042" w:rsidRDefault="003D00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42" w:rsidRDefault="003D00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D0042" w:rsidRDefault="003D00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4F" w:rsidRDefault="007C454F">
      <w:r>
        <w:separator/>
      </w:r>
    </w:p>
  </w:footnote>
  <w:footnote w:type="continuationSeparator" w:id="0">
    <w:p w:rsidR="007C454F" w:rsidRDefault="007C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373B"/>
    <w:multiLevelType w:val="hybridMultilevel"/>
    <w:tmpl w:val="1D106FD2"/>
    <w:lvl w:ilvl="0" w:tplc="B816C23C">
      <w:numFmt w:val="bullet"/>
      <w:lvlText w:val="-"/>
      <w:lvlJc w:val="left"/>
      <w:pPr>
        <w:tabs>
          <w:tab w:val="num" w:pos="636"/>
        </w:tabs>
        <w:ind w:left="636" w:hanging="6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>
    <w:nsid w:val="142804AD"/>
    <w:multiLevelType w:val="hybridMultilevel"/>
    <w:tmpl w:val="AA364C6A"/>
    <w:lvl w:ilvl="0" w:tplc="8D568BCC">
      <w:numFmt w:val="bullet"/>
      <w:lvlText w:val="-"/>
      <w:lvlJc w:val="left"/>
      <w:pPr>
        <w:tabs>
          <w:tab w:val="num" w:pos="961"/>
        </w:tabs>
        <w:ind w:left="961" w:hanging="5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">
    <w:nsid w:val="226A6DB6"/>
    <w:multiLevelType w:val="hybridMultilevel"/>
    <w:tmpl w:val="5364A49C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>
    <w:nsid w:val="22747B77"/>
    <w:multiLevelType w:val="multilevel"/>
    <w:tmpl w:val="D298D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5276822"/>
    <w:multiLevelType w:val="hybridMultilevel"/>
    <w:tmpl w:val="6F64E2D0"/>
    <w:lvl w:ilvl="0" w:tplc="2BFCEEE2">
      <w:start w:val="1"/>
      <w:numFmt w:val="decimal"/>
      <w:lvlText w:val="%1."/>
      <w:lvlJc w:val="left"/>
      <w:pPr>
        <w:tabs>
          <w:tab w:val="num" w:pos="1177"/>
        </w:tabs>
        <w:ind w:left="117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>
    <w:nsid w:val="398434B0"/>
    <w:multiLevelType w:val="hybridMultilevel"/>
    <w:tmpl w:val="DFE28008"/>
    <w:lvl w:ilvl="0" w:tplc="0419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6">
    <w:nsid w:val="43666082"/>
    <w:multiLevelType w:val="hybridMultilevel"/>
    <w:tmpl w:val="68E6C516"/>
    <w:lvl w:ilvl="0" w:tplc="2BFCEEE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3E32E2"/>
    <w:multiLevelType w:val="hybridMultilevel"/>
    <w:tmpl w:val="A316EC70"/>
    <w:lvl w:ilvl="0" w:tplc="2BFCEEE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881A9E"/>
    <w:multiLevelType w:val="hybridMultilevel"/>
    <w:tmpl w:val="1DD8403E"/>
    <w:lvl w:ilvl="0" w:tplc="B816C23C">
      <w:numFmt w:val="bullet"/>
      <w:lvlText w:val="-"/>
      <w:lvlJc w:val="left"/>
      <w:pPr>
        <w:tabs>
          <w:tab w:val="num" w:pos="1033"/>
        </w:tabs>
        <w:ind w:left="1033" w:hanging="63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9">
    <w:nsid w:val="4E6B21F7"/>
    <w:multiLevelType w:val="hybridMultilevel"/>
    <w:tmpl w:val="EBCC9218"/>
    <w:lvl w:ilvl="0" w:tplc="2BFCEEE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88E183E">
      <w:start w:val="1"/>
      <w:numFmt w:val="decimal"/>
      <w:lvlText w:val="%2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CB03F47"/>
    <w:multiLevelType w:val="hybridMultilevel"/>
    <w:tmpl w:val="850C874A"/>
    <w:lvl w:ilvl="0" w:tplc="D24641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282734"/>
    <w:multiLevelType w:val="hybridMultilevel"/>
    <w:tmpl w:val="1D106FD2"/>
    <w:lvl w:ilvl="0" w:tplc="D246410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C9E"/>
    <w:rsid w:val="00131C00"/>
    <w:rsid w:val="0034012E"/>
    <w:rsid w:val="003D0042"/>
    <w:rsid w:val="004239CD"/>
    <w:rsid w:val="0067278B"/>
    <w:rsid w:val="007C454F"/>
    <w:rsid w:val="00A92C9E"/>
    <w:rsid w:val="00FD3232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EDA6E-BD18-4C61-829C-B737E6C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120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397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pPr>
      <w:autoSpaceDE w:val="0"/>
      <w:autoSpaceDN w:val="0"/>
      <w:adjustRightInd w:val="0"/>
      <w:ind w:left="40" w:firstLine="460"/>
      <w:jc w:val="both"/>
    </w:pPr>
  </w:style>
  <w:style w:type="paragraph" w:styleId="a3">
    <w:name w:val="Title"/>
    <w:basedOn w:val="a"/>
    <w:qFormat/>
    <w:pPr>
      <w:spacing w:before="140" w:line="220" w:lineRule="auto"/>
      <w:jc w:val="center"/>
    </w:pPr>
    <w:rPr>
      <w:b/>
      <w:bCs/>
      <w:sz w:val="28"/>
      <w:szCs w:val="1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561"/>
      <w:jc w:val="both"/>
    </w:pPr>
  </w:style>
  <w:style w:type="paragraph" w:styleId="20">
    <w:name w:val="Body Text Indent 2"/>
    <w:basedOn w:val="a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 Office</Company>
  <LinksUpToDate>false</LinksUpToDate>
  <CharactersWithSpaces>12204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Кечиев Л.Н.</dc:creator>
  <cp:keywords/>
  <dc:description/>
  <cp:lastModifiedBy>Irina</cp:lastModifiedBy>
  <cp:revision>2</cp:revision>
  <dcterms:created xsi:type="dcterms:W3CDTF">2014-07-29T13:14:00Z</dcterms:created>
  <dcterms:modified xsi:type="dcterms:W3CDTF">2014-07-29T13:14:00Z</dcterms:modified>
</cp:coreProperties>
</file>