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37D" w:rsidRDefault="00A2237D">
      <w:pPr>
        <w:pStyle w:val="1"/>
        <w:jc w:val="center"/>
        <w:rPr>
          <w:sz w:val="48"/>
        </w:rPr>
      </w:pPr>
    </w:p>
    <w:p w:rsidR="00A2237D" w:rsidRDefault="00A2237D">
      <w:pPr>
        <w:pStyle w:val="1"/>
        <w:jc w:val="center"/>
        <w:rPr>
          <w:sz w:val="48"/>
        </w:rPr>
      </w:pPr>
    </w:p>
    <w:p w:rsidR="00A2237D" w:rsidRDefault="00A2237D">
      <w:pPr>
        <w:pStyle w:val="1"/>
        <w:jc w:val="center"/>
        <w:rPr>
          <w:sz w:val="48"/>
        </w:rPr>
      </w:pPr>
    </w:p>
    <w:p w:rsidR="00A2237D" w:rsidRDefault="00A2237D">
      <w:pPr>
        <w:pStyle w:val="1"/>
        <w:jc w:val="center"/>
        <w:rPr>
          <w:sz w:val="48"/>
        </w:rPr>
      </w:pPr>
    </w:p>
    <w:p w:rsidR="00A2237D" w:rsidRDefault="00A2237D">
      <w:pPr>
        <w:pStyle w:val="1"/>
        <w:jc w:val="center"/>
        <w:rPr>
          <w:sz w:val="48"/>
        </w:rPr>
      </w:pPr>
    </w:p>
    <w:p w:rsidR="00A2237D" w:rsidRDefault="00A2237D">
      <w:pPr>
        <w:pStyle w:val="1"/>
        <w:jc w:val="center"/>
        <w:rPr>
          <w:sz w:val="48"/>
        </w:rPr>
      </w:pPr>
    </w:p>
    <w:p w:rsidR="00A2237D" w:rsidRDefault="003E4905">
      <w:pPr>
        <w:pStyle w:val="1"/>
        <w:jc w:val="center"/>
        <w:rPr>
          <w:sz w:val="48"/>
        </w:rPr>
      </w:pPr>
      <w:r>
        <w:rPr>
          <w:sz w:val="48"/>
        </w:rPr>
        <w:t>Курсовая работа по теме: Анализ интеллектуальных приборов измерения давления на промышленных предприятиях.</w:t>
      </w:r>
    </w:p>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 w:rsidR="00A2237D" w:rsidRDefault="003E4905">
      <w:pPr>
        <w:rPr>
          <w:b/>
          <w:bCs/>
          <w:sz w:val="40"/>
        </w:rPr>
      </w:pPr>
      <w:r>
        <w:rPr>
          <w:b/>
          <w:bCs/>
          <w:sz w:val="40"/>
        </w:rPr>
        <w:t>Содержание:</w:t>
      </w:r>
    </w:p>
    <w:p w:rsidR="00A2237D" w:rsidRDefault="00A2237D">
      <w:pPr>
        <w:rPr>
          <w:b/>
          <w:bCs/>
          <w:sz w:val="40"/>
        </w:rPr>
      </w:pPr>
    </w:p>
    <w:p w:rsidR="00A2237D" w:rsidRDefault="003E4905">
      <w:pPr>
        <w:numPr>
          <w:ilvl w:val="0"/>
          <w:numId w:val="1"/>
        </w:numPr>
        <w:rPr>
          <w:b/>
          <w:bCs/>
          <w:sz w:val="40"/>
        </w:rPr>
      </w:pPr>
      <w:r>
        <w:rPr>
          <w:b/>
          <w:bCs/>
          <w:sz w:val="40"/>
        </w:rPr>
        <w:t>Измерительные приборы Сапфир- Кварц.</w:t>
      </w:r>
    </w:p>
    <w:p w:rsidR="00A2237D" w:rsidRDefault="003E4905">
      <w:pPr>
        <w:numPr>
          <w:ilvl w:val="0"/>
          <w:numId w:val="1"/>
        </w:numPr>
        <w:rPr>
          <w:b/>
          <w:bCs/>
          <w:sz w:val="40"/>
        </w:rPr>
      </w:pPr>
      <w:r>
        <w:rPr>
          <w:b/>
          <w:bCs/>
          <w:sz w:val="40"/>
        </w:rPr>
        <w:t xml:space="preserve">Прибор МТМ400 в компании </w:t>
      </w:r>
      <w:r>
        <w:rPr>
          <w:b/>
          <w:bCs/>
          <w:sz w:val="40"/>
          <w:lang w:val="en-US"/>
        </w:rPr>
        <w:t>Siemens</w:t>
      </w:r>
      <w:r>
        <w:rPr>
          <w:b/>
          <w:bCs/>
          <w:sz w:val="40"/>
        </w:rPr>
        <w:t>.</w:t>
      </w:r>
    </w:p>
    <w:p w:rsidR="00A2237D" w:rsidRDefault="00A2237D">
      <w:pPr>
        <w:ind w:left="360"/>
        <w:rPr>
          <w:b/>
          <w:bCs/>
          <w:sz w:val="40"/>
        </w:rPr>
      </w:pPr>
    </w:p>
    <w:p w:rsidR="00A2237D" w:rsidRDefault="00A2237D">
      <w:pPr>
        <w:ind w:left="360"/>
        <w:rPr>
          <w:b/>
          <w:bCs/>
          <w:sz w:val="40"/>
        </w:rPr>
      </w:pPr>
    </w:p>
    <w:p w:rsidR="00A2237D" w:rsidRDefault="00A2237D"/>
    <w:p w:rsidR="00A2237D" w:rsidRDefault="00A2237D"/>
    <w:p w:rsidR="00A2237D" w:rsidRDefault="00A2237D"/>
    <w:p w:rsidR="00A2237D" w:rsidRDefault="00A2237D"/>
    <w:p w:rsidR="00A2237D" w:rsidRDefault="00A2237D"/>
    <w:p w:rsidR="00A2237D" w:rsidRDefault="00A2237D"/>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A2237D">
      <w:pPr>
        <w:rPr>
          <w:lang w:val="en-US"/>
        </w:rPr>
      </w:pPr>
    </w:p>
    <w:p w:rsidR="00A2237D" w:rsidRDefault="003E4905">
      <w:pPr>
        <w:spacing w:after="240"/>
        <w:rPr>
          <w:rFonts w:ascii="Arial" w:hAnsi="Arial" w:cs="Arial"/>
          <w:b/>
          <w:bCs/>
          <w:sz w:val="40"/>
          <w:szCs w:val="18"/>
        </w:rPr>
      </w:pPr>
      <w:r>
        <w:rPr>
          <w:rFonts w:ascii="Arial" w:hAnsi="Arial" w:cs="Arial"/>
          <w:b/>
          <w:bCs/>
          <w:sz w:val="40"/>
          <w:szCs w:val="18"/>
        </w:rPr>
        <w:t>1) Преобразователи давления САПФИР-КВАРЦ: абсолютного давления (ДА), абсолютного и избыточного давления (ДАИ), гидростатического давления (ДГ) предназначены для использования в системах контроля и регулирования, в системах количественного учета энергоресурсов, в том числе, нефти и продуктов ее переработки.</w:t>
      </w:r>
      <w:r>
        <w:rPr>
          <w:rFonts w:ascii="Arial" w:hAnsi="Arial" w:cs="Arial"/>
          <w:b/>
          <w:bCs/>
          <w:sz w:val="40"/>
          <w:szCs w:val="18"/>
        </w:rPr>
        <w:br/>
      </w:r>
      <w:r>
        <w:rPr>
          <w:rFonts w:ascii="Arial" w:hAnsi="Arial" w:cs="Arial"/>
          <w:b/>
          <w:bCs/>
          <w:sz w:val="40"/>
          <w:szCs w:val="18"/>
        </w:rPr>
        <w:br/>
        <w:t>Преобразователи - точные, высокостабильные, интеллектуальные, адресуемые по линии связи приборы измерения давления. Характеризуются очень низкой дополнительной погрешностью от влияния температуры на результат измерения, имеют цифровой последовательный интерфейс RS-485 для работы в составе с программируемым средством потребителя (ПЭВМ, промышленный контроллер).</w:t>
      </w:r>
      <w:r>
        <w:rPr>
          <w:rFonts w:ascii="Arial" w:hAnsi="Arial" w:cs="Arial"/>
          <w:b/>
          <w:bCs/>
          <w:sz w:val="40"/>
          <w:szCs w:val="18"/>
        </w:rPr>
        <w:br/>
      </w:r>
      <w:r>
        <w:rPr>
          <w:rFonts w:ascii="Arial" w:hAnsi="Arial" w:cs="Arial"/>
          <w:b/>
          <w:bCs/>
          <w:sz w:val="40"/>
          <w:szCs w:val="18"/>
        </w:rPr>
        <w:br/>
        <w:t>К одной сигнальной цепи линии связи возможно подключение до 31 преобразователя (топология «общая шина»). Это позволяет экономить кабель, снижать затраты на прокладку, монтаж и эксплуатацию линий связи к приборам. Длина одного сегмента линии связи - не более 1,2 км. Применение репитеров увеличивает максимальную длину линии связи кратно указанному значению.</w:t>
      </w:r>
      <w:r>
        <w:rPr>
          <w:rFonts w:ascii="Arial" w:hAnsi="Arial" w:cs="Arial"/>
          <w:b/>
          <w:bCs/>
          <w:sz w:val="40"/>
          <w:szCs w:val="18"/>
        </w:rPr>
        <w:br/>
      </w:r>
      <w:r>
        <w:rPr>
          <w:rFonts w:ascii="Arial" w:hAnsi="Arial" w:cs="Arial"/>
          <w:b/>
          <w:bCs/>
          <w:sz w:val="40"/>
          <w:szCs w:val="18"/>
        </w:rPr>
        <w:br/>
        <w:t>Входная величина давления, подаваемого на измерительную камеру прибора, далее - через разделительную мембрану, рабочую жидкость, передается на чувствительный элемент давления, содержащий в своем составе кварцевую мембрану с установленным на ней кварцевым камертонным резонатором. Собственная частота колебаний камертонного резонатора определяется деформацией кварцевой мембраны с закрепленным на ней указанным кварцевым камертоном под действием приложенного давления. Корректирующие каналы температуры построены на термочувствительных кварцевых камертонных резонаторах. Электронная часть приборов, обеспечивая поддержание собственной частоты колебаний резонаторов, измеряет частоту соответствующих сигналов каналов преобразования (основных - давления, корректирующих - температуры), вычисляет по идентифицированным при выпуске прибора полиноминальным зависимостям значение оценки измеряемой величины давления, обеспечивает индикацию на жидкокристаллическом индикаторе и обмен данными по линии связи. Обмен данными (ПЭВМ, промышленного контроллера и т.д.) с преобразователями осуществляется (на выбор) в соответствии с протоколами: MODBUS или пользовательским, нестандартным. Исполнения преобразователей по взрывозащищенности: общепромышленное, взрывозащищенное.</w:t>
      </w:r>
      <w:r>
        <w:rPr>
          <w:rFonts w:ascii="Arial" w:hAnsi="Arial" w:cs="Arial"/>
          <w:b/>
          <w:bCs/>
          <w:sz w:val="40"/>
          <w:szCs w:val="18"/>
        </w:rPr>
        <w:br/>
        <w:t>Состав прибораВ состав прибора входят измерительный и электронный блоки, конструктивно объединенные между собой и имеющие средства подключения к источнику давления контролируемой среды, к линии связи, соответственно. На блоке электронного преобразователя под смотровым стеклом размещен жидкокристаллический дисплей для местного считывания показаний.</w:t>
      </w:r>
      <w:r>
        <w:rPr>
          <w:rFonts w:ascii="Arial" w:hAnsi="Arial" w:cs="Arial"/>
          <w:b/>
          <w:bCs/>
          <w:sz w:val="40"/>
          <w:szCs w:val="18"/>
        </w:rPr>
        <w:br/>
      </w:r>
      <w:r>
        <w:rPr>
          <w:rFonts w:ascii="Arial" w:hAnsi="Arial" w:cs="Arial"/>
          <w:b/>
          <w:bCs/>
          <w:sz w:val="40"/>
          <w:szCs w:val="18"/>
        </w:rPr>
        <w:br/>
      </w:r>
      <w:r>
        <w:rPr>
          <w:rStyle w:val="a4"/>
          <w:rFonts w:ascii="Arial" w:hAnsi="Arial" w:cs="Arial"/>
          <w:sz w:val="40"/>
          <w:szCs w:val="18"/>
        </w:rPr>
        <w:t xml:space="preserve">Основные технические характеристики </w:t>
      </w:r>
      <w:r>
        <w:rPr>
          <w:rFonts w:ascii="Arial" w:hAnsi="Arial" w:cs="Arial"/>
          <w:b/>
          <w:bCs/>
          <w:sz w:val="40"/>
          <w:szCs w:val="18"/>
        </w:rPr>
        <w:br/>
      </w:r>
      <w:r>
        <w:rPr>
          <w:rFonts w:ascii="Arial" w:hAnsi="Arial" w:cs="Arial"/>
          <w:b/>
          <w:bCs/>
          <w:sz w:val="40"/>
          <w:szCs w:val="18"/>
        </w:rPr>
        <w:br/>
        <w:t> • Верхние пределы измерения:</w:t>
      </w:r>
      <w:r>
        <w:rPr>
          <w:rFonts w:ascii="Arial" w:hAnsi="Arial" w:cs="Arial"/>
          <w:b/>
          <w:bCs/>
          <w:sz w:val="40"/>
          <w:szCs w:val="18"/>
        </w:rPr>
        <w:br/>
        <w:t>  - для Сапфир-Кварц-ДА, Сапфир-Кварц-ДАИ - полный ряд от 60 кПа до 10,0 МПа;</w:t>
      </w:r>
      <w:r>
        <w:rPr>
          <w:rFonts w:ascii="Arial" w:hAnsi="Arial" w:cs="Arial"/>
          <w:b/>
          <w:bCs/>
          <w:sz w:val="40"/>
          <w:szCs w:val="18"/>
        </w:rPr>
        <w:br/>
        <w:t>  - для Сапфир-Кварц-ДГ - 60, 100, 160; 250 кПа.</w:t>
      </w:r>
      <w:r>
        <w:rPr>
          <w:rFonts w:ascii="Arial" w:hAnsi="Arial" w:cs="Arial"/>
          <w:b/>
          <w:bCs/>
          <w:sz w:val="40"/>
          <w:szCs w:val="18"/>
        </w:rPr>
        <w:br/>
        <w:t> • Допустимая основная приведенная к диапазону измерения погрешность:</w:t>
      </w:r>
      <w:r>
        <w:rPr>
          <w:rFonts w:ascii="Arial" w:hAnsi="Arial" w:cs="Arial"/>
          <w:b/>
          <w:bCs/>
          <w:sz w:val="40"/>
          <w:szCs w:val="18"/>
        </w:rPr>
        <w:br/>
        <w:t>  - для преобразователей Сапфир-Кварц-ДА, Сапфир-Кварц-ДАИ - от ± 0,06 % до ± 0,15 %;</w:t>
      </w:r>
      <w:r>
        <w:rPr>
          <w:rFonts w:ascii="Arial" w:hAnsi="Arial" w:cs="Arial"/>
          <w:b/>
          <w:bCs/>
          <w:sz w:val="40"/>
          <w:szCs w:val="18"/>
        </w:rPr>
        <w:br/>
        <w:t>  - для преобразователей Сапфир-Кварц-ДГ - от ± 0,06 % до ± 0,1 %.</w:t>
      </w:r>
      <w:r>
        <w:rPr>
          <w:rFonts w:ascii="Arial" w:hAnsi="Arial" w:cs="Arial"/>
          <w:b/>
          <w:bCs/>
          <w:sz w:val="40"/>
          <w:szCs w:val="18"/>
        </w:rPr>
        <w:br/>
        <w:t> • Дополнительная погрешность от воздействия температуры (на каждые 10°С отклонения от значения 23 °С), выраженная в долях от основной погрешности составляет:</w:t>
      </w:r>
      <w:r>
        <w:rPr>
          <w:rFonts w:ascii="Arial" w:hAnsi="Arial" w:cs="Arial"/>
          <w:b/>
          <w:bCs/>
          <w:sz w:val="40"/>
          <w:szCs w:val="18"/>
        </w:rPr>
        <w:br/>
        <w:t>  - для Сапфир-Кварц-ДА - 0,6;</w:t>
      </w:r>
      <w:r>
        <w:rPr>
          <w:rFonts w:ascii="Arial" w:hAnsi="Arial" w:cs="Arial"/>
          <w:b/>
          <w:bCs/>
          <w:sz w:val="40"/>
          <w:szCs w:val="18"/>
        </w:rPr>
        <w:br/>
        <w:t>  - для Сапфир-Кварц-ДАИ - 0,5;</w:t>
      </w:r>
      <w:r>
        <w:rPr>
          <w:rFonts w:ascii="Arial" w:hAnsi="Arial" w:cs="Arial"/>
          <w:b/>
          <w:bCs/>
          <w:sz w:val="40"/>
          <w:szCs w:val="18"/>
        </w:rPr>
        <w:br/>
        <w:t>  - для Сапфир-Кварц-ДГ - 0,33</w:t>
      </w:r>
      <w:r>
        <w:rPr>
          <w:rFonts w:ascii="Arial" w:hAnsi="Arial" w:cs="Arial"/>
          <w:b/>
          <w:bCs/>
          <w:sz w:val="40"/>
          <w:szCs w:val="18"/>
        </w:rPr>
        <w:br/>
        <w:t>Преобразователи имеют исполнения:</w:t>
      </w:r>
      <w:r>
        <w:rPr>
          <w:rFonts w:ascii="Arial" w:hAnsi="Arial" w:cs="Arial"/>
          <w:b/>
          <w:bCs/>
          <w:sz w:val="40"/>
          <w:szCs w:val="18"/>
        </w:rPr>
        <w:br/>
        <w:t>  - обыкновенное,</w:t>
      </w:r>
      <w:r>
        <w:rPr>
          <w:rFonts w:ascii="Arial" w:hAnsi="Arial" w:cs="Arial"/>
          <w:b/>
          <w:bCs/>
          <w:sz w:val="40"/>
          <w:szCs w:val="18"/>
        </w:rPr>
        <w:br/>
        <w:t>  - Вн (взрывонепроницаемая оболочка).</w:t>
      </w:r>
      <w:r>
        <w:rPr>
          <w:rFonts w:ascii="Arial" w:hAnsi="Arial" w:cs="Arial"/>
          <w:b/>
          <w:bCs/>
          <w:sz w:val="40"/>
          <w:szCs w:val="18"/>
        </w:rPr>
        <w:br/>
        <w:t> • Электрическое питание от источника питания напряжением от 18 до 36 В.</w:t>
      </w:r>
      <w:r>
        <w:rPr>
          <w:rFonts w:ascii="Arial" w:hAnsi="Arial" w:cs="Arial"/>
          <w:b/>
          <w:bCs/>
          <w:sz w:val="40"/>
          <w:szCs w:val="18"/>
        </w:rPr>
        <w:br/>
        <w:t> • Питание от 18 до 36 В, пульсация не более ± 0,5%</w:t>
      </w:r>
      <w:r>
        <w:rPr>
          <w:rFonts w:ascii="Arial" w:hAnsi="Arial" w:cs="Arial"/>
          <w:b/>
          <w:bCs/>
          <w:sz w:val="40"/>
          <w:szCs w:val="18"/>
        </w:rPr>
        <w:br/>
        <w:t> • Выходной сигнал:</w:t>
      </w:r>
      <w:r>
        <w:rPr>
          <w:rFonts w:ascii="Arial" w:hAnsi="Arial" w:cs="Arial"/>
          <w:b/>
          <w:bCs/>
          <w:sz w:val="40"/>
          <w:szCs w:val="18"/>
        </w:rPr>
        <w:br/>
        <w:t>  - интерфейсный RS-485.</w:t>
      </w:r>
      <w:r>
        <w:rPr>
          <w:rFonts w:ascii="Arial" w:hAnsi="Arial" w:cs="Arial"/>
          <w:b/>
          <w:bCs/>
          <w:sz w:val="40"/>
          <w:szCs w:val="18"/>
        </w:rPr>
        <w:br/>
        <w:t>  - поддержка двух протоколов обмена:</w:t>
      </w:r>
      <w:r>
        <w:rPr>
          <w:rFonts w:ascii="Arial" w:hAnsi="Arial" w:cs="Arial"/>
          <w:b/>
          <w:bCs/>
          <w:sz w:val="40"/>
          <w:szCs w:val="18"/>
        </w:rPr>
        <w:br/>
        <w:t>  - MODBUS;</w:t>
      </w:r>
      <w:r>
        <w:rPr>
          <w:rFonts w:ascii="Arial" w:hAnsi="Arial" w:cs="Arial"/>
          <w:b/>
          <w:bCs/>
          <w:sz w:val="40"/>
          <w:szCs w:val="18"/>
        </w:rPr>
        <w:br/>
        <w:t>  - нестандартный.</w:t>
      </w:r>
      <w:r>
        <w:rPr>
          <w:rFonts w:ascii="Arial" w:hAnsi="Arial" w:cs="Arial"/>
          <w:b/>
          <w:bCs/>
          <w:sz w:val="40"/>
          <w:szCs w:val="18"/>
        </w:rPr>
        <w:br/>
        <w:t> • Команды протокола обмена позволяют получать результат измерения, устанавливать "0" приборов, изменять локальный адрес прибора, проводить тестирование, диагностику, доступны и другие сервисные функции.</w:t>
      </w:r>
      <w:r>
        <w:rPr>
          <w:rFonts w:ascii="Arial" w:hAnsi="Arial" w:cs="Arial"/>
          <w:b/>
          <w:bCs/>
          <w:sz w:val="40"/>
          <w:szCs w:val="18"/>
        </w:rPr>
        <w:br/>
        <w:t> • Материалы деталей, контактирующих с измеряемой средой, приведены в таблице.</w:t>
      </w:r>
    </w:p>
    <w:tbl>
      <w:tblPr>
        <w:tblW w:w="6001" w:type="pct"/>
        <w:tblCellSpacing w:w="7" w:type="dxa"/>
        <w:tblInd w:w="74" w:type="dxa"/>
        <w:shd w:val="clear" w:color="auto" w:fill="000000"/>
        <w:tblCellMar>
          <w:top w:w="45" w:type="dxa"/>
          <w:left w:w="45" w:type="dxa"/>
          <w:bottom w:w="45" w:type="dxa"/>
          <w:right w:w="45" w:type="dxa"/>
        </w:tblCellMar>
        <w:tblLook w:val="0000" w:firstRow="0" w:lastRow="0" w:firstColumn="0" w:lastColumn="0" w:noHBand="0" w:noVBand="0"/>
      </w:tblPr>
      <w:tblGrid>
        <w:gridCol w:w="1746"/>
        <w:gridCol w:w="2265"/>
        <w:gridCol w:w="3794"/>
        <w:gridCol w:w="3509"/>
      </w:tblGrid>
      <w:tr w:rsidR="00A2237D">
        <w:trPr>
          <w:tblCellSpacing w:w="7" w:type="dxa"/>
        </w:trPr>
        <w:tc>
          <w:tcPr>
            <w:tcW w:w="762" w:type="pct"/>
            <w:shd w:val="clear" w:color="auto" w:fill="FFFFFF"/>
            <w:vAlign w:val="center"/>
          </w:tcPr>
          <w:p w:rsidR="00A2237D" w:rsidRDefault="003E4905">
            <w:pPr>
              <w:ind w:left="-74" w:firstLine="74"/>
              <w:rPr>
                <w:rFonts w:ascii="Arial" w:hAnsi="Arial" w:cs="Arial"/>
                <w:b/>
                <w:bCs/>
                <w:sz w:val="36"/>
                <w:szCs w:val="18"/>
              </w:rPr>
            </w:pPr>
            <w:r>
              <w:rPr>
                <w:rFonts w:ascii="Arial" w:hAnsi="Arial" w:cs="Arial"/>
                <w:b/>
                <w:bCs/>
                <w:sz w:val="36"/>
                <w:szCs w:val="18"/>
              </w:rPr>
              <w:t xml:space="preserve">Тип прибора </w:t>
            </w:r>
          </w:p>
        </w:tc>
        <w:tc>
          <w:tcPr>
            <w:tcW w:w="0" w:type="auto"/>
            <w:gridSpan w:val="3"/>
            <w:shd w:val="clear" w:color="auto" w:fill="FFFFFF"/>
            <w:vAlign w:val="center"/>
          </w:tcPr>
          <w:p w:rsidR="00A2237D" w:rsidRDefault="003E4905">
            <w:pPr>
              <w:jc w:val="center"/>
              <w:rPr>
                <w:rFonts w:ascii="Arial" w:hAnsi="Arial" w:cs="Arial"/>
                <w:b/>
                <w:bCs/>
                <w:sz w:val="36"/>
                <w:szCs w:val="18"/>
              </w:rPr>
            </w:pPr>
            <w:r>
              <w:rPr>
                <w:rFonts w:ascii="Arial" w:hAnsi="Arial" w:cs="Arial"/>
                <w:b/>
                <w:bCs/>
                <w:sz w:val="36"/>
                <w:szCs w:val="18"/>
              </w:rPr>
              <w:t>Материал</w:t>
            </w:r>
          </w:p>
        </w:tc>
      </w:tr>
      <w:tr w:rsidR="00A2237D">
        <w:trPr>
          <w:tblCellSpacing w:w="7" w:type="dxa"/>
        </w:trPr>
        <w:tc>
          <w:tcPr>
            <w:tcW w:w="762" w:type="pct"/>
            <w:shd w:val="clear" w:color="auto" w:fill="FFFFFF"/>
            <w:vAlign w:val="center"/>
          </w:tcPr>
          <w:p w:rsidR="00A2237D" w:rsidRDefault="003E4905">
            <w:pPr>
              <w:ind w:left="-74" w:firstLine="74"/>
              <w:rPr>
                <w:rFonts w:ascii="Arial" w:hAnsi="Arial" w:cs="Arial"/>
                <w:b/>
                <w:bCs/>
                <w:sz w:val="36"/>
                <w:szCs w:val="18"/>
              </w:rPr>
            </w:pPr>
            <w:r>
              <w:rPr>
                <w:rFonts w:ascii="Arial" w:hAnsi="Arial" w:cs="Arial"/>
                <w:b/>
                <w:bCs/>
                <w:sz w:val="36"/>
                <w:szCs w:val="18"/>
              </w:rPr>
              <w:t> </w:t>
            </w:r>
          </w:p>
        </w:tc>
        <w:tc>
          <w:tcPr>
            <w:tcW w:w="995" w:type="pct"/>
            <w:shd w:val="clear" w:color="auto" w:fill="FFFFFF"/>
            <w:vAlign w:val="center"/>
          </w:tcPr>
          <w:p w:rsidR="00A2237D" w:rsidRDefault="003E4905">
            <w:pPr>
              <w:jc w:val="center"/>
              <w:rPr>
                <w:rFonts w:ascii="Arial" w:hAnsi="Arial" w:cs="Arial"/>
                <w:b/>
                <w:bCs/>
                <w:sz w:val="36"/>
                <w:szCs w:val="18"/>
              </w:rPr>
            </w:pPr>
            <w:r>
              <w:rPr>
                <w:rFonts w:ascii="Arial" w:hAnsi="Arial" w:cs="Arial"/>
                <w:b/>
                <w:bCs/>
                <w:sz w:val="36"/>
                <w:szCs w:val="18"/>
              </w:rPr>
              <w:t>Мембраны</w:t>
            </w:r>
          </w:p>
        </w:tc>
        <w:tc>
          <w:tcPr>
            <w:tcW w:w="1671" w:type="pct"/>
            <w:shd w:val="clear" w:color="auto" w:fill="FFFFFF"/>
            <w:vAlign w:val="center"/>
          </w:tcPr>
          <w:p w:rsidR="00A2237D" w:rsidRDefault="003E4905">
            <w:pPr>
              <w:jc w:val="center"/>
              <w:rPr>
                <w:rFonts w:ascii="Arial" w:hAnsi="Arial" w:cs="Arial"/>
                <w:b/>
                <w:bCs/>
                <w:sz w:val="36"/>
                <w:szCs w:val="18"/>
              </w:rPr>
            </w:pPr>
            <w:r>
              <w:rPr>
                <w:rFonts w:ascii="Arial" w:hAnsi="Arial" w:cs="Arial"/>
                <w:b/>
                <w:bCs/>
                <w:sz w:val="36"/>
                <w:szCs w:val="18"/>
              </w:rPr>
              <w:t xml:space="preserve">Детали, соприкосающиеся с измеряемой средой </w:t>
            </w:r>
          </w:p>
        </w:tc>
        <w:tc>
          <w:tcPr>
            <w:tcW w:w="1542" w:type="pct"/>
            <w:shd w:val="clear" w:color="auto" w:fill="FFFFFF"/>
            <w:vAlign w:val="center"/>
          </w:tcPr>
          <w:p w:rsidR="00A2237D" w:rsidRDefault="003E4905">
            <w:pPr>
              <w:jc w:val="center"/>
              <w:rPr>
                <w:rFonts w:ascii="Arial" w:hAnsi="Arial" w:cs="Arial"/>
                <w:b/>
                <w:bCs/>
                <w:sz w:val="36"/>
                <w:szCs w:val="18"/>
              </w:rPr>
            </w:pPr>
            <w:r>
              <w:rPr>
                <w:rFonts w:ascii="Arial" w:hAnsi="Arial" w:cs="Arial"/>
                <w:b/>
                <w:bCs/>
                <w:sz w:val="36"/>
                <w:szCs w:val="18"/>
              </w:rPr>
              <w:t xml:space="preserve">Уплотнительные прокладки </w:t>
            </w:r>
          </w:p>
        </w:tc>
      </w:tr>
      <w:tr w:rsidR="00A2237D">
        <w:trPr>
          <w:cantSplit/>
          <w:tblCellSpacing w:w="7" w:type="dxa"/>
        </w:trPr>
        <w:tc>
          <w:tcPr>
            <w:tcW w:w="762" w:type="pct"/>
            <w:shd w:val="clear" w:color="auto" w:fill="FFFFFF"/>
            <w:vAlign w:val="center"/>
          </w:tcPr>
          <w:p w:rsidR="00A2237D" w:rsidRDefault="003E4905">
            <w:pPr>
              <w:ind w:left="-74" w:firstLine="74"/>
              <w:rPr>
                <w:rFonts w:ascii="Arial" w:hAnsi="Arial" w:cs="Arial"/>
                <w:b/>
                <w:bCs/>
                <w:sz w:val="36"/>
                <w:szCs w:val="18"/>
              </w:rPr>
            </w:pPr>
            <w:r>
              <w:rPr>
                <w:rFonts w:ascii="Arial" w:hAnsi="Arial" w:cs="Arial"/>
                <w:b/>
                <w:bCs/>
                <w:sz w:val="36"/>
                <w:szCs w:val="18"/>
              </w:rPr>
              <w:t xml:space="preserve">Сапфир - Кварц ДГ </w:t>
            </w:r>
          </w:p>
        </w:tc>
        <w:tc>
          <w:tcPr>
            <w:tcW w:w="0" w:type="auto"/>
            <w:vMerge w:val="restart"/>
            <w:shd w:val="clear" w:color="auto" w:fill="FFFFFF"/>
            <w:vAlign w:val="center"/>
          </w:tcPr>
          <w:p w:rsidR="00A2237D" w:rsidRDefault="003E4905">
            <w:pPr>
              <w:jc w:val="center"/>
              <w:rPr>
                <w:rFonts w:ascii="Arial" w:hAnsi="Arial" w:cs="Arial"/>
                <w:b/>
                <w:bCs/>
                <w:sz w:val="36"/>
                <w:szCs w:val="18"/>
              </w:rPr>
            </w:pPr>
            <w:r>
              <w:rPr>
                <w:rFonts w:ascii="Arial" w:hAnsi="Arial" w:cs="Arial"/>
                <w:b/>
                <w:bCs/>
                <w:sz w:val="36"/>
                <w:szCs w:val="18"/>
              </w:rPr>
              <w:t>36НХЕЮ</w:t>
            </w:r>
          </w:p>
        </w:tc>
        <w:tc>
          <w:tcPr>
            <w:tcW w:w="0" w:type="auto"/>
            <w:shd w:val="clear" w:color="auto" w:fill="FFFFFF"/>
            <w:vAlign w:val="center"/>
          </w:tcPr>
          <w:p w:rsidR="00A2237D" w:rsidRDefault="003E4905">
            <w:pPr>
              <w:jc w:val="center"/>
              <w:rPr>
                <w:rFonts w:ascii="Arial" w:hAnsi="Arial" w:cs="Arial"/>
                <w:b/>
                <w:bCs/>
                <w:sz w:val="36"/>
                <w:szCs w:val="18"/>
              </w:rPr>
            </w:pPr>
            <w:r>
              <w:rPr>
                <w:rFonts w:ascii="Arial" w:hAnsi="Arial" w:cs="Arial"/>
                <w:b/>
                <w:bCs/>
                <w:sz w:val="36"/>
                <w:szCs w:val="18"/>
              </w:rPr>
              <w:t xml:space="preserve">Углеродистая сталь </w:t>
            </w:r>
          </w:p>
        </w:tc>
        <w:tc>
          <w:tcPr>
            <w:tcW w:w="0" w:type="auto"/>
            <w:vMerge w:val="restart"/>
            <w:shd w:val="clear" w:color="auto" w:fill="FFFFFF"/>
            <w:vAlign w:val="center"/>
          </w:tcPr>
          <w:p w:rsidR="00A2237D" w:rsidRDefault="003E4905">
            <w:pPr>
              <w:jc w:val="center"/>
              <w:rPr>
                <w:rFonts w:ascii="Arial" w:hAnsi="Arial" w:cs="Arial"/>
                <w:b/>
                <w:bCs/>
                <w:sz w:val="36"/>
                <w:szCs w:val="18"/>
              </w:rPr>
            </w:pPr>
            <w:r>
              <w:rPr>
                <w:rFonts w:ascii="Arial" w:hAnsi="Arial" w:cs="Arial"/>
                <w:b/>
                <w:bCs/>
                <w:sz w:val="36"/>
                <w:szCs w:val="18"/>
              </w:rPr>
              <w:t xml:space="preserve">Фторопласт 4 </w:t>
            </w:r>
          </w:p>
        </w:tc>
      </w:tr>
      <w:tr w:rsidR="00A2237D">
        <w:trPr>
          <w:cantSplit/>
          <w:tblCellSpacing w:w="7" w:type="dxa"/>
        </w:trPr>
        <w:tc>
          <w:tcPr>
            <w:tcW w:w="762" w:type="pct"/>
            <w:vMerge w:val="restart"/>
            <w:shd w:val="clear" w:color="auto" w:fill="FFFFFF"/>
            <w:vAlign w:val="center"/>
          </w:tcPr>
          <w:p w:rsidR="00A2237D" w:rsidRDefault="003E4905">
            <w:pPr>
              <w:ind w:left="-74" w:firstLine="74"/>
              <w:rPr>
                <w:rFonts w:ascii="Arial" w:hAnsi="Arial" w:cs="Arial"/>
                <w:b/>
                <w:bCs/>
                <w:sz w:val="36"/>
                <w:szCs w:val="18"/>
              </w:rPr>
            </w:pPr>
            <w:r>
              <w:rPr>
                <w:rFonts w:ascii="Arial" w:hAnsi="Arial" w:cs="Arial"/>
                <w:b/>
                <w:bCs/>
                <w:sz w:val="36"/>
                <w:szCs w:val="18"/>
              </w:rPr>
              <w:t xml:space="preserve">Сапфир - Кварц ДА </w:t>
            </w:r>
            <w:r>
              <w:rPr>
                <w:rFonts w:ascii="Arial" w:hAnsi="Arial" w:cs="Arial"/>
                <w:b/>
                <w:bCs/>
                <w:sz w:val="36"/>
                <w:szCs w:val="18"/>
              </w:rPr>
              <w:br/>
              <w:t xml:space="preserve">Сапфир - Кварц ДАИ </w:t>
            </w:r>
          </w:p>
        </w:tc>
        <w:tc>
          <w:tcPr>
            <w:tcW w:w="0" w:type="auto"/>
            <w:vMerge/>
            <w:shd w:val="clear" w:color="auto" w:fill="FFFFFF"/>
            <w:vAlign w:val="center"/>
          </w:tcPr>
          <w:p w:rsidR="00A2237D" w:rsidRDefault="00A2237D">
            <w:pPr>
              <w:rPr>
                <w:rFonts w:ascii="Arial" w:hAnsi="Arial" w:cs="Arial"/>
                <w:b/>
                <w:bCs/>
                <w:sz w:val="36"/>
                <w:szCs w:val="18"/>
              </w:rPr>
            </w:pPr>
          </w:p>
        </w:tc>
        <w:tc>
          <w:tcPr>
            <w:tcW w:w="0" w:type="auto"/>
            <w:shd w:val="clear" w:color="auto" w:fill="FFFFFF"/>
            <w:vAlign w:val="center"/>
          </w:tcPr>
          <w:p w:rsidR="00A2237D" w:rsidRDefault="003E4905">
            <w:pPr>
              <w:jc w:val="center"/>
              <w:rPr>
                <w:rFonts w:ascii="Arial" w:hAnsi="Arial" w:cs="Arial"/>
                <w:b/>
                <w:bCs/>
                <w:sz w:val="36"/>
                <w:szCs w:val="18"/>
              </w:rPr>
            </w:pPr>
            <w:r>
              <w:rPr>
                <w:rFonts w:ascii="Arial" w:hAnsi="Arial" w:cs="Arial"/>
                <w:b/>
                <w:bCs/>
                <w:sz w:val="36"/>
                <w:szCs w:val="18"/>
              </w:rPr>
              <w:t>12Х18Н10Т</w:t>
            </w:r>
          </w:p>
        </w:tc>
        <w:tc>
          <w:tcPr>
            <w:tcW w:w="0" w:type="auto"/>
            <w:vMerge/>
            <w:shd w:val="clear" w:color="auto" w:fill="FFFFFF"/>
            <w:vAlign w:val="center"/>
          </w:tcPr>
          <w:p w:rsidR="00A2237D" w:rsidRDefault="00A2237D">
            <w:pPr>
              <w:rPr>
                <w:rFonts w:ascii="Arial" w:hAnsi="Arial" w:cs="Arial"/>
                <w:b/>
                <w:bCs/>
                <w:sz w:val="36"/>
                <w:szCs w:val="18"/>
              </w:rPr>
            </w:pPr>
          </w:p>
        </w:tc>
      </w:tr>
      <w:tr w:rsidR="00A2237D">
        <w:trPr>
          <w:cantSplit/>
          <w:tblCellSpacing w:w="7" w:type="dxa"/>
        </w:trPr>
        <w:tc>
          <w:tcPr>
            <w:tcW w:w="762" w:type="pct"/>
            <w:vMerge/>
            <w:shd w:val="clear" w:color="auto" w:fill="FFFFFF"/>
            <w:vAlign w:val="center"/>
          </w:tcPr>
          <w:p w:rsidR="00A2237D" w:rsidRDefault="00A2237D">
            <w:pPr>
              <w:ind w:left="-74" w:firstLine="74"/>
              <w:rPr>
                <w:rFonts w:ascii="Arial" w:hAnsi="Arial" w:cs="Arial"/>
                <w:b/>
                <w:bCs/>
                <w:sz w:val="36"/>
                <w:szCs w:val="18"/>
              </w:rPr>
            </w:pPr>
          </w:p>
        </w:tc>
        <w:tc>
          <w:tcPr>
            <w:tcW w:w="0" w:type="auto"/>
            <w:vMerge/>
            <w:shd w:val="clear" w:color="auto" w:fill="FFFFFF"/>
            <w:vAlign w:val="center"/>
          </w:tcPr>
          <w:p w:rsidR="00A2237D" w:rsidRDefault="00A2237D">
            <w:pPr>
              <w:rPr>
                <w:rFonts w:ascii="Arial" w:hAnsi="Arial" w:cs="Arial"/>
                <w:b/>
                <w:bCs/>
                <w:sz w:val="36"/>
                <w:szCs w:val="18"/>
              </w:rPr>
            </w:pPr>
          </w:p>
        </w:tc>
        <w:tc>
          <w:tcPr>
            <w:tcW w:w="0" w:type="auto"/>
            <w:shd w:val="clear" w:color="auto" w:fill="FFFFFF"/>
            <w:vAlign w:val="center"/>
          </w:tcPr>
          <w:p w:rsidR="00A2237D" w:rsidRDefault="003E4905">
            <w:pPr>
              <w:jc w:val="center"/>
              <w:rPr>
                <w:rFonts w:ascii="Arial" w:hAnsi="Arial" w:cs="Arial"/>
                <w:b/>
                <w:bCs/>
                <w:sz w:val="36"/>
                <w:szCs w:val="18"/>
              </w:rPr>
            </w:pPr>
            <w:r>
              <w:rPr>
                <w:rFonts w:ascii="Arial" w:hAnsi="Arial" w:cs="Arial"/>
                <w:b/>
                <w:bCs/>
                <w:sz w:val="36"/>
                <w:szCs w:val="18"/>
              </w:rPr>
              <w:t>12Х18Н10Т</w:t>
            </w:r>
          </w:p>
        </w:tc>
        <w:tc>
          <w:tcPr>
            <w:tcW w:w="0" w:type="auto"/>
            <w:vMerge/>
            <w:shd w:val="clear" w:color="auto" w:fill="FFFFFF"/>
            <w:vAlign w:val="center"/>
          </w:tcPr>
          <w:p w:rsidR="00A2237D" w:rsidRDefault="00A2237D">
            <w:pPr>
              <w:rPr>
                <w:rFonts w:ascii="Arial" w:hAnsi="Arial" w:cs="Arial"/>
                <w:b/>
                <w:bCs/>
                <w:sz w:val="36"/>
                <w:szCs w:val="18"/>
              </w:rPr>
            </w:pPr>
          </w:p>
        </w:tc>
      </w:tr>
    </w:tbl>
    <w:p w:rsidR="00A2237D" w:rsidRDefault="00A2237D">
      <w:pPr>
        <w:rPr>
          <w:sz w:val="36"/>
          <w:lang w:val="en-US"/>
        </w:rPr>
      </w:pPr>
    </w:p>
    <w:p w:rsidR="00A2237D" w:rsidRDefault="00A2237D">
      <w:pPr>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lang w:val="en-US"/>
        </w:rPr>
      </w:pPr>
    </w:p>
    <w:p w:rsidR="00A2237D" w:rsidRDefault="00A2237D">
      <w:pPr>
        <w:jc w:val="both"/>
        <w:rPr>
          <w:b/>
          <w:bCs/>
          <w:sz w:val="40"/>
        </w:rPr>
      </w:pPr>
    </w:p>
    <w:p w:rsidR="00A2237D" w:rsidRDefault="00A2237D">
      <w:pPr>
        <w:jc w:val="both"/>
        <w:rPr>
          <w:b/>
          <w:bCs/>
          <w:sz w:val="40"/>
        </w:rPr>
      </w:pPr>
    </w:p>
    <w:p w:rsidR="00A2237D" w:rsidRDefault="003E4905">
      <w:pPr>
        <w:jc w:val="both"/>
        <w:rPr>
          <w:b/>
          <w:bCs/>
          <w:sz w:val="40"/>
        </w:rPr>
      </w:pPr>
      <w:r>
        <w:rPr>
          <w:b/>
          <w:bCs/>
          <w:sz w:val="40"/>
        </w:rPr>
        <w:t>2) Прибор предназначен для преобразования сигналов стандартных термоэлектрических преобразователей (ТП), термопреобразователей сопротивления (ТС), сигналов постоянного тока и напряжения в унифицированный сигнал постоянного тока: 0-5 мА, 0-20 мА, 4-20 мА.</w:t>
      </w:r>
    </w:p>
    <w:p w:rsidR="00A2237D" w:rsidRDefault="00A2237D">
      <w:pPr>
        <w:jc w:val="both"/>
        <w:rPr>
          <w:b/>
          <w:bCs/>
          <w:sz w:val="40"/>
        </w:rPr>
      </w:pPr>
    </w:p>
    <w:p w:rsidR="00A2237D" w:rsidRDefault="00A2237D">
      <w:pPr>
        <w:jc w:val="both"/>
        <w:rPr>
          <w:b/>
          <w:bCs/>
          <w:sz w:val="40"/>
        </w:rPr>
      </w:pPr>
    </w:p>
    <w:p w:rsidR="00A2237D" w:rsidRDefault="003E4905">
      <w:pPr>
        <w:rPr>
          <w:b/>
          <w:bCs/>
          <w:sz w:val="40"/>
        </w:rPr>
      </w:pPr>
      <w:r>
        <w:rPr>
          <w:b/>
          <w:bCs/>
          <w:sz w:val="40"/>
          <w:lang w:val="en-US"/>
        </w:rPr>
        <w:t xml:space="preserve">- </w:t>
      </w:r>
      <w:r>
        <w:rPr>
          <w:b/>
          <w:bCs/>
          <w:sz w:val="40"/>
        </w:rPr>
        <w:t>ОСНОВНЫЕ ФУНКЦИИ:</w:t>
      </w:r>
    </w:p>
    <w:p w:rsidR="00A2237D" w:rsidRDefault="00A2237D">
      <w:pPr>
        <w:rPr>
          <w:b/>
          <w:bCs/>
          <w:sz w:val="40"/>
        </w:rPr>
      </w:pPr>
    </w:p>
    <w:p w:rsidR="00A2237D" w:rsidRDefault="003E4905">
      <w:pPr>
        <w:numPr>
          <w:ilvl w:val="0"/>
          <w:numId w:val="2"/>
        </w:numPr>
        <w:spacing w:before="100" w:beforeAutospacing="1" w:after="100" w:afterAutospacing="1"/>
        <w:rPr>
          <w:b/>
          <w:bCs/>
          <w:sz w:val="40"/>
        </w:rPr>
      </w:pPr>
      <w:r>
        <w:rPr>
          <w:b/>
          <w:bCs/>
          <w:sz w:val="40"/>
        </w:rPr>
        <w:t>искробезопасные входные цепи с маркировкой взрывозащиты "ExiaIIC"</w:t>
      </w:r>
    </w:p>
    <w:p w:rsidR="00A2237D" w:rsidRDefault="003E4905">
      <w:pPr>
        <w:numPr>
          <w:ilvl w:val="0"/>
          <w:numId w:val="2"/>
        </w:numPr>
        <w:spacing w:before="100" w:beforeAutospacing="1" w:after="100" w:afterAutospacing="1"/>
        <w:rPr>
          <w:b/>
          <w:bCs/>
          <w:sz w:val="40"/>
        </w:rPr>
      </w:pPr>
      <w:r>
        <w:rPr>
          <w:b/>
          <w:bCs/>
          <w:sz w:val="40"/>
        </w:rPr>
        <w:t>подключаемые датчики: ТХК, ТХА, ТПП, ТПР, ТВР, ТЖК, ТМК, ТСП(50П, 100П), ТСМ (50М, 100М)</w:t>
      </w:r>
    </w:p>
    <w:p w:rsidR="00A2237D" w:rsidRDefault="003E4905">
      <w:pPr>
        <w:numPr>
          <w:ilvl w:val="0"/>
          <w:numId w:val="2"/>
        </w:numPr>
        <w:spacing w:before="100" w:beforeAutospacing="1" w:after="100" w:afterAutospacing="1"/>
        <w:rPr>
          <w:b/>
          <w:bCs/>
          <w:sz w:val="40"/>
        </w:rPr>
      </w:pPr>
      <w:r>
        <w:rPr>
          <w:b/>
          <w:bCs/>
          <w:sz w:val="40"/>
        </w:rPr>
        <w:t>автоматическая компенсация термоЭДС "свободных концов" ТП</w:t>
      </w:r>
    </w:p>
    <w:p w:rsidR="00A2237D" w:rsidRDefault="003E4905">
      <w:pPr>
        <w:numPr>
          <w:ilvl w:val="0"/>
          <w:numId w:val="2"/>
        </w:numPr>
        <w:spacing w:before="100" w:beforeAutospacing="1" w:after="100" w:afterAutospacing="1"/>
        <w:rPr>
          <w:b/>
          <w:bCs/>
          <w:sz w:val="40"/>
        </w:rPr>
      </w:pPr>
      <w:r>
        <w:rPr>
          <w:b/>
          <w:bCs/>
          <w:sz w:val="40"/>
        </w:rPr>
        <w:t>входные сигналы 0-5 мА, 0-20 мА, 4-20 мА, 0-100 мВ</w:t>
      </w:r>
    </w:p>
    <w:p w:rsidR="00A2237D" w:rsidRDefault="003E4905">
      <w:pPr>
        <w:numPr>
          <w:ilvl w:val="0"/>
          <w:numId w:val="2"/>
        </w:numPr>
        <w:spacing w:before="100" w:beforeAutospacing="1" w:after="100" w:afterAutospacing="1"/>
        <w:rPr>
          <w:b/>
          <w:bCs/>
          <w:sz w:val="40"/>
        </w:rPr>
      </w:pPr>
      <w:r>
        <w:rPr>
          <w:b/>
          <w:bCs/>
          <w:sz w:val="40"/>
        </w:rPr>
        <w:t>выходные сигналы 0-5 мА, 0-20 мА, 4-20 мА</w:t>
      </w:r>
    </w:p>
    <w:p w:rsidR="00A2237D" w:rsidRDefault="003E4905">
      <w:pPr>
        <w:numPr>
          <w:ilvl w:val="0"/>
          <w:numId w:val="2"/>
        </w:numPr>
        <w:spacing w:before="100" w:beforeAutospacing="1" w:after="100" w:afterAutospacing="1"/>
        <w:rPr>
          <w:b/>
          <w:bCs/>
          <w:sz w:val="40"/>
        </w:rPr>
      </w:pPr>
      <w:r>
        <w:rPr>
          <w:b/>
          <w:bCs/>
          <w:sz w:val="40"/>
        </w:rPr>
        <w:t>гальваническое разделение входных и выходных цепей</w:t>
      </w:r>
    </w:p>
    <w:p w:rsidR="00A2237D" w:rsidRDefault="003E4905">
      <w:pPr>
        <w:numPr>
          <w:ilvl w:val="0"/>
          <w:numId w:val="2"/>
        </w:numPr>
        <w:spacing w:before="100" w:beforeAutospacing="1" w:after="100" w:afterAutospacing="1"/>
        <w:rPr>
          <w:b/>
          <w:bCs/>
          <w:sz w:val="40"/>
        </w:rPr>
      </w:pPr>
      <w:r>
        <w:rPr>
          <w:b/>
          <w:bCs/>
          <w:sz w:val="40"/>
        </w:rPr>
        <w:t>двух, трехпозиционная сигнализация достижения измеряемым параметром уставок верхнего и (или) нижнего уровня (позиционное регулирование). Выход - "сухой контакт"</w:t>
      </w:r>
    </w:p>
    <w:p w:rsidR="00A2237D" w:rsidRDefault="003E4905">
      <w:pPr>
        <w:numPr>
          <w:ilvl w:val="0"/>
          <w:numId w:val="2"/>
        </w:numPr>
        <w:spacing w:before="100" w:beforeAutospacing="1" w:after="100" w:afterAutospacing="1"/>
        <w:rPr>
          <w:b/>
          <w:bCs/>
          <w:sz w:val="40"/>
        </w:rPr>
      </w:pPr>
      <w:r>
        <w:rPr>
          <w:b/>
          <w:bCs/>
          <w:sz w:val="40"/>
        </w:rPr>
        <w:t>сигнализация обрыва цепей ТП, ТС</w:t>
      </w:r>
    </w:p>
    <w:p w:rsidR="00A2237D" w:rsidRDefault="00A2237D">
      <w:pPr>
        <w:rPr>
          <w:b/>
          <w:bCs/>
          <w:sz w:val="40"/>
        </w:rPr>
      </w:pPr>
      <w:bookmarkStart w:id="0" w:name="_GoBack"/>
      <w:bookmarkEnd w:id="0"/>
    </w:p>
    <w:sectPr w:rsidR="00A2237D">
      <w:pgSz w:w="11906" w:h="16838"/>
      <w:pgMar w:top="1134" w:right="92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97AE0"/>
    <w:multiLevelType w:val="hybridMultilevel"/>
    <w:tmpl w:val="655E3B96"/>
    <w:lvl w:ilvl="0" w:tplc="7D328044">
      <w:start w:val="1"/>
      <w:numFmt w:val="bullet"/>
      <w:lvlText w:val=""/>
      <w:lvlJc w:val="left"/>
      <w:pPr>
        <w:tabs>
          <w:tab w:val="num" w:pos="720"/>
        </w:tabs>
        <w:ind w:left="720" w:hanging="360"/>
      </w:pPr>
      <w:rPr>
        <w:rFonts w:ascii="Symbol" w:hAnsi="Symbol" w:hint="default"/>
        <w:sz w:val="20"/>
      </w:rPr>
    </w:lvl>
    <w:lvl w:ilvl="1" w:tplc="4F34E9D0" w:tentative="1">
      <w:start w:val="1"/>
      <w:numFmt w:val="bullet"/>
      <w:lvlText w:val="o"/>
      <w:lvlJc w:val="left"/>
      <w:pPr>
        <w:tabs>
          <w:tab w:val="num" w:pos="1440"/>
        </w:tabs>
        <w:ind w:left="1440" w:hanging="360"/>
      </w:pPr>
      <w:rPr>
        <w:rFonts w:ascii="Courier New" w:hAnsi="Courier New" w:hint="default"/>
        <w:sz w:val="20"/>
      </w:rPr>
    </w:lvl>
    <w:lvl w:ilvl="2" w:tplc="90E06D8C" w:tentative="1">
      <w:start w:val="1"/>
      <w:numFmt w:val="bullet"/>
      <w:lvlText w:val=""/>
      <w:lvlJc w:val="left"/>
      <w:pPr>
        <w:tabs>
          <w:tab w:val="num" w:pos="2160"/>
        </w:tabs>
        <w:ind w:left="2160" w:hanging="360"/>
      </w:pPr>
      <w:rPr>
        <w:rFonts w:ascii="Wingdings" w:hAnsi="Wingdings" w:hint="default"/>
        <w:sz w:val="20"/>
      </w:rPr>
    </w:lvl>
    <w:lvl w:ilvl="3" w:tplc="01208B54" w:tentative="1">
      <w:start w:val="1"/>
      <w:numFmt w:val="bullet"/>
      <w:lvlText w:val=""/>
      <w:lvlJc w:val="left"/>
      <w:pPr>
        <w:tabs>
          <w:tab w:val="num" w:pos="2880"/>
        </w:tabs>
        <w:ind w:left="2880" w:hanging="360"/>
      </w:pPr>
      <w:rPr>
        <w:rFonts w:ascii="Wingdings" w:hAnsi="Wingdings" w:hint="default"/>
        <w:sz w:val="20"/>
      </w:rPr>
    </w:lvl>
    <w:lvl w:ilvl="4" w:tplc="BD448A78" w:tentative="1">
      <w:start w:val="1"/>
      <w:numFmt w:val="bullet"/>
      <w:lvlText w:val=""/>
      <w:lvlJc w:val="left"/>
      <w:pPr>
        <w:tabs>
          <w:tab w:val="num" w:pos="3600"/>
        </w:tabs>
        <w:ind w:left="3600" w:hanging="360"/>
      </w:pPr>
      <w:rPr>
        <w:rFonts w:ascii="Wingdings" w:hAnsi="Wingdings" w:hint="default"/>
        <w:sz w:val="20"/>
      </w:rPr>
    </w:lvl>
    <w:lvl w:ilvl="5" w:tplc="8AE0546C" w:tentative="1">
      <w:start w:val="1"/>
      <w:numFmt w:val="bullet"/>
      <w:lvlText w:val=""/>
      <w:lvlJc w:val="left"/>
      <w:pPr>
        <w:tabs>
          <w:tab w:val="num" w:pos="4320"/>
        </w:tabs>
        <w:ind w:left="4320" w:hanging="360"/>
      </w:pPr>
      <w:rPr>
        <w:rFonts w:ascii="Wingdings" w:hAnsi="Wingdings" w:hint="default"/>
        <w:sz w:val="20"/>
      </w:rPr>
    </w:lvl>
    <w:lvl w:ilvl="6" w:tplc="0FDCB200" w:tentative="1">
      <w:start w:val="1"/>
      <w:numFmt w:val="bullet"/>
      <w:lvlText w:val=""/>
      <w:lvlJc w:val="left"/>
      <w:pPr>
        <w:tabs>
          <w:tab w:val="num" w:pos="5040"/>
        </w:tabs>
        <w:ind w:left="5040" w:hanging="360"/>
      </w:pPr>
      <w:rPr>
        <w:rFonts w:ascii="Wingdings" w:hAnsi="Wingdings" w:hint="default"/>
        <w:sz w:val="20"/>
      </w:rPr>
    </w:lvl>
    <w:lvl w:ilvl="7" w:tplc="34562418" w:tentative="1">
      <w:start w:val="1"/>
      <w:numFmt w:val="bullet"/>
      <w:lvlText w:val=""/>
      <w:lvlJc w:val="left"/>
      <w:pPr>
        <w:tabs>
          <w:tab w:val="num" w:pos="5760"/>
        </w:tabs>
        <w:ind w:left="5760" w:hanging="360"/>
      </w:pPr>
      <w:rPr>
        <w:rFonts w:ascii="Wingdings" w:hAnsi="Wingdings" w:hint="default"/>
        <w:sz w:val="20"/>
      </w:rPr>
    </w:lvl>
    <w:lvl w:ilvl="8" w:tplc="0DC0F4EE" w:tentative="1">
      <w:start w:val="1"/>
      <w:numFmt w:val="bullet"/>
      <w:lvlText w:val=""/>
      <w:lvlJc w:val="left"/>
      <w:pPr>
        <w:tabs>
          <w:tab w:val="num" w:pos="6480"/>
        </w:tabs>
        <w:ind w:left="6480" w:hanging="360"/>
      </w:pPr>
      <w:rPr>
        <w:rFonts w:ascii="Wingdings" w:hAnsi="Wingdings" w:hint="default"/>
        <w:sz w:val="20"/>
      </w:rPr>
    </w:lvl>
  </w:abstractNum>
  <w:abstractNum w:abstractNumId="1">
    <w:nsid w:val="1E926B46"/>
    <w:multiLevelType w:val="hybridMultilevel"/>
    <w:tmpl w:val="0A6AF21C"/>
    <w:lvl w:ilvl="0" w:tplc="C390F5A2">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905"/>
    <w:rsid w:val="003E4905"/>
    <w:rsid w:val="00A2237D"/>
    <w:rsid w:val="00F77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CA0606-71FD-4A1E-BD98-32C65F58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character" w:styleId="a4">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Words>
  <Characters>4505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Курсовая работа по теме: Анализ интеллектуальных приборов измерения давления на промышленных предприятиях</vt:lpstr>
    </vt:vector>
  </TitlesOfParts>
  <Company/>
  <LinksUpToDate>false</LinksUpToDate>
  <CharactersWithSpaces>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теме: Анализ интеллектуальных приборов измерения давления на промышленных предприятиях</dc:title>
  <dc:subject/>
  <dc:creator>User</dc:creator>
  <cp:keywords/>
  <dc:description/>
  <cp:lastModifiedBy>Irina</cp:lastModifiedBy>
  <cp:revision>2</cp:revision>
  <dcterms:created xsi:type="dcterms:W3CDTF">2014-07-20T12:32:00Z</dcterms:created>
  <dcterms:modified xsi:type="dcterms:W3CDTF">2014-07-20T12:32:00Z</dcterms:modified>
</cp:coreProperties>
</file>