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EE7" w:rsidRDefault="00485EE7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D0166" w:rsidRDefault="007D3C41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ФЕДЕРАЛЬНОЕ АГЕНТСТВО ПО ОБРАЗОВАНИЮ</w:t>
      </w:r>
    </w:p>
    <w:p w:rsidR="007D3C41" w:rsidRDefault="007D3C41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Государственное образовательное учреждение</w:t>
      </w:r>
    </w:p>
    <w:p w:rsidR="007D3C41" w:rsidRDefault="007D3C41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высшего профессионального образования</w:t>
      </w:r>
    </w:p>
    <w:p w:rsidR="007D3C41" w:rsidRDefault="007D3C41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«ВОЛГОГРАДСКИЙ ГОСУДАРСТВЕННЫЙ УНИВЕРСИТЕТ»</w:t>
      </w:r>
    </w:p>
    <w:p w:rsidR="008278C0" w:rsidRDefault="008278C0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Факультет лингвистики и межкультурной коммуникации</w:t>
      </w:r>
    </w:p>
    <w:p w:rsidR="008278C0" w:rsidRDefault="008278C0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Кафедра документной лингвистики и документоведения</w:t>
      </w:r>
    </w:p>
    <w:p w:rsidR="007D3C41" w:rsidRPr="007D3C41" w:rsidRDefault="007D3C41">
      <w:pPr>
        <w:pStyle w:val="aa"/>
        <w:numPr>
          <w:ilvl w:val="0"/>
          <w:numId w:val="0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0D0166" w:rsidRDefault="000D0166">
      <w:pPr>
        <w:pStyle w:val="aa"/>
        <w:numPr>
          <w:ilvl w:val="0"/>
          <w:numId w:val="0"/>
        </w:numPr>
      </w:pPr>
    </w:p>
    <w:p w:rsidR="000D0166" w:rsidRDefault="000D0166">
      <w:pPr>
        <w:pStyle w:val="aa"/>
        <w:numPr>
          <w:ilvl w:val="0"/>
          <w:numId w:val="0"/>
        </w:numPr>
      </w:pPr>
    </w:p>
    <w:p w:rsidR="000D0166" w:rsidRDefault="000D0166">
      <w:pPr>
        <w:pStyle w:val="a8"/>
        <w:rPr>
          <w:sz w:val="44"/>
          <w:szCs w:val="44"/>
        </w:rPr>
      </w:pPr>
      <w:r>
        <w:rPr>
          <w:sz w:val="44"/>
          <w:szCs w:val="44"/>
        </w:rPr>
        <w:t xml:space="preserve">      </w:t>
      </w:r>
      <w:r w:rsidR="008278C0">
        <w:rPr>
          <w:sz w:val="44"/>
          <w:szCs w:val="44"/>
        </w:rPr>
        <w:t>«</w:t>
      </w:r>
      <w:r>
        <w:rPr>
          <w:sz w:val="44"/>
          <w:szCs w:val="44"/>
        </w:rPr>
        <w:t xml:space="preserve">Административная ответственность за использование не лицензионного </w:t>
      </w:r>
      <w:r w:rsidR="008278C0">
        <w:rPr>
          <w:sz w:val="44"/>
          <w:szCs w:val="44"/>
        </w:rPr>
        <w:t>ПО»</w:t>
      </w:r>
    </w:p>
    <w:p w:rsidR="008278C0" w:rsidRDefault="008278C0">
      <w:pPr>
        <w:pStyle w:val="a8"/>
        <w:rPr>
          <w:sz w:val="44"/>
          <w:szCs w:val="44"/>
        </w:rPr>
      </w:pPr>
    </w:p>
    <w:p w:rsidR="008278C0" w:rsidRDefault="008278C0">
      <w:pPr>
        <w:pStyle w:val="a8"/>
        <w:rPr>
          <w:sz w:val="44"/>
          <w:szCs w:val="44"/>
        </w:rPr>
      </w:pPr>
    </w:p>
    <w:p w:rsidR="008278C0" w:rsidRPr="008278C0" w:rsidRDefault="008278C0" w:rsidP="008278C0">
      <w:pPr>
        <w:pStyle w:val="a8"/>
        <w:jc w:val="center"/>
        <w:rPr>
          <w:b/>
          <w:sz w:val="28"/>
          <w:szCs w:val="28"/>
        </w:rPr>
      </w:pPr>
      <w:r w:rsidRPr="008278C0">
        <w:rPr>
          <w:b/>
          <w:sz w:val="28"/>
          <w:szCs w:val="28"/>
        </w:rPr>
        <w:t>Реферат</w:t>
      </w:r>
    </w:p>
    <w:p w:rsidR="000D0166" w:rsidRDefault="000D0166">
      <w:pPr>
        <w:pStyle w:val="aa"/>
        <w:numPr>
          <w:ilvl w:val="0"/>
          <w:numId w:val="0"/>
        </w:numPr>
        <w:rPr>
          <w:b w:val="0"/>
          <w:bCs w:val="0"/>
        </w:rPr>
      </w:pPr>
    </w:p>
    <w:p w:rsidR="000D0166" w:rsidRDefault="000D0166">
      <w:pPr>
        <w:jc w:val="center"/>
        <w:rPr>
          <w:rFonts w:ascii="Arial" w:eastAsia="Arial" w:hAnsi="Arial" w:cs="Arial"/>
          <w:b/>
          <w:bCs/>
          <w:i/>
          <w:iCs/>
          <w:caps/>
          <w:sz w:val="32"/>
          <w:szCs w:val="32"/>
        </w:rPr>
      </w:pPr>
    </w:p>
    <w:p w:rsidR="008278C0" w:rsidRDefault="008278C0" w:rsidP="00DB462F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Исполнитель-студентка </w:t>
      </w:r>
      <w:r w:rsidR="004E671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курса</w:t>
      </w:r>
    </w:p>
    <w:p w:rsidR="00DB462F" w:rsidRDefault="00DB462F" w:rsidP="00DB462F">
      <w:pPr>
        <w:jc w:val="right"/>
        <w:rPr>
          <w:rFonts w:eastAsia="Arial"/>
          <w:sz w:val="28"/>
          <w:szCs w:val="28"/>
        </w:rPr>
      </w:pPr>
    </w:p>
    <w:p w:rsidR="00DB462F" w:rsidRDefault="00DB462F" w:rsidP="00DB462F">
      <w:pPr>
        <w:jc w:val="right"/>
        <w:rPr>
          <w:rFonts w:eastAsia="Arial"/>
          <w:sz w:val="28"/>
          <w:szCs w:val="28"/>
        </w:rPr>
      </w:pPr>
    </w:p>
    <w:p w:rsidR="00DB462F" w:rsidRDefault="00DB462F" w:rsidP="00DB462F"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Научный руководитель-</w:t>
      </w:r>
    </w:p>
    <w:p w:rsidR="00221B21" w:rsidRDefault="00221B21" w:rsidP="00DB462F">
      <w:pPr>
        <w:jc w:val="right"/>
        <w:rPr>
          <w:rFonts w:eastAsia="Arial"/>
          <w:sz w:val="28"/>
          <w:szCs w:val="28"/>
        </w:rPr>
      </w:pPr>
    </w:p>
    <w:p w:rsidR="00DB462F" w:rsidRDefault="00DB462F" w:rsidP="00DB462F">
      <w:pPr>
        <w:jc w:val="right"/>
        <w:rPr>
          <w:rFonts w:eastAsia="Arial"/>
          <w:sz w:val="28"/>
          <w:szCs w:val="28"/>
        </w:rPr>
      </w:pPr>
    </w:p>
    <w:p w:rsidR="00DB462F" w:rsidRPr="008278C0" w:rsidRDefault="00DB462F" w:rsidP="008278C0">
      <w:pPr>
        <w:jc w:val="center"/>
        <w:rPr>
          <w:rFonts w:eastAsia="Arial"/>
          <w:sz w:val="28"/>
          <w:szCs w:val="28"/>
        </w:rPr>
      </w:pPr>
    </w:p>
    <w:p w:rsidR="008278C0" w:rsidRDefault="008278C0">
      <w:pPr>
        <w:jc w:val="center"/>
        <w:rPr>
          <w:rFonts w:ascii="Arial" w:eastAsia="Arial" w:hAnsi="Arial" w:cs="Arial"/>
          <w:b/>
          <w:bCs/>
          <w:i/>
          <w:iCs/>
          <w:caps/>
          <w:sz w:val="32"/>
          <w:szCs w:val="32"/>
        </w:rPr>
      </w:pPr>
    </w:p>
    <w:p w:rsidR="008278C0" w:rsidRPr="008278C0" w:rsidRDefault="008278C0">
      <w:pPr>
        <w:jc w:val="center"/>
        <w:rPr>
          <w:rFonts w:eastAsia="Arial"/>
          <w:bCs/>
          <w:iCs/>
          <w:caps/>
          <w:sz w:val="28"/>
          <w:szCs w:val="28"/>
        </w:rPr>
      </w:pPr>
    </w:p>
    <w:p w:rsidR="000D0166" w:rsidRDefault="000D0166">
      <w:pPr>
        <w:jc w:val="center"/>
        <w:rPr>
          <w:b/>
          <w:bCs/>
          <w:caps/>
          <w:sz w:val="32"/>
          <w:szCs w:val="32"/>
        </w:rPr>
      </w:pPr>
    </w:p>
    <w:p w:rsidR="000D0166" w:rsidRDefault="000D0166">
      <w:pPr>
        <w:jc w:val="center"/>
        <w:rPr>
          <w:b/>
          <w:bCs/>
          <w:caps/>
          <w:sz w:val="32"/>
          <w:szCs w:val="32"/>
        </w:rPr>
      </w:pPr>
    </w:p>
    <w:p w:rsidR="000D0166" w:rsidRDefault="000D0166">
      <w:pPr>
        <w:jc w:val="center"/>
        <w:rPr>
          <w:b/>
          <w:bCs/>
          <w:caps/>
          <w:sz w:val="32"/>
          <w:szCs w:val="32"/>
        </w:rPr>
      </w:pPr>
    </w:p>
    <w:p w:rsidR="000D0166" w:rsidRDefault="000D0166">
      <w:pPr>
        <w:jc w:val="center"/>
        <w:rPr>
          <w:b/>
          <w:bCs/>
          <w:caps/>
          <w:sz w:val="32"/>
          <w:szCs w:val="32"/>
        </w:rPr>
      </w:pPr>
    </w:p>
    <w:p w:rsidR="000D0166" w:rsidRDefault="000D0166">
      <w:pPr>
        <w:jc w:val="center"/>
        <w:rPr>
          <w:b/>
          <w:bCs/>
          <w:caps/>
          <w:sz w:val="32"/>
          <w:szCs w:val="32"/>
        </w:rPr>
      </w:pPr>
    </w:p>
    <w:p w:rsidR="000D0166" w:rsidRPr="005671FC" w:rsidRDefault="005671FC" w:rsidP="005671FC">
      <w:pPr>
        <w:jc w:val="center"/>
        <w:rPr>
          <w:sz w:val="28"/>
          <w:szCs w:val="28"/>
        </w:rPr>
        <w:sectPr w:rsidR="000D0166" w:rsidRPr="005671FC">
          <w:pgSz w:w="11906" w:h="16838"/>
          <w:pgMar w:top="567" w:right="567" w:bottom="567" w:left="1418" w:header="720" w:footer="720" w:gutter="0"/>
          <w:cols w:space="720"/>
        </w:sectPr>
      </w:pPr>
      <w:r w:rsidRPr="005671FC">
        <w:rPr>
          <w:sz w:val="28"/>
          <w:szCs w:val="28"/>
        </w:rPr>
        <w:t>Волгоград 2011</w:t>
      </w:r>
    </w:p>
    <w:p w:rsidR="000D0166" w:rsidRDefault="000D0166" w:rsidP="00221B21">
      <w:pPr>
        <w:pageBreakBefore/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СОДЕРЖАНИЕ: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  <w:gridCol w:w="1105"/>
      </w:tblGrid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 ……………………………………………………………………</w:t>
            </w:r>
          </w:p>
        </w:tc>
        <w:tc>
          <w:tcPr>
            <w:tcW w:w="1105" w:type="dxa"/>
            <w:shd w:val="clear" w:color="auto" w:fill="auto"/>
          </w:tcPr>
          <w:p w:rsidR="000D0166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 ПК.…………………………………………....</w:t>
            </w:r>
          </w:p>
        </w:tc>
        <w:tc>
          <w:tcPr>
            <w:tcW w:w="1105" w:type="dxa"/>
            <w:shd w:val="clear" w:color="auto" w:fill="auto"/>
          </w:tcPr>
          <w:p w:rsidR="000D0166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Лицензионное программное обеспечение………………………………...</w:t>
            </w:r>
          </w:p>
        </w:tc>
        <w:tc>
          <w:tcPr>
            <w:tcW w:w="1105" w:type="dxa"/>
            <w:shd w:val="clear" w:color="auto" w:fill="auto"/>
          </w:tcPr>
          <w:p w:rsidR="000D0166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лицензионное Программное обеспечение……………………………..</w:t>
            </w:r>
            <w:r>
              <w:rPr>
                <w:bCs/>
                <w:sz w:val="28"/>
                <w:szCs w:val="28"/>
              </w:rPr>
              <w:t>......................................................</w:t>
            </w:r>
          </w:p>
        </w:tc>
        <w:tc>
          <w:tcPr>
            <w:tcW w:w="1105" w:type="dxa"/>
            <w:shd w:val="clear" w:color="auto" w:fill="auto"/>
          </w:tcPr>
          <w:p w:rsidR="000D0166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за использование не лицензионного программного </w:t>
            </w:r>
          </w:p>
          <w:p w:rsidR="000D0166" w:rsidRDefault="000D016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  <w:lang w:val="en-US"/>
              </w:rPr>
              <w:t>....................................................................................................</w:t>
            </w:r>
          </w:p>
        </w:tc>
        <w:tc>
          <w:tcPr>
            <w:tcW w:w="1105" w:type="dxa"/>
            <w:shd w:val="clear" w:color="auto" w:fill="auto"/>
          </w:tcPr>
          <w:p w:rsidR="000D0166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Заключение………………………………………………………………….</w:t>
            </w:r>
          </w:p>
        </w:tc>
        <w:tc>
          <w:tcPr>
            <w:tcW w:w="1105" w:type="dxa"/>
            <w:shd w:val="clear" w:color="auto" w:fill="auto"/>
          </w:tcPr>
          <w:p w:rsidR="000D0166" w:rsidRPr="005671FC" w:rsidRDefault="000D01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671FC">
              <w:rPr>
                <w:bCs/>
                <w:sz w:val="28"/>
                <w:szCs w:val="28"/>
              </w:rPr>
              <w:t>2</w:t>
            </w:r>
          </w:p>
        </w:tc>
      </w:tr>
      <w:tr w:rsidR="000D0166">
        <w:tc>
          <w:tcPr>
            <w:tcW w:w="8748" w:type="dxa"/>
            <w:shd w:val="clear" w:color="auto" w:fill="auto"/>
          </w:tcPr>
          <w:p w:rsidR="000D0166" w:rsidRDefault="000D01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Список использованной литературы………………………………….......</w:t>
            </w:r>
          </w:p>
        </w:tc>
        <w:tc>
          <w:tcPr>
            <w:tcW w:w="1105" w:type="dxa"/>
            <w:shd w:val="clear" w:color="auto" w:fill="auto"/>
          </w:tcPr>
          <w:p w:rsidR="000D0166" w:rsidRPr="005671FC" w:rsidRDefault="000D0166" w:rsidP="00567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671FC">
              <w:rPr>
                <w:bCs/>
                <w:sz w:val="28"/>
                <w:szCs w:val="28"/>
              </w:rPr>
              <w:t>3</w:t>
            </w:r>
          </w:p>
        </w:tc>
      </w:tr>
    </w:tbl>
    <w:p w:rsidR="000D0166" w:rsidRDefault="000D0166"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0D0166" w:rsidRDefault="000D0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Любой персональный компьютер, даже самый современный, без наличия установленного на него необходимого программного обеспечения является грудой железа. В таком состоянии ни один компьютер не способен выполнить даже самые элементарные операции. Так что же такое программное обеспечение.</w:t>
      </w:r>
    </w:p>
    <w:p w:rsidR="000D0166" w:rsidRDefault="000D0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Программное обеспечение</w:t>
      </w:r>
      <w:r>
        <w:rPr>
          <w:sz w:val="28"/>
          <w:szCs w:val="28"/>
        </w:rPr>
        <w:t xml:space="preserve"> – набор программ, которые обеспечивают выполнение задач, решаемых на компьютере. Всё программное обеспечение поставляется на флоппи-дисках, лазерных дисках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) или через международную сеть Интернет. Иногда программный продукт может стоить гораздо дороже самого компьютера! В условиях «бедной» России наши пользователи ПК не покупают дорогостоящие лицензионные продукты, а вынуждены, по сути дела, нарушать Уголовный Кодекс, приобретая дешёвые пиратские копии программ (70-150р.).  В России авторский контроль фирм распространяется только на коммерческие предприятия: заводы, фабрики, фирмы, учебные заведения.  Однако для учебных заведений предоставляется скидка при покупке лицензионного ПО – до 70%. Отслеживая рынок всего программного обеспечения, можно составить его схему классификации: </w:t>
      </w:r>
    </w:p>
    <w:p w:rsidR="000D0166" w:rsidRDefault="000D0166"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«Программное обеспечение ПК»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ПК</w:t>
      </w:r>
      <w:r>
        <w:rPr>
          <w:sz w:val="28"/>
          <w:szCs w:val="28"/>
        </w:rPr>
        <w:t xml:space="preserve"> – совокупность технических средств (системный блок, монитор, клавиатура) для создания, обработки и хранения информации. ПК работает под управлением программ. И программа должна быть написана на языке, понятном компьютеру. Слова такого языка состоят из 0 и 1. Потому что в 60-ые годы компьютер могли только вычислять, т.е. работать с числовой информацией. В 70-ые годы компьютер научился работать с текстом. В 80-ые годы - с графической информацией. В 90-ые годы - со звуковой информацией. 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</w:t>
      </w:r>
      <w:r>
        <w:rPr>
          <w:sz w:val="28"/>
          <w:szCs w:val="28"/>
        </w:rPr>
        <w:t xml:space="preserve"> – это упорядоченная последовательность команд для компьютера, записанная на специальном языке и помещенная в файл. Совокупность программ и данных, предназначенных для их обработки, называется </w:t>
      </w:r>
      <w:r>
        <w:rPr>
          <w:bCs/>
          <w:iCs/>
          <w:sz w:val="28"/>
          <w:szCs w:val="28"/>
        </w:rPr>
        <w:t>программным обеспечением</w:t>
      </w:r>
      <w:r>
        <w:rPr>
          <w:sz w:val="28"/>
          <w:szCs w:val="28"/>
        </w:rPr>
        <w:t xml:space="preserve"> ПК. Некоторые программы встроены в постоянную память компьютера, но их мало. В основном они хранятся на дискетах, винчестерах, дисках.</w:t>
      </w:r>
    </w:p>
    <w:p w:rsidR="000D0166" w:rsidRDefault="000D0166">
      <w:pPr>
        <w:spacing w:line="360" w:lineRule="auto"/>
        <w:ind w:firstLine="567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Программное обеспечение делиться на три класса: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1. Системное ПО</w:t>
      </w:r>
      <w:r>
        <w:rPr>
          <w:i/>
          <w:iCs/>
          <w:sz w:val="28"/>
          <w:szCs w:val="28"/>
        </w:rPr>
        <w:br/>
        <w:t>2. Прикладное ПО</w:t>
      </w:r>
      <w:r>
        <w:rPr>
          <w:i/>
          <w:iCs/>
          <w:sz w:val="28"/>
          <w:szCs w:val="28"/>
        </w:rPr>
        <w:br/>
        <w:t>3. Инструментарий программирования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Системное ПО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является основным ПО, неотъемлемой частью компьютера. Без него невозможно взаимодействовать ни с одним устройством ЭВМ. Именно системное ПО руководит слаженной работой всех элементов компьютерной системы, как на аппаратном уровне, так и на программном.</w:t>
      </w:r>
    </w:p>
    <w:p w:rsidR="000D0166" w:rsidRDefault="000D0166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Системное программное обеспечение.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Операционные системы (MS-DOS; Windows; Unix)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  <w:lang w:val="en-US"/>
        </w:rPr>
      </w:pPr>
      <w:r>
        <w:rPr>
          <w:rFonts w:cs="Arial"/>
          <w:i/>
          <w:iCs/>
          <w:sz w:val="28"/>
          <w:szCs w:val="28"/>
        </w:rPr>
        <w:t>Файловые</w:t>
      </w:r>
      <w:r>
        <w:rPr>
          <w:rFonts w:cs="Arial"/>
          <w:i/>
          <w:iCs/>
          <w:sz w:val="28"/>
          <w:szCs w:val="28"/>
          <w:lang w:val="en-US"/>
        </w:rPr>
        <w:t xml:space="preserve"> </w:t>
      </w:r>
      <w:r>
        <w:rPr>
          <w:rFonts w:cs="Arial"/>
          <w:i/>
          <w:iCs/>
          <w:sz w:val="28"/>
          <w:szCs w:val="28"/>
        </w:rPr>
        <w:t>менеджеры</w:t>
      </w:r>
      <w:r>
        <w:rPr>
          <w:rFonts w:cs="Arial"/>
          <w:i/>
          <w:iCs/>
          <w:sz w:val="28"/>
          <w:szCs w:val="28"/>
          <w:lang w:val="en-US"/>
        </w:rPr>
        <w:t xml:space="preserve"> (Windows Commander, Total Commander, FAR)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Программы диагностики (проверяют работу основных устройств компьютера)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Антивирусные программы (DrWeb, Nod32, Антивирус Касперского)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Программы обслуживания дисков </w:t>
      </w:r>
    </w:p>
    <w:p w:rsidR="000D0166" w:rsidRDefault="000D0166">
      <w:pPr>
        <w:numPr>
          <w:ilvl w:val="0"/>
          <w:numId w:val="6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Архиваторы (WinRar, WinZip)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Прикладное ПО</w:t>
      </w:r>
      <w:r>
        <w:rPr>
          <w:sz w:val="28"/>
          <w:szCs w:val="28"/>
        </w:rPr>
        <w:t xml:space="preserve"> – предназначено для выполнения конкретных задач пользователя. Это те программы, которые превращают компьютер в пишущую машинку для набора текстов, в калькулятор для выполнения вычислений, в рабочее место художника, дизайнера, в средство общения с другими людьми на расстоянии или инженера-конструктора, и многое-многое другое.</w:t>
      </w:r>
    </w:p>
    <w:p w:rsidR="000D0166" w:rsidRDefault="000D0166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Прикладное программное обеспечение: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Текстовые процессоры (Microsoft Word)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Табличные процессоры (Microsoft Excel 1С: Бухгалтерия)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СУБД (Microsoft Access)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Компьютерная графика и анимация (Paint Adobe Photoshop, CorelDraw)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Средства создания презентации (Microsoft PowerPoint)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  <w:lang w:val="en-US"/>
        </w:rPr>
      </w:pPr>
      <w:r>
        <w:rPr>
          <w:rFonts w:cs="Arial"/>
          <w:i/>
          <w:iCs/>
          <w:sz w:val="28"/>
          <w:szCs w:val="28"/>
        </w:rPr>
        <w:t>Средства</w:t>
      </w:r>
      <w:r>
        <w:rPr>
          <w:rFonts w:cs="Arial"/>
          <w:i/>
          <w:iCs/>
          <w:sz w:val="28"/>
          <w:szCs w:val="28"/>
          <w:lang w:val="en-US"/>
        </w:rPr>
        <w:t xml:space="preserve"> </w:t>
      </w:r>
      <w:r>
        <w:rPr>
          <w:rFonts w:cs="Arial"/>
          <w:i/>
          <w:iCs/>
          <w:sz w:val="28"/>
          <w:szCs w:val="28"/>
        </w:rPr>
        <w:t>коммуникаций</w:t>
      </w:r>
      <w:r>
        <w:rPr>
          <w:rFonts w:cs="Arial"/>
          <w:i/>
          <w:iCs/>
          <w:sz w:val="28"/>
          <w:szCs w:val="28"/>
          <w:lang w:val="en-US"/>
        </w:rPr>
        <w:t xml:space="preserve"> (Internet Explorer, Outlook Express, The Bat)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Системы автоматизированного проектирования (САПР) - (AutoCad, КОМПАС)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Обучающие программы (Клавиатурные тренажеры, Тесты)</w:t>
      </w:r>
    </w:p>
    <w:p w:rsidR="000D0166" w:rsidRDefault="000D0166">
      <w:pPr>
        <w:numPr>
          <w:ilvl w:val="0"/>
          <w:numId w:val="3"/>
        </w:numPr>
        <w:tabs>
          <w:tab w:val="left" w:pos="510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Игры (Стратегии, Лабиринты, Логика)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Инструментарий программирования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 это средства, предназначенные для создания ПО, т.е. того же системного и прикладного ПО. Его составляют разнообразные языки и среды программирования.</w:t>
      </w:r>
    </w:p>
    <w:p w:rsidR="000D0166" w:rsidRDefault="000D0166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Инструментарий программирования</w:t>
      </w:r>
    </w:p>
    <w:p w:rsidR="000D0166" w:rsidRDefault="000D0166">
      <w:pPr>
        <w:numPr>
          <w:ilvl w:val="0"/>
          <w:numId w:val="2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 xml:space="preserve">Трансляторы </w:t>
      </w:r>
    </w:p>
    <w:p w:rsidR="000D0166" w:rsidRDefault="000D0166">
      <w:pPr>
        <w:numPr>
          <w:ilvl w:val="0"/>
          <w:numId w:val="2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Отладчики</w:t>
      </w:r>
    </w:p>
    <w:p w:rsidR="000D0166" w:rsidRDefault="000D0166">
      <w:pPr>
        <w:numPr>
          <w:ilvl w:val="0"/>
          <w:numId w:val="2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Интегрированные среды разработки приложений (Visual Basic, Delphi)</w:t>
      </w:r>
    </w:p>
    <w:p w:rsidR="000D0166" w:rsidRDefault="000D0166">
      <w:pPr>
        <w:numPr>
          <w:ilvl w:val="0"/>
          <w:numId w:val="2"/>
        </w:numPr>
        <w:tabs>
          <w:tab w:val="left" w:pos="397"/>
        </w:tabs>
        <w:spacing w:line="360" w:lineRule="auto"/>
        <w:jc w:val="both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>Языки программирования (Basic, Pascal)</w:t>
      </w:r>
    </w:p>
    <w:p w:rsidR="000D0166" w:rsidRDefault="000D0166">
      <w:pPr>
        <w:pStyle w:val="11"/>
        <w:numPr>
          <w:ilvl w:val="0"/>
          <w:numId w:val="0"/>
        </w:numPr>
        <w:spacing w:before="0" w:after="0" w:line="360" w:lineRule="auto"/>
        <w:ind w:left="567"/>
        <w:jc w:val="center"/>
        <w:rPr>
          <w:rFonts w:cs="Arial"/>
          <w:sz w:val="28"/>
          <w:szCs w:val="28"/>
        </w:rPr>
      </w:pPr>
    </w:p>
    <w:p w:rsidR="000D0166" w:rsidRDefault="000D0166">
      <w:pPr>
        <w:pageBreakBefore/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Лицензионное программное обеспечение</w:t>
      </w:r>
    </w:p>
    <w:p w:rsidR="000D0166" w:rsidRDefault="000D0166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Лицензионное ПО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официальное. </w:t>
      </w:r>
      <w:r>
        <w:rPr>
          <w:b/>
          <w:bCs/>
          <w:i/>
          <w:iCs/>
          <w:sz w:val="28"/>
          <w:szCs w:val="28"/>
          <w:u w:val="single"/>
        </w:rPr>
        <w:t>Нелицензионное ПО</w:t>
      </w:r>
      <w:r>
        <w:rPr>
          <w:sz w:val="28"/>
          <w:szCs w:val="28"/>
        </w:rPr>
        <w:t xml:space="preserve"> - с открытым кодом, любительское или взломанное. </w:t>
      </w:r>
    </w:p>
    <w:p w:rsidR="000D0166" w:rsidRDefault="000D01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Лицензионном Соглашении излагаются все права покупателя на купленное программное обеспечение, и все обязательства производителя и покупателя по отношению друг к другу. Обычно Лицензионное Соглашение коммерческой программы запрещает покупателю создавать и распространять её копии, декомпилировать, использовать части программы на нескольких разных компьютерах, и т.д. </w:t>
      </w:r>
    </w:p>
    <w:p w:rsidR="000D0166" w:rsidRDefault="000D016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Лицензионное соглашение в обязательном порядке передаётся покупателю вместе с купленной программой. Соглашение может быть:</w:t>
      </w:r>
    </w:p>
    <w:p w:rsidR="000D0166" w:rsidRDefault="000D0166">
      <w:pPr>
        <w:numPr>
          <w:ilvl w:val="0"/>
          <w:numId w:val="4"/>
        </w:numPr>
        <w:tabs>
          <w:tab w:val="left" w:pos="1800"/>
        </w:tabs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напечатано на бумаге (часто производитель вкладывает его в коробку с программным обеспечением); </w:t>
      </w:r>
    </w:p>
    <w:p w:rsidR="000D0166" w:rsidRDefault="000D0166">
      <w:pPr>
        <w:numPr>
          <w:ilvl w:val="0"/>
          <w:numId w:val="4"/>
        </w:numPr>
        <w:tabs>
          <w:tab w:val="left" w:pos="1800"/>
        </w:tabs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напечатано на обертке компакт-диска, на котором записана программа, или на коробке с программой; </w:t>
      </w:r>
    </w:p>
    <w:p w:rsidR="000D0166" w:rsidRDefault="000D0166">
      <w:pPr>
        <w:numPr>
          <w:ilvl w:val="0"/>
          <w:numId w:val="4"/>
        </w:numPr>
        <w:tabs>
          <w:tab w:val="left" w:pos="1800"/>
        </w:tabs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представлено пользователю в электронном виде в процессе установки программы. </w:t>
      </w:r>
    </w:p>
    <w:p w:rsidR="000D0166" w:rsidRDefault="000D01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использование программы подразумевает ваше согласие соблюдать все положения Лицензионного Соглашения. Если вы с ними не согласны, вы обязаны вернуть купленное программное обеспечение продавцу (если лицензионное соглашение разрешает такой возврат).</w:t>
      </w:r>
    </w:p>
    <w:p w:rsidR="000D0166" w:rsidRDefault="000D0166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При покупке лицензионной копии программного продукта потребитель приобретает в действительности право (разрешение) на его использование. Авторское право на саму программу сохраняется за автором (правообладателем), в собственность покупателя переходят лишь материальные носители, на которых она распространяется, например диски.  </w:t>
      </w:r>
    </w:p>
    <w:p w:rsidR="000D0166" w:rsidRDefault="000D0166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</w:p>
    <w:p w:rsidR="000D0166" w:rsidRDefault="000D0166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</w:p>
    <w:p w:rsidR="000D0166" w:rsidRDefault="000D0166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</w:p>
    <w:p w:rsidR="000D0166" w:rsidRDefault="000D0166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</w:p>
    <w:p w:rsidR="000D0166" w:rsidRDefault="000D0166">
      <w:pPr>
        <w:spacing w:line="360" w:lineRule="auto"/>
        <w:ind w:firstLine="5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Зачем мне нужно лицензионное ПО?</w:t>
      </w:r>
    </w:p>
    <w:p w:rsidR="000D0166" w:rsidRDefault="000D0166">
      <w:pPr>
        <w:numPr>
          <w:ilvl w:val="0"/>
          <w:numId w:val="1"/>
        </w:numPr>
        <w:tabs>
          <w:tab w:val="left" w:pos="1800"/>
        </w:tabs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Во-первых, использование нелицензионного программного обеспечения нарушает права производителя этого ПО, и может наказываться в Республике Беларусь мерами административной и уголовной ответственности.</w:t>
      </w:r>
    </w:p>
    <w:p w:rsidR="000D0166" w:rsidRDefault="000D0166">
      <w:pPr>
        <w:numPr>
          <w:ilvl w:val="0"/>
          <w:numId w:val="1"/>
        </w:numPr>
        <w:tabs>
          <w:tab w:val="left" w:pos="1800"/>
        </w:tabs>
        <w:spacing w:line="360" w:lineRule="auto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лицензионная программа лучше работает. И не только потому, что пираты могли украсть неполный дистрибутив, или неаккуратно взломать программу. Если вы купили лицензионный антивирус, то вы непременно станете регулярно обновлять антивирусные базы, в противном случае обладание антивирусом не имеет смысла, и ваши инвестиции в ПО пропали бы даром. </w:t>
      </w:r>
    </w:p>
    <w:p w:rsidR="000D0166" w:rsidRDefault="000D0166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</w:p>
    <w:p w:rsidR="000D0166" w:rsidRDefault="000D0166">
      <w:pPr>
        <w:spacing w:line="360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Нелицензионное Программное обеспечение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Нелицензионное ПО</w:t>
      </w:r>
      <w:r>
        <w:rPr>
          <w:sz w:val="28"/>
          <w:szCs w:val="28"/>
        </w:rPr>
        <w:t xml:space="preserve"> - купленное на рынке у пиратов, либо. Просто скачанное.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Компьютерное пиратство</w:t>
      </w:r>
      <w:r>
        <w:rPr>
          <w:sz w:val="28"/>
          <w:szCs w:val="28"/>
        </w:rPr>
        <w:t xml:space="preserve"> – это нарушение авторских прав на программное обеспечение, то есть воровство программного продукта путём незаконного копирования подлинных программ. Незаконным является также их распространение и использование, в том числе и установка большего числа копий легально приобретенного ПО, чем предусмотрено условиями лицензии. Кроме того, производители и продавцы нелицензионных программных продуктов в большинстве случаев нарушают и права производителей программных продуктов на товарные знаки и патенты.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покупке лицензионной копии программного продукта покупатель в действительности приобретает права на его использование (неисключительные имущественные права). Исключительные имущественные права остаются за автором (правообладателем), а в собственность покупателя переходят только материальные носители – диски и документация. </w:t>
      </w:r>
    </w:p>
    <w:p w:rsidR="000D0166" w:rsidRDefault="000D0166">
      <w:pPr>
        <w:spacing w:line="360" w:lineRule="auto"/>
        <w:ind w:firstLine="567"/>
        <w:jc w:val="both"/>
        <w:rPr>
          <w:sz w:val="28"/>
          <w:szCs w:val="28"/>
        </w:rPr>
      </w:pPr>
    </w:p>
    <w:p w:rsidR="000D0166" w:rsidRDefault="000D0166" w:rsidP="005671FC">
      <w:pPr>
        <w:spacing w:line="360" w:lineRule="auto"/>
        <w:textAlignment w:val="top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Ответственность за использование нелицензионного программного обеспечения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Гражданско-правовая ответственность за использование нелицензионного программного обеспечения.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Применение мер ответственности, предусмотренных Гражданским кодексом РФ, возможно лишь по желанию организации либо лица (собственника программного обеспечения), чьи права нарушены. Такая ответственность не возникает автоматически и может быть наложена лишь по решению суда. 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Вместе с тем необходимо отметить, что отсутствие вины нарушителя прав собственника программного обеспечения не освобождает его от обязанности прекратить допущенное нарушение и не исключает применения к нему мер, направленных на защиту прав собственника (п. 2 ст. 1250 ГК РФ).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Способы судебной защиты прав собственника и меры ответственности, которые могут быть наложены на нарушителя таких прав, предусмотрены ст. 1252 Гражданского кодекса РФ.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частности, в целях защиты исключительного права на программное обеспечение собственник вправе обратиться в суд с требованием:</w:t>
      </w:r>
    </w:p>
    <w:p w:rsidR="000D0166" w:rsidRDefault="000D0166">
      <w:pPr>
        <w:spacing w:line="360" w:lineRule="auto"/>
        <w:ind w:left="360" w:hanging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1) о признании права – к лицу, которое отрицает или иным образом не признает право, нарушая тем самым интересы собственника; </w:t>
      </w:r>
    </w:p>
    <w:p w:rsidR="000D0166" w:rsidRDefault="000D0166">
      <w:pPr>
        <w:spacing w:line="360" w:lineRule="auto"/>
        <w:ind w:left="360" w:hanging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2) о пресечении действий, нарушающих право или создающих угрозу его нарушения, – к лицу, совершающему такие действия или осуществляющему необходимые приготовления к ним; </w:t>
      </w:r>
    </w:p>
    <w:p w:rsidR="000D0166" w:rsidRDefault="000D0166">
      <w:pPr>
        <w:spacing w:line="360" w:lineRule="auto"/>
        <w:ind w:left="360" w:hanging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3) о возмещении убытков – к лицу, неправомерно использовавшему программное обеспечение без заключения лицензионного соглашения либо иным образом нарушившему его исключительное право и причинившему ему ущерб; </w:t>
      </w:r>
    </w:p>
    <w:p w:rsidR="000D0166" w:rsidRDefault="000D0166">
      <w:pPr>
        <w:spacing w:line="360" w:lineRule="auto"/>
        <w:ind w:left="360" w:hanging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4) об изъятии материального носителя программного обеспечения, – к его изготовителю, импортеру, хранителю, перевозчику, продавцу, иному распространителю, недобросовестному приобретателю; </w:t>
      </w:r>
    </w:p>
    <w:p w:rsidR="000D0166" w:rsidRDefault="000D0166">
      <w:pPr>
        <w:spacing w:line="360" w:lineRule="auto"/>
        <w:ind w:left="360" w:hanging="36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5) о публикации решения суда о допущенном нарушении с указанием действительного правообладателя – к нарушителю исключительного права. 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качестве обеспечительной меры на имущество нарушителя (материальные носители программного обеспечения, оборудование, материалы), которое предположительно было использовано для целей нарушения прав собственника, судом может быть наложен арест, а также применены иные обеспечительные меры.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Кроме того, изготовленные и распространяемые материальные носители программного обеспечения, а также материальные носители, использование, импорт, перевозка или хранение которых осуществляются с нарушением исключительного права собственника программного обеспечения, считаются контрафактными и по решению суда подлежат изъятию из оборота и уничтожению без какой бы то ни было компенсации (п. 4 ст. 1252 Гражданского кодекса РФ). Оборудование и материалы, используемые либо предназначенные в целях нарушения исключительного права на программное обеспечение, также подлежат изъятию из оборота и уничтожению за счет нарушителя по решению суда либо подлежат обращению в доход Российской Федерации.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Отдельно следует выделить право собственника программного обеспечения требовать по своему выбору от нарушителя возмещения убытков или выплату компенсации в случае нарушения его законных прав.</w:t>
      </w:r>
    </w:p>
    <w:p w:rsidR="000D0166" w:rsidRDefault="000D0166">
      <w:pPr>
        <w:spacing w:line="360" w:lineRule="auto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Причем компенсация подлежит взысканию с нарушителя лишь при доказанности факта нарушения и независимо от наличия или отсутствия убытков от такого нарушения, а собственник не исполняет обязанности по доказыванию размера причиненных ему убытков. </w:t>
      </w:r>
    </w:p>
    <w:p w:rsidR="000D0166" w:rsidRDefault="000D0166">
      <w:pPr>
        <w:pStyle w:val="14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или отсутствие наклеек на коробках с дистрибутивом также ни о чем не говорит. Подделать, можно все что угодно. Кстати, иногда нас просят при продаже электронных лицензий записать их на диск или распечатать, для того чтобы можно было "сдать на склад". В этом случае диск не является "фирменным", а бумага с ключами поставляется не производителем ПО.</w:t>
      </w:r>
    </w:p>
    <w:p w:rsidR="000D0166" w:rsidRDefault="000D0166">
      <w:pPr>
        <w:pStyle w:val="14"/>
        <w:spacing w:before="0" w:after="0"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0D0166">
        <w:tc>
          <w:tcPr>
            <w:tcW w:w="9921" w:type="dxa"/>
            <w:shd w:val="clear" w:color="auto" w:fill="auto"/>
            <w:vAlign w:val="center"/>
          </w:tcPr>
          <w:p w:rsidR="000D0166" w:rsidRDefault="000D0166">
            <w:pPr>
              <w:pStyle w:val="ad"/>
              <w:pBdr>
                <w:top w:val="single" w:sz="8" w:space="1" w:color="C0C0C0"/>
              </w:pBdr>
              <w:rPr>
                <w:b/>
                <w:color w:val="3D4B54"/>
                <w:sz w:val="28"/>
              </w:rPr>
            </w:pPr>
            <w:r>
              <w:rPr>
                <w:b/>
                <w:color w:val="3D4B54"/>
                <w:sz w:val="28"/>
              </w:rPr>
              <w:t xml:space="preserve">Причины использования не лицензионного ПО </w:t>
            </w:r>
          </w:p>
        </w:tc>
      </w:tr>
      <w:tr w:rsidR="000D0166">
        <w:tc>
          <w:tcPr>
            <w:tcW w:w="9921" w:type="dxa"/>
            <w:shd w:val="clear" w:color="auto" w:fill="auto"/>
            <w:vAlign w:val="center"/>
          </w:tcPr>
          <w:p w:rsidR="000D0166" w:rsidRDefault="000D0166">
            <w:pPr>
              <w:pStyle w:val="ad"/>
              <w:spacing w:after="283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 xml:space="preserve">Руководители российских компаний перекладывают ответственность за использование не лицензионного программного обеспечения на системных администраторов </w:t>
            </w:r>
          </w:p>
          <w:p w:rsidR="000D0166" w:rsidRDefault="000D0166">
            <w:pPr>
              <w:pStyle w:val="ad"/>
              <w:spacing w:after="283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 xml:space="preserve">Одним из наиболее распространенных ответов руководителей предприятий на вопрос о причинах использования нелегального программного обеспечения стало перекладывание вины на плечи других, - к такому выводу пришли специалисты Международной Ассоциации Производителей Программного Обеспечения (BSA). Российские руководители средних и малых предприятий, как правило, перекладывают ответственность на системных администраторов, несмотря на то, что именно руководители этих предприятия принимают решения о выделении средств на покупку программного обеспечения. 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>Ниже приведены пять наиболее часто упоминаемых причин использования нелицензионного программного обеспечения в странах EMEA (страны Европы, Среднего Востока и Азии) и России: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0"/>
              <w:gridCol w:w="5055"/>
            </w:tblGrid>
            <w:tr w:rsidR="000D0166">
              <w:tc>
                <w:tcPr>
                  <w:tcW w:w="4770" w:type="dxa"/>
                  <w:shd w:val="clear" w:color="auto" w:fill="auto"/>
                </w:tcPr>
                <w:p w:rsidR="000D0166" w:rsidRDefault="000D0166">
                  <w:pPr>
                    <w:pStyle w:val="ad"/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spacing w:line="312" w:lineRule="auto"/>
                    <w:rPr>
                      <w:color w:val="37444A"/>
                      <w:sz w:val="28"/>
                    </w:rPr>
                  </w:pPr>
                  <w:r>
                    <w:rPr>
                      <w:color w:val="37444A"/>
                      <w:sz w:val="28"/>
                    </w:rPr>
                    <w:t>Страны региона EMEA</w:t>
                  </w:r>
                </w:p>
              </w:tc>
              <w:tc>
                <w:tcPr>
                  <w:tcW w:w="5055" w:type="dxa"/>
                  <w:shd w:val="clear" w:color="auto" w:fill="auto"/>
                </w:tcPr>
                <w:p w:rsidR="000D0166" w:rsidRDefault="000D0166">
                  <w:pPr>
                    <w:pStyle w:val="ad"/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spacing w:line="312" w:lineRule="auto"/>
                    <w:rPr>
                      <w:color w:val="37444A"/>
                      <w:sz w:val="28"/>
                    </w:rPr>
                  </w:pPr>
                  <w:r>
                    <w:rPr>
                      <w:color w:val="37444A"/>
                      <w:sz w:val="28"/>
                    </w:rPr>
                    <w:t>Россия</w:t>
                  </w:r>
                </w:p>
              </w:tc>
            </w:tr>
            <w:tr w:rsidR="000D0166">
              <w:tc>
                <w:tcPr>
                  <w:tcW w:w="4770" w:type="dxa"/>
                  <w:shd w:val="clear" w:color="auto" w:fill="auto"/>
                </w:tcPr>
                <w:p w:rsidR="000D0166" w:rsidRDefault="000D0166">
                  <w:pPr>
                    <w:pStyle w:val="ad"/>
                    <w:numPr>
                      <w:ilvl w:val="0"/>
                      <w:numId w:val="7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Это не наша вина, мы за это не отвечаем.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7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Мы быстро расширяемся/ слились/ приобрели другую компанию и забыли докупить новые лицензии.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7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Мы ничего не знали о необходимости лицензирования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7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Cтоимость лицензий для нас оказалась слишком высокой и мы не могли себе позволить приобрести их легально.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7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after="283"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Мы просто тестировали программное обеспечение и забыли удалить его. </w:t>
                  </w:r>
                </w:p>
              </w:tc>
              <w:tc>
                <w:tcPr>
                  <w:tcW w:w="5055" w:type="dxa"/>
                  <w:shd w:val="clear" w:color="auto" w:fill="auto"/>
                </w:tcPr>
                <w:p w:rsidR="000D0166" w:rsidRDefault="000D0166">
                  <w:pPr>
                    <w:pStyle w:val="ad"/>
                    <w:numPr>
                      <w:ilvl w:val="0"/>
                      <w:numId w:val="8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Я ничего не знал о необходимости лицензирования, я не знаю откуда появились нелицензионные программы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8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Я не знал, что в нашей компании используется нелицензионное ПО, так как предполагал, что установленные при покупке новых компьютеров программы являются лицензионными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8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Я пришел работать в компанию, а нелицензионные программы были установлены до этого, и, поэтому, это не моя вина, я за это не отвечаю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8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Я поручил нашему системному администратору решить данный вопрос, но это не произошло, это – вина системного администратора </w:t>
                  </w:r>
                </w:p>
                <w:p w:rsidR="000D0166" w:rsidRDefault="000D0166">
                  <w:pPr>
                    <w:pStyle w:val="ad"/>
                    <w:numPr>
                      <w:ilvl w:val="0"/>
                      <w:numId w:val="8"/>
                    </w:num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tabs>
                      <w:tab w:val="left" w:pos="707"/>
                    </w:tabs>
                    <w:spacing w:after="283" w:line="312" w:lineRule="auto"/>
                    <w:rPr>
                      <w:color w:val="354248"/>
                      <w:sz w:val="28"/>
                    </w:rPr>
                  </w:pPr>
                  <w:r>
                    <w:rPr>
                      <w:color w:val="354248"/>
                      <w:sz w:val="28"/>
                    </w:rPr>
                    <w:t xml:space="preserve">Стоимость лицензий для нас оказалась слишком высокой и мы не могли себе позволить приобрести их легально </w:t>
                  </w:r>
                </w:p>
              </w:tc>
            </w:tr>
          </w:tbl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br/>
              <w:t> 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 xml:space="preserve">Уголовная или административная ответственность за лицензионную чистоту используемого программного обеспечение, а также контроль за соблюдением законодательства об авторских правах полностью лежит на генеральном директоре, владельце бизнеса, главном исполнительном директоре или на управляющем директоре. У руководства компаний не должно возникать никаких иллюзий на этот счет”, - поясняет Иоланта Каминскайте, юридический консультант BSA в России. - «Однако, наличие должностных инструкций на предприятии, согласно которым системный администратор является ответственным за организацию и контроль ИТ-инфраструктуры предприятия, означает, что к ответственности может быть привлечен именно системный администратор». 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 xml:space="preserve">В России, помимо уголовного преследования руководителей или технических специалистов компаний, а также изъятия компьютеров на период проведения экспертизы, компаниям-нарушителям грозят арбитражные иски от правообладателей с требованием выплатить компенсацию в двукратном размере стоимости экземпляров произведений, которые незаконно использовались организацией на момент проверки в соответствии с п.2 ст. 49 Закона РФ «Об авторском праве и смежных правах». 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 xml:space="preserve">В некоторых странах Европы и Балтии, таких как Литва, Словения и Словакия существует уголовная ответственность юридического лица за использование нелицензионного программного обеспечения, предусматривающая запрет на отдельные виды деятельности предприятия или его ликвидацию. 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>Однако BSA рекомендует рассматривать не только юридический аспект, а всю проблему управления программным обеспечением в комплексе, и обращает внимание предприятий на то, что управление программным обеспечением играет ключевую роль в оптимизации производительности ИТ-ресурсов и сетей предприятия. Управление программным обеспечением позволяет компании быть уверенной в лицензионной чистоте используемых программных продуктов, и обеспечивает бизнесу максимальную отдачу инвестиций в информационные технологии.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>Риски неэффективного управления программным обеспечением являются весьма серьезными. За первое полугодие 2007 года по результатам проверок правоохранительных органов РФ в деятельности 364 компаний выявили незаконное использование нелицензионного программного обеспечения членов BSA.</w:t>
            </w:r>
          </w:p>
          <w:p w:rsidR="000D0166" w:rsidRDefault="000D0166">
            <w:pPr>
              <w:pStyle w:val="ad"/>
              <w:rPr>
                <w:color w:val="293941"/>
                <w:sz w:val="28"/>
              </w:rPr>
            </w:pPr>
            <w:r>
              <w:rPr>
                <w:color w:val="293941"/>
                <w:sz w:val="28"/>
              </w:rPr>
              <w:t>Те предприятия, где не реализованы процессы управления программным обеспечением и лицензиями, рискуют потратить больше средств, чем необходимо, за счет приобретения большего числа лицензий, чем требуется в действительности. Кроме того, на таких предприятиях будет сложно выявить случаи несанкционированной установки сотрудниками компании программного обеспечения, загруженного из Интернета, которое может содержать вирусы и шпионские программы.</w:t>
            </w:r>
          </w:p>
        </w:tc>
      </w:tr>
    </w:tbl>
    <w:p w:rsidR="000D0166" w:rsidRDefault="000D0166">
      <w:pPr>
        <w:pStyle w:val="14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0D0166" w:rsidRDefault="000D0166">
      <w:pPr>
        <w:pageBreakBefore/>
        <w:spacing w:line="360" w:lineRule="auto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D0166" w:rsidRDefault="000D016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Весь спектр ПО просто неиссякаем. Каждые полчаса в мире появляются всё новые и новые программы. Какие-то из них останутся неизвестными, какие-то получат мировое признание. Создание программного обеспечения для персональных компьютеров за какой-то десяток лет превратилось из занятия программистов-одиночек в важную и мощную сферу промышленности. Поэтому развитие ПО, предназначенного для широкого круга пользователей, происходит уже не в состязании индивидуальных программистов, а в процессе ожесточенной конкурентной борьбы между фирмами – производителями. Помимо этого, создание новых программ влёчёт за собой развитие новых комплектующих, способных полностью покрыть все требования программы, необходимые для нормального её функционирования.</w:t>
      </w:r>
    </w:p>
    <w:p w:rsidR="000D0166" w:rsidRDefault="000D0166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:rsidR="000D0166" w:rsidRDefault="000D0166">
      <w:pPr>
        <w:jc w:val="center"/>
        <w:rPr>
          <w:sz w:val="28"/>
          <w:szCs w:val="28"/>
        </w:rPr>
      </w:pPr>
    </w:p>
    <w:p w:rsidR="000D0166" w:rsidRDefault="000D0166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Леонтьев В.П. ПК: универсальный справочник пользователя Москва 2000.</w:t>
      </w:r>
    </w:p>
    <w:p w:rsidR="000D0166" w:rsidRDefault="000D0166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Фигурнов В.Э. </w:t>
      </w:r>
      <w:r>
        <w:rPr>
          <w:sz w:val="28"/>
          <w:szCs w:val="28"/>
          <w:lang w:val="en-US"/>
        </w:rPr>
        <w:t>IBM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 xml:space="preserve"> для пользователя, изд.5-е Санкт - Петербург, АО «Коруна» 1994.</w:t>
      </w:r>
    </w:p>
    <w:p w:rsidR="000D0166" w:rsidRDefault="000D0166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Каталог «Весь компьютерный мир» декабрь 1995.</w:t>
      </w:r>
    </w:p>
    <w:p w:rsidR="000D0166" w:rsidRDefault="000D0166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Прейскурант «Теле Ком Ростов» Ростов на Дону, сентябрь 2001.</w:t>
      </w:r>
    </w:p>
    <w:p w:rsidR="000D0166" w:rsidRPr="007D3C41" w:rsidRDefault="000D01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3C41">
        <w:rPr>
          <w:sz w:val="28"/>
          <w:szCs w:val="28"/>
        </w:rPr>
        <w:t xml:space="preserve">5.  </w:t>
      </w:r>
      <w:hyperlink r:id="rId7" w:history="1">
        <w:r>
          <w:rPr>
            <w:rStyle w:val="a5"/>
          </w:rPr>
          <w:t>Info@TEXNOZLAT.ru</w:t>
        </w:r>
      </w:hyperlink>
    </w:p>
    <w:p w:rsidR="000D0166" w:rsidRDefault="000D0166">
      <w:pPr>
        <w:spacing w:line="360" w:lineRule="auto"/>
        <w:rPr>
          <w:color w:val="000000"/>
          <w:sz w:val="28"/>
          <w:szCs w:val="28"/>
        </w:rPr>
      </w:pPr>
      <w:r w:rsidRPr="007D3C41">
        <w:rPr>
          <w:sz w:val="28"/>
          <w:szCs w:val="28"/>
        </w:rPr>
        <w:t xml:space="preserve">     6.  </w:t>
      </w:r>
      <w:r>
        <w:rPr>
          <w:color w:val="000000"/>
          <w:sz w:val="28"/>
          <w:szCs w:val="28"/>
          <w:lang w:val="en-US"/>
        </w:rPr>
        <w:t>Xakeram</w:t>
      </w:r>
      <w:r w:rsidRPr="007D3C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 w:rsidRPr="007D3C41">
        <w:rPr>
          <w:color w:val="000000"/>
          <w:sz w:val="28"/>
          <w:szCs w:val="28"/>
        </w:rPr>
        <w:t xml:space="preserve"> “</w:t>
      </w:r>
      <w:r>
        <w:rPr>
          <w:color w:val="000000"/>
          <w:sz w:val="28"/>
          <w:szCs w:val="28"/>
          <w:lang w:val="en-US"/>
        </w:rPr>
        <w:t> </w:t>
      </w:r>
      <w:r w:rsidRPr="007D3C41">
        <w:rPr>
          <w:color w:val="000000"/>
          <w:sz w:val="28"/>
          <w:szCs w:val="28"/>
        </w:rPr>
        <w:t>Безопасность в сети”</w:t>
      </w:r>
      <w:r>
        <w:rPr>
          <w:color w:val="000000"/>
          <w:sz w:val="28"/>
          <w:szCs w:val="28"/>
        </w:rPr>
        <w:t>.</w:t>
      </w:r>
    </w:p>
    <w:p w:rsidR="000D0166" w:rsidRDefault="000D0166">
      <w:pPr>
        <w:spacing w:line="360" w:lineRule="auto"/>
      </w:pPr>
      <w:bookmarkStart w:id="0" w:name="_GoBack"/>
      <w:bookmarkEnd w:id="0"/>
    </w:p>
    <w:sectPr w:rsidR="000D0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567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A6" w:rsidRDefault="00BF62A6">
      <w:r>
        <w:separator/>
      </w:r>
    </w:p>
  </w:endnote>
  <w:endnote w:type="continuationSeparator" w:id="0">
    <w:p w:rsidR="00BF62A6" w:rsidRDefault="00BF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0D01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0D01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0D0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A6" w:rsidRDefault="00BF62A6">
      <w:r>
        <w:separator/>
      </w:r>
    </w:p>
  </w:footnote>
  <w:footnote w:type="continuationSeparator" w:id="0">
    <w:p w:rsidR="00BF62A6" w:rsidRDefault="00BF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6575F5">
    <w:pPr>
      <w:pStyle w:val="1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95pt;margin-top:0;width:21.95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0D0166" w:rsidRDefault="000D0166">
                <w:pPr>
                  <w:pStyle w:val="15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485EE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6575F5">
    <w:pPr>
      <w:pStyle w:val="1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5pt;margin-top:0;width:21.95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0D0166" w:rsidRDefault="000D0166">
                <w:pPr>
                  <w:pStyle w:val="15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4E671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66" w:rsidRDefault="000D01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suff w:val="nothing"/>
      <w:lvlText w:val=""/>
      <w:lvlJc w:val="left"/>
      <w:pPr>
        <w:tabs>
          <w:tab w:val="num" w:pos="397"/>
        </w:tabs>
        <w:ind w:left="397" w:firstLine="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RTF_Num 5"/>
    <w:lvl w:ilvl="0">
      <w:start w:val="1"/>
      <w:numFmt w:val="bullet"/>
      <w:suff w:val="nothing"/>
      <w:lvlText w:val=""/>
      <w:lvlJc w:val="left"/>
      <w:pPr>
        <w:tabs>
          <w:tab w:val="num" w:pos="510"/>
        </w:tabs>
        <w:ind w:left="510" w:firstLine="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RTF_Num 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RTF_Num 14"/>
    <w:lvl w:ilvl="0">
      <w:start w:val="1"/>
      <w:numFmt w:val="bullet"/>
      <w:suff w:val="nothing"/>
      <w:lvlText w:val=""/>
      <w:lvlJc w:val="left"/>
      <w:pPr>
        <w:tabs>
          <w:tab w:val="num" w:pos="397"/>
        </w:tabs>
        <w:ind w:left="397" w:firstLine="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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C41"/>
    <w:rsid w:val="000D0166"/>
    <w:rsid w:val="00221B21"/>
    <w:rsid w:val="00485EE7"/>
    <w:rsid w:val="004E671B"/>
    <w:rsid w:val="005671FC"/>
    <w:rsid w:val="006575F5"/>
    <w:rsid w:val="007D3C41"/>
    <w:rsid w:val="008278C0"/>
    <w:rsid w:val="00BF62A6"/>
    <w:rsid w:val="00DB462F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57C7FE95-95F3-42E1-9D7E-D69E703C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Wingdings" w:eastAsia="Wingdings" w:hAnsi="Wingdings" w:cs="Wingdings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  <w:color w:val="auto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  <w:sz w:val="20"/>
      <w:szCs w:val="20"/>
    </w:rPr>
  </w:style>
  <w:style w:type="character" w:customStyle="1" w:styleId="RTFNum73">
    <w:name w:val="RTF_Num 7 3"/>
    <w:rPr>
      <w:rFonts w:ascii="Wingdings" w:eastAsia="Wingdings" w:hAnsi="Wingdings" w:cs="Wingdings"/>
      <w:sz w:val="20"/>
      <w:szCs w:val="20"/>
    </w:rPr>
  </w:style>
  <w:style w:type="character" w:customStyle="1" w:styleId="RTFNum74">
    <w:name w:val="RTF_Num 7 4"/>
    <w:rPr>
      <w:rFonts w:ascii="Wingdings" w:eastAsia="Wingdings" w:hAnsi="Wingdings" w:cs="Wingdings"/>
      <w:sz w:val="20"/>
      <w:szCs w:val="20"/>
    </w:rPr>
  </w:style>
  <w:style w:type="character" w:customStyle="1" w:styleId="RTFNum75">
    <w:name w:val="RTF_Num 7 5"/>
    <w:rPr>
      <w:rFonts w:ascii="Wingdings" w:eastAsia="Wingdings" w:hAnsi="Wingdings" w:cs="Wingdings"/>
      <w:sz w:val="20"/>
      <w:szCs w:val="20"/>
    </w:rPr>
  </w:style>
  <w:style w:type="character" w:customStyle="1" w:styleId="RTFNum76">
    <w:name w:val="RTF_Num 7 6"/>
    <w:rPr>
      <w:rFonts w:ascii="Wingdings" w:eastAsia="Wingdings" w:hAnsi="Wingdings" w:cs="Wingdings"/>
      <w:sz w:val="20"/>
      <w:szCs w:val="20"/>
    </w:rPr>
  </w:style>
  <w:style w:type="character" w:customStyle="1" w:styleId="RTFNum77">
    <w:name w:val="RTF_Num 7 7"/>
    <w:rPr>
      <w:rFonts w:ascii="Wingdings" w:eastAsia="Wingdings" w:hAnsi="Wingdings" w:cs="Wingdings"/>
      <w:sz w:val="20"/>
      <w:szCs w:val="20"/>
    </w:rPr>
  </w:style>
  <w:style w:type="character" w:customStyle="1" w:styleId="RTFNum78">
    <w:name w:val="RTF_Num 7 8"/>
    <w:rPr>
      <w:rFonts w:ascii="Wingdings" w:eastAsia="Wingdings" w:hAnsi="Wingdings" w:cs="Wingdings"/>
      <w:sz w:val="20"/>
      <w:szCs w:val="20"/>
    </w:rPr>
  </w:style>
  <w:style w:type="character" w:customStyle="1" w:styleId="RTFNum79">
    <w:name w:val="RTF_Num 7 9"/>
    <w:rPr>
      <w:rFonts w:ascii="Wingdings" w:eastAsia="Wingdings" w:hAnsi="Wingdings" w:cs="Wingdings"/>
      <w:sz w:val="20"/>
      <w:szCs w:val="20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Symbol" w:eastAsia="Symbol" w:hAnsi="Symbol" w:cs="Symbol"/>
      <w:sz w:val="20"/>
      <w:szCs w:val="20"/>
    </w:rPr>
  </w:style>
  <w:style w:type="character" w:customStyle="1" w:styleId="RTFNum83">
    <w:name w:val="RTF_Num 8 3"/>
    <w:rPr>
      <w:rFonts w:ascii="Symbol" w:eastAsia="Symbol" w:hAnsi="Symbol" w:cs="Symbol"/>
      <w:sz w:val="20"/>
      <w:szCs w:val="20"/>
    </w:rPr>
  </w:style>
  <w:style w:type="character" w:customStyle="1" w:styleId="RTFNum84">
    <w:name w:val="RTF_Num 8 4"/>
    <w:rPr>
      <w:rFonts w:ascii="Symbol" w:eastAsia="Symbol" w:hAnsi="Symbol" w:cs="Symbol"/>
      <w:sz w:val="20"/>
      <w:szCs w:val="20"/>
    </w:rPr>
  </w:style>
  <w:style w:type="character" w:customStyle="1" w:styleId="RTFNum85">
    <w:name w:val="RTF_Num 8 5"/>
    <w:rPr>
      <w:rFonts w:ascii="Symbol" w:eastAsia="Symbol" w:hAnsi="Symbol" w:cs="Symbol"/>
      <w:sz w:val="20"/>
      <w:szCs w:val="20"/>
    </w:rPr>
  </w:style>
  <w:style w:type="character" w:customStyle="1" w:styleId="RTFNum86">
    <w:name w:val="RTF_Num 8 6"/>
    <w:rPr>
      <w:rFonts w:ascii="Symbol" w:eastAsia="Symbol" w:hAnsi="Symbol" w:cs="Symbol"/>
      <w:sz w:val="20"/>
      <w:szCs w:val="20"/>
    </w:rPr>
  </w:style>
  <w:style w:type="character" w:customStyle="1" w:styleId="RTFNum87">
    <w:name w:val="RTF_Num 8 7"/>
    <w:rPr>
      <w:rFonts w:ascii="Symbol" w:eastAsia="Symbol" w:hAnsi="Symbol" w:cs="Symbol"/>
      <w:sz w:val="20"/>
      <w:szCs w:val="20"/>
    </w:rPr>
  </w:style>
  <w:style w:type="character" w:customStyle="1" w:styleId="RTFNum88">
    <w:name w:val="RTF_Num 8 8"/>
    <w:rPr>
      <w:rFonts w:ascii="Symbol" w:eastAsia="Symbol" w:hAnsi="Symbol" w:cs="Symbol"/>
      <w:sz w:val="20"/>
      <w:szCs w:val="20"/>
    </w:rPr>
  </w:style>
  <w:style w:type="character" w:customStyle="1" w:styleId="RTFNum89">
    <w:name w:val="RTF_Num 8 9"/>
    <w:rPr>
      <w:rFonts w:ascii="Symbol" w:eastAsia="Symbol" w:hAnsi="Symbol" w:cs="Symbol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Symbol" w:eastAsia="Symbol" w:hAnsi="Symbol" w:cs="Symbol"/>
      <w:sz w:val="20"/>
      <w:szCs w:val="20"/>
    </w:rPr>
  </w:style>
  <w:style w:type="character" w:customStyle="1" w:styleId="RTFNum93">
    <w:name w:val="RTF_Num 9 3"/>
    <w:rPr>
      <w:rFonts w:ascii="Symbol" w:eastAsia="Symbol" w:hAnsi="Symbol" w:cs="Symbol"/>
      <w:sz w:val="20"/>
      <w:szCs w:val="20"/>
    </w:rPr>
  </w:style>
  <w:style w:type="character" w:customStyle="1" w:styleId="RTFNum94">
    <w:name w:val="RTF_Num 9 4"/>
    <w:rPr>
      <w:rFonts w:ascii="Symbol" w:eastAsia="Symbol" w:hAnsi="Symbol" w:cs="Symbol"/>
      <w:sz w:val="20"/>
      <w:szCs w:val="20"/>
    </w:rPr>
  </w:style>
  <w:style w:type="character" w:customStyle="1" w:styleId="RTFNum95">
    <w:name w:val="RTF_Num 9 5"/>
    <w:rPr>
      <w:rFonts w:ascii="Symbol" w:eastAsia="Symbol" w:hAnsi="Symbol" w:cs="Symbol"/>
      <w:sz w:val="20"/>
      <w:szCs w:val="20"/>
    </w:rPr>
  </w:style>
  <w:style w:type="character" w:customStyle="1" w:styleId="RTFNum96">
    <w:name w:val="RTF_Num 9 6"/>
    <w:rPr>
      <w:rFonts w:ascii="Symbol" w:eastAsia="Symbol" w:hAnsi="Symbol" w:cs="Symbol"/>
      <w:sz w:val="20"/>
      <w:szCs w:val="20"/>
    </w:rPr>
  </w:style>
  <w:style w:type="character" w:customStyle="1" w:styleId="RTFNum97">
    <w:name w:val="RTF_Num 9 7"/>
    <w:rPr>
      <w:rFonts w:ascii="Symbol" w:eastAsia="Symbol" w:hAnsi="Symbol" w:cs="Symbol"/>
      <w:sz w:val="20"/>
      <w:szCs w:val="20"/>
    </w:rPr>
  </w:style>
  <w:style w:type="character" w:customStyle="1" w:styleId="RTFNum98">
    <w:name w:val="RTF_Num 9 8"/>
    <w:rPr>
      <w:rFonts w:ascii="Symbol" w:eastAsia="Symbol" w:hAnsi="Symbol" w:cs="Symbol"/>
      <w:sz w:val="20"/>
      <w:szCs w:val="20"/>
    </w:rPr>
  </w:style>
  <w:style w:type="character" w:customStyle="1" w:styleId="RTFNum99">
    <w:name w:val="RTF_Num 9 9"/>
    <w:rPr>
      <w:rFonts w:ascii="Symbol" w:eastAsia="Symbol" w:hAnsi="Symbol" w:cs="Symbol"/>
      <w:sz w:val="20"/>
      <w:szCs w:val="20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Symbol" w:eastAsia="Symbol" w:hAnsi="Symbol" w:cs="Symbol"/>
      <w:sz w:val="20"/>
      <w:szCs w:val="20"/>
    </w:rPr>
  </w:style>
  <w:style w:type="character" w:customStyle="1" w:styleId="RTFNum112">
    <w:name w:val="RTF_Num 11 2"/>
    <w:rPr>
      <w:rFonts w:ascii="Symbol" w:eastAsia="Symbol" w:hAnsi="Symbol" w:cs="Symbol"/>
      <w:sz w:val="20"/>
      <w:szCs w:val="20"/>
    </w:rPr>
  </w:style>
  <w:style w:type="character" w:customStyle="1" w:styleId="RTFNum113">
    <w:name w:val="RTF_Num 11 3"/>
    <w:rPr>
      <w:rFonts w:ascii="Symbol" w:eastAsia="Symbol" w:hAnsi="Symbol" w:cs="Symbol"/>
      <w:sz w:val="20"/>
      <w:szCs w:val="20"/>
    </w:rPr>
  </w:style>
  <w:style w:type="character" w:customStyle="1" w:styleId="RTFNum114">
    <w:name w:val="RTF_Num 11 4"/>
    <w:rPr>
      <w:rFonts w:ascii="Symbol" w:eastAsia="Symbol" w:hAnsi="Symbol" w:cs="Symbol"/>
      <w:sz w:val="20"/>
      <w:szCs w:val="20"/>
    </w:rPr>
  </w:style>
  <w:style w:type="character" w:customStyle="1" w:styleId="RTFNum115">
    <w:name w:val="RTF_Num 11 5"/>
    <w:rPr>
      <w:rFonts w:ascii="Symbol" w:eastAsia="Symbol" w:hAnsi="Symbol" w:cs="Symbol"/>
      <w:sz w:val="20"/>
      <w:szCs w:val="20"/>
    </w:rPr>
  </w:style>
  <w:style w:type="character" w:customStyle="1" w:styleId="RTFNum116">
    <w:name w:val="RTF_Num 11 6"/>
    <w:rPr>
      <w:rFonts w:ascii="Symbol" w:eastAsia="Symbol" w:hAnsi="Symbol" w:cs="Symbol"/>
      <w:sz w:val="20"/>
      <w:szCs w:val="20"/>
    </w:rPr>
  </w:style>
  <w:style w:type="character" w:customStyle="1" w:styleId="RTFNum117">
    <w:name w:val="RTF_Num 11 7"/>
    <w:rPr>
      <w:rFonts w:ascii="Symbol" w:eastAsia="Symbol" w:hAnsi="Symbol" w:cs="Symbol"/>
      <w:sz w:val="20"/>
      <w:szCs w:val="20"/>
    </w:rPr>
  </w:style>
  <w:style w:type="character" w:customStyle="1" w:styleId="RTFNum118">
    <w:name w:val="RTF_Num 11 8"/>
    <w:rPr>
      <w:rFonts w:ascii="Symbol" w:eastAsia="Symbol" w:hAnsi="Symbol" w:cs="Symbol"/>
      <w:sz w:val="20"/>
      <w:szCs w:val="20"/>
    </w:rPr>
  </w:style>
  <w:style w:type="character" w:customStyle="1" w:styleId="RTFNum119">
    <w:name w:val="RTF_Num 11 9"/>
    <w:rPr>
      <w:rFonts w:ascii="Symbol" w:eastAsia="Symbol" w:hAnsi="Symbol" w:cs="Symbol"/>
      <w:sz w:val="20"/>
      <w:szCs w:val="20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ascii="Wingdings" w:eastAsia="Wingdings" w:hAnsi="Wingdings" w:cs="Wingdings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imprint/>
      <w:vanish w:val="0"/>
      <w:position w:val="0"/>
      <w:sz w:val="24"/>
      <w:szCs w:val="24"/>
      <w:u w:val="none"/>
      <w:vertAlign w:val="baseline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Wingdings" w:eastAsia="Wingdings" w:hAnsi="Wingdings" w:cs="Wingdings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Wingdings" w:eastAsia="Wingdings" w:hAnsi="Wingdings" w:cs="Wingdings"/>
      <w:b/>
      <w:bCs/>
      <w:i/>
      <w:iCs/>
      <w:shadow/>
      <w:imprint/>
      <w:color w:val="auto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Symbol" w:eastAsia="Symbol" w:hAnsi="Symbol" w:cs="Symbol"/>
      <w:sz w:val="20"/>
      <w:szCs w:val="20"/>
    </w:rPr>
  </w:style>
  <w:style w:type="character" w:customStyle="1" w:styleId="RTFNum162">
    <w:name w:val="RTF_Num 16 2"/>
    <w:rPr>
      <w:rFonts w:ascii="Courier New" w:eastAsia="Courier New" w:hAnsi="Courier New" w:cs="Courier New"/>
      <w:sz w:val="20"/>
      <w:szCs w:val="20"/>
    </w:rPr>
  </w:style>
  <w:style w:type="character" w:customStyle="1" w:styleId="RTFNum163">
    <w:name w:val="RTF_Num 16 3"/>
    <w:rPr>
      <w:rFonts w:ascii="Wingdings" w:eastAsia="Wingdings" w:hAnsi="Wingdings" w:cs="Wingdings"/>
      <w:sz w:val="20"/>
      <w:szCs w:val="20"/>
    </w:rPr>
  </w:style>
  <w:style w:type="character" w:customStyle="1" w:styleId="RTFNum164">
    <w:name w:val="RTF_Num 16 4"/>
    <w:rPr>
      <w:rFonts w:ascii="Wingdings" w:eastAsia="Wingdings" w:hAnsi="Wingdings" w:cs="Wingdings"/>
      <w:sz w:val="20"/>
      <w:szCs w:val="20"/>
    </w:rPr>
  </w:style>
  <w:style w:type="character" w:customStyle="1" w:styleId="RTFNum165">
    <w:name w:val="RTF_Num 16 5"/>
    <w:rPr>
      <w:rFonts w:ascii="Wingdings" w:eastAsia="Wingdings" w:hAnsi="Wingdings" w:cs="Wingdings"/>
      <w:sz w:val="20"/>
      <w:szCs w:val="20"/>
    </w:rPr>
  </w:style>
  <w:style w:type="character" w:customStyle="1" w:styleId="RTFNum166">
    <w:name w:val="RTF_Num 16 6"/>
    <w:rPr>
      <w:rFonts w:ascii="Wingdings" w:eastAsia="Wingdings" w:hAnsi="Wingdings" w:cs="Wingdings"/>
      <w:sz w:val="20"/>
      <w:szCs w:val="20"/>
    </w:rPr>
  </w:style>
  <w:style w:type="character" w:customStyle="1" w:styleId="RTFNum167">
    <w:name w:val="RTF_Num 16 7"/>
    <w:rPr>
      <w:rFonts w:ascii="Wingdings" w:eastAsia="Wingdings" w:hAnsi="Wingdings" w:cs="Wingdings"/>
      <w:sz w:val="20"/>
      <w:szCs w:val="20"/>
    </w:rPr>
  </w:style>
  <w:style w:type="character" w:customStyle="1" w:styleId="RTFNum168">
    <w:name w:val="RTF_Num 16 8"/>
    <w:rPr>
      <w:rFonts w:ascii="Wingdings" w:eastAsia="Wingdings" w:hAnsi="Wingdings" w:cs="Wingdings"/>
      <w:sz w:val="20"/>
      <w:szCs w:val="20"/>
    </w:rPr>
  </w:style>
  <w:style w:type="character" w:customStyle="1" w:styleId="RTFNum169">
    <w:name w:val="RTF_Num 16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styleId="a3">
    <w:name w:val="Emphasis"/>
    <w:basedOn w:val="1"/>
    <w:qFormat/>
    <w:rPr>
      <w:rFonts w:cs="Times New Roman"/>
      <w:i/>
      <w:iCs/>
    </w:rPr>
  </w:style>
  <w:style w:type="character" w:styleId="a4">
    <w:name w:val="Strong"/>
    <w:basedOn w:val="1"/>
    <w:qFormat/>
    <w:rPr>
      <w:rFonts w:cs="Times New Roman"/>
      <w:b/>
      <w:bCs/>
    </w:rPr>
  </w:style>
  <w:style w:type="character" w:styleId="a5">
    <w:name w:val="Hyperlink"/>
    <w:basedOn w:val="1"/>
    <w:rPr>
      <w:rFonts w:cs="Times New Roman"/>
      <w:color w:val="0000FF"/>
      <w:u w:val="single"/>
    </w:rPr>
  </w:style>
  <w:style w:type="character" w:customStyle="1" w:styleId="10">
    <w:name w:val="Номер страницы1"/>
    <w:basedOn w:val="1"/>
    <w:rPr>
      <w:rFonts w:cs="Times New Roman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Заголовок 11"/>
    <w:basedOn w:val="a"/>
    <w:pPr>
      <w:numPr>
        <w:numId w:val="9"/>
      </w:numPr>
      <w:spacing w:before="100" w:after="100"/>
      <w:outlineLvl w:val="0"/>
    </w:pPr>
    <w:rPr>
      <w:b/>
      <w:bCs/>
      <w:kern w:val="1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9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71">
    <w:name w:val="Заголовок 71"/>
    <w:basedOn w:val="a"/>
    <w:next w:val="a"/>
    <w:pPr>
      <w:numPr>
        <w:ilvl w:val="6"/>
        <w:numId w:val="9"/>
      </w:numPr>
      <w:spacing w:before="240" w:after="60"/>
      <w:outlineLvl w:val="6"/>
    </w:pPr>
  </w:style>
  <w:style w:type="paragraph" w:customStyle="1" w:styleId="14">
    <w:name w:val="Обычный (веб)1"/>
    <w:basedOn w:val="a"/>
    <w:pPr>
      <w:spacing w:before="100" w:after="100"/>
    </w:pPr>
    <w:rPr>
      <w:sz w:val="18"/>
      <w:szCs w:val="18"/>
    </w:rPr>
  </w:style>
  <w:style w:type="paragraph" w:customStyle="1" w:styleId="15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aa">
    <w:name w:val="Приложения"/>
    <w:basedOn w:val="21"/>
    <w:pPr>
      <w:spacing w:before="120" w:after="0" w:line="360" w:lineRule="auto"/>
      <w:jc w:val="center"/>
    </w:pPr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styleId="ac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EXNOZLA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«Ïðîãðàììíîå îáåñïå÷åíèå ÏÊ»</vt:lpstr>
    </vt:vector>
  </TitlesOfParts>
  <Company>Microsoft</Company>
  <LinksUpToDate>false</LinksUpToDate>
  <CharactersWithSpaces>17337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mailto:Info@TEXNOZLAT.ru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«Ïðîãðàììíîå îáåñïå÷åíèå ÏÊ»</dc:title>
  <dc:subject/>
  <dc:creator>8</dc:creator>
  <cp:keywords/>
  <cp:lastModifiedBy>admin</cp:lastModifiedBy>
  <cp:revision>2</cp:revision>
  <cp:lastPrinted>1899-12-31T21:00:00Z</cp:lastPrinted>
  <dcterms:created xsi:type="dcterms:W3CDTF">2014-04-17T12:03:00Z</dcterms:created>
  <dcterms:modified xsi:type="dcterms:W3CDTF">2014-04-17T12:03:00Z</dcterms:modified>
</cp:coreProperties>
</file>